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ECFD4">
      <w:pPr>
        <w:spacing w:line="760" w:lineRule="exact"/>
        <w:jc w:val="center"/>
        <w:rPr>
          <w:rFonts w:hint="eastAsia" w:ascii="宋体" w:hAnsi="宋体" w:eastAsia="宋体" w:cs="宋体"/>
          <w:b/>
          <w:color w:val="auto"/>
          <w:spacing w:val="20"/>
          <w:sz w:val="48"/>
          <w:szCs w:val="48"/>
          <w:highlight w:val="none"/>
          <w:lang w:eastAsia="zh-CN"/>
        </w:rPr>
      </w:pPr>
      <w:bookmarkStart w:id="108" w:name="_GoBack"/>
      <w:bookmarkEnd w:id="108"/>
      <w:r>
        <w:rPr>
          <w:rFonts w:hint="eastAsia" w:ascii="宋体" w:hAnsi="宋体" w:cs="宋体"/>
          <w:b/>
          <w:color w:val="auto"/>
          <w:spacing w:val="20"/>
          <w:sz w:val="48"/>
          <w:szCs w:val="48"/>
          <w:highlight w:val="none"/>
          <w:lang w:eastAsia="zh-CN"/>
        </w:rPr>
        <w:t>南通职业大学钟秀校区食缘汇餐桌椅采购项目</w:t>
      </w:r>
    </w:p>
    <w:p w14:paraId="6FE2024E">
      <w:pPr>
        <w:rPr>
          <w:rFonts w:hint="eastAsia" w:ascii="宋体" w:hAnsi="宋体" w:cs="宋体"/>
          <w:bCs/>
          <w:color w:val="auto"/>
          <w:sz w:val="100"/>
          <w:szCs w:val="100"/>
          <w:highlight w:val="none"/>
        </w:rPr>
      </w:pPr>
    </w:p>
    <w:p w14:paraId="27257EEE">
      <w:pPr>
        <w:jc w:val="center"/>
        <w:rPr>
          <w:rFonts w:hint="eastAsia" w:ascii="宋体" w:hAnsi="宋体" w:cs="宋体"/>
          <w:bCs/>
          <w:color w:val="auto"/>
          <w:sz w:val="100"/>
          <w:szCs w:val="100"/>
          <w:highlight w:val="none"/>
        </w:rPr>
      </w:pPr>
      <w:r>
        <w:rPr>
          <w:rFonts w:hint="eastAsia" w:ascii="宋体" w:hAnsi="宋体" w:cs="宋体"/>
          <w:bCs/>
          <w:color w:val="auto"/>
          <w:sz w:val="100"/>
          <w:szCs w:val="100"/>
          <w:highlight w:val="none"/>
        </w:rPr>
        <w:t>招标文件</w:t>
      </w:r>
    </w:p>
    <w:p w14:paraId="36C841D9">
      <w:pPr>
        <w:pStyle w:val="11"/>
        <w:spacing w:line="500" w:lineRule="exact"/>
        <w:rPr>
          <w:rFonts w:hint="eastAsia" w:ascii="宋体" w:hAnsi="宋体" w:cs="宋体"/>
          <w:b w:val="0"/>
          <w:bCs/>
          <w:color w:val="auto"/>
          <w:highlight w:val="none"/>
        </w:rPr>
      </w:pPr>
    </w:p>
    <w:p w14:paraId="11BD0F55">
      <w:pPr>
        <w:pStyle w:val="11"/>
        <w:spacing w:line="500" w:lineRule="exact"/>
        <w:rPr>
          <w:rFonts w:hint="default" w:ascii="宋体" w:hAnsi="宋体" w:cs="宋体"/>
          <w:b w:val="0"/>
          <w:bCs/>
          <w:color w:val="auto"/>
          <w:sz w:val="36"/>
          <w:szCs w:val="36"/>
          <w:highlight w:val="none"/>
          <w:lang w:val="en-US"/>
        </w:rPr>
      </w:pPr>
      <w:r>
        <w:rPr>
          <w:rFonts w:hint="eastAsia" w:ascii="宋体" w:hAnsi="宋体" w:cs="宋体"/>
          <w:bCs/>
          <w:color w:val="auto"/>
          <w:sz w:val="36"/>
          <w:szCs w:val="36"/>
          <w:highlight w:val="none"/>
        </w:rPr>
        <w:t>招标文件编号：</w:t>
      </w:r>
      <w:r>
        <w:rPr>
          <w:rFonts w:hint="default" w:ascii="宋体" w:hAnsi="宋体" w:cs="宋体"/>
          <w:bCs/>
          <w:color w:val="auto"/>
          <w:sz w:val="36"/>
          <w:szCs w:val="36"/>
          <w:highlight w:val="none"/>
          <w:lang w:val="en-US"/>
        </w:rPr>
        <w:t>HW20260027</w:t>
      </w:r>
    </w:p>
    <w:p w14:paraId="76C4A5CF">
      <w:pPr>
        <w:spacing w:line="500" w:lineRule="exact"/>
        <w:ind w:firstLine="420"/>
        <w:jc w:val="center"/>
        <w:rPr>
          <w:rFonts w:hint="eastAsia" w:ascii="宋体" w:hAnsi="宋体" w:cs="宋体"/>
          <w:b/>
          <w:color w:val="auto"/>
          <w:sz w:val="36"/>
          <w:highlight w:val="none"/>
        </w:rPr>
      </w:pPr>
    </w:p>
    <w:p w14:paraId="448D1552">
      <w:pPr>
        <w:spacing w:line="500" w:lineRule="exact"/>
        <w:jc w:val="center"/>
        <w:rPr>
          <w:rFonts w:hint="eastAsia" w:ascii="宋体" w:hAnsi="宋体" w:cs="宋体"/>
          <w:b/>
          <w:color w:val="auto"/>
          <w:sz w:val="36"/>
          <w:highlight w:val="none"/>
        </w:rPr>
      </w:pPr>
    </w:p>
    <w:p w14:paraId="7A323960">
      <w:pPr>
        <w:spacing w:line="500" w:lineRule="exact"/>
        <w:jc w:val="center"/>
        <w:rPr>
          <w:rFonts w:hint="eastAsia" w:ascii="宋体" w:hAnsi="宋体" w:cs="宋体"/>
          <w:b/>
          <w:color w:val="auto"/>
          <w:sz w:val="36"/>
          <w:highlight w:val="none"/>
        </w:rPr>
      </w:pPr>
    </w:p>
    <w:p w14:paraId="5F79D651">
      <w:pPr>
        <w:rPr>
          <w:rFonts w:hint="eastAsia" w:ascii="宋体" w:hAnsi="宋体" w:cs="宋体"/>
          <w:color w:val="auto"/>
          <w:sz w:val="32"/>
          <w:highlight w:val="none"/>
        </w:rPr>
      </w:pPr>
    </w:p>
    <w:p w14:paraId="1645C5EB">
      <w:pPr>
        <w:rPr>
          <w:rFonts w:hint="eastAsia" w:ascii="宋体" w:hAnsi="宋体" w:cs="宋体"/>
          <w:color w:val="auto"/>
          <w:sz w:val="32"/>
          <w:highlight w:val="none"/>
        </w:rPr>
      </w:pPr>
    </w:p>
    <w:p w14:paraId="6AB0E431">
      <w:pPr>
        <w:pStyle w:val="23"/>
        <w:rPr>
          <w:rFonts w:hint="eastAsia" w:cs="宋体"/>
          <w:color w:val="auto"/>
          <w:highlight w:val="none"/>
        </w:rPr>
      </w:pPr>
    </w:p>
    <w:p w14:paraId="70D49D0F">
      <w:pPr>
        <w:pStyle w:val="73"/>
        <w:rPr>
          <w:rFonts w:hint="eastAsia" w:ascii="宋体" w:hAnsi="宋体" w:eastAsia="宋体" w:cs="宋体"/>
          <w:color w:val="auto"/>
          <w:sz w:val="32"/>
          <w:highlight w:val="none"/>
        </w:rPr>
      </w:pPr>
    </w:p>
    <w:p w14:paraId="57C9AEE9">
      <w:pPr>
        <w:pStyle w:val="73"/>
        <w:rPr>
          <w:rFonts w:hint="eastAsia" w:ascii="宋体" w:hAnsi="宋体" w:eastAsia="宋体" w:cs="宋体"/>
          <w:color w:val="auto"/>
          <w:sz w:val="32"/>
          <w:highlight w:val="none"/>
        </w:rPr>
      </w:pPr>
    </w:p>
    <w:p w14:paraId="53B67699">
      <w:pPr>
        <w:spacing w:line="500" w:lineRule="exact"/>
        <w:jc w:val="center"/>
        <w:rPr>
          <w:rFonts w:hint="eastAsia" w:ascii="宋体" w:hAnsi="宋体" w:cs="宋体"/>
          <w:color w:val="auto"/>
          <w:sz w:val="32"/>
          <w:highlight w:val="none"/>
        </w:rPr>
      </w:pPr>
    </w:p>
    <w:p w14:paraId="74CC636E">
      <w:pPr>
        <w:spacing w:line="500" w:lineRule="exact"/>
        <w:jc w:val="center"/>
        <w:rPr>
          <w:rFonts w:hint="eastAsia" w:ascii="宋体" w:hAnsi="宋体" w:cs="宋体"/>
          <w:color w:val="auto"/>
          <w:sz w:val="32"/>
          <w:highlight w:val="none"/>
        </w:rPr>
      </w:pPr>
    </w:p>
    <w:p w14:paraId="6CA1397B">
      <w:pPr>
        <w:adjustRightInd w:val="0"/>
        <w:spacing w:before="120" w:after="120" w:line="500" w:lineRule="exact"/>
        <w:ind w:right="120"/>
        <w:jc w:val="center"/>
        <w:textAlignment w:val="baseline"/>
        <w:rPr>
          <w:rFonts w:hint="eastAsia" w:ascii="宋体" w:hAnsi="宋体" w:cs="宋体"/>
          <w:b/>
          <w:bCs/>
          <w:color w:val="auto"/>
          <w:sz w:val="32"/>
          <w:highlight w:val="none"/>
        </w:rPr>
      </w:pPr>
    </w:p>
    <w:p w14:paraId="0D09E2BC">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采购人：南通职业大学</w:t>
      </w:r>
    </w:p>
    <w:p w14:paraId="0A18A16F">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lang w:val="en-US" w:eastAsia="zh-CN"/>
        </w:rPr>
        <w:t>采购</w:t>
      </w:r>
      <w:r>
        <w:rPr>
          <w:rFonts w:hint="eastAsia" w:ascii="宋体" w:hAnsi="宋体" w:cs="宋体"/>
          <w:b/>
          <w:bCs/>
          <w:color w:val="auto"/>
          <w:sz w:val="32"/>
          <w:highlight w:val="none"/>
        </w:rPr>
        <w:t>代理机构：江苏中润工程建设咨询有限公司</w:t>
      </w:r>
    </w:p>
    <w:p w14:paraId="6ECB6094">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2026年</w:t>
      </w:r>
      <w:r>
        <w:rPr>
          <w:rFonts w:hint="default" w:ascii="宋体" w:hAnsi="宋体" w:cs="宋体"/>
          <w:b/>
          <w:bCs/>
          <w:color w:val="auto"/>
          <w:sz w:val="32"/>
          <w:highlight w:val="none"/>
          <w:lang w:val="en-US"/>
        </w:rPr>
        <w:t>7</w:t>
      </w:r>
      <w:r>
        <w:rPr>
          <w:rFonts w:hint="eastAsia" w:ascii="宋体" w:hAnsi="宋体" w:cs="宋体"/>
          <w:b/>
          <w:bCs/>
          <w:color w:val="auto"/>
          <w:sz w:val="32"/>
          <w:highlight w:val="none"/>
        </w:rPr>
        <w:t>月</w:t>
      </w:r>
    </w:p>
    <w:p w14:paraId="7ABF0D49">
      <w:pPr>
        <w:adjustRightInd w:val="0"/>
        <w:snapToGrid w:val="0"/>
        <w:ind w:left="-158" w:leftChars="-75"/>
        <w:jc w:val="center"/>
        <w:rPr>
          <w:rFonts w:hint="eastAsia" w:ascii="宋体" w:hAnsi="宋体" w:cs="宋体"/>
          <w:b/>
          <w:bCs/>
          <w:color w:val="auto"/>
          <w:sz w:val="44"/>
          <w:szCs w:val="44"/>
          <w:highlight w:val="none"/>
        </w:rPr>
      </w:pPr>
    </w:p>
    <w:p w14:paraId="4B8C4E91">
      <w:pPr>
        <w:adjustRightInd w:val="0"/>
        <w:snapToGrid w:val="0"/>
        <w:ind w:left="-158" w:leftChars="-75"/>
        <w:jc w:val="center"/>
        <w:rPr>
          <w:rFonts w:hint="eastAsia" w:ascii="宋体" w:hAnsi="宋体" w:cs="宋体"/>
          <w:b/>
          <w:bCs/>
          <w:color w:val="auto"/>
          <w:sz w:val="32"/>
          <w:szCs w:val="32"/>
          <w:highlight w:val="none"/>
        </w:rPr>
      </w:pPr>
      <w:r>
        <w:rPr>
          <w:rFonts w:hint="eastAsia" w:ascii="宋体" w:hAnsi="宋体" w:cs="宋体"/>
          <w:b/>
          <w:bCs/>
          <w:color w:val="auto"/>
          <w:sz w:val="44"/>
          <w:szCs w:val="44"/>
          <w:highlight w:val="none"/>
        </w:rPr>
        <w:t>目录</w:t>
      </w:r>
    </w:p>
    <w:p w14:paraId="6FBA91C6">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p>
    <w:p w14:paraId="727D3BBF">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第一部分投标邀请</w:t>
      </w:r>
    </w:p>
    <w:p w14:paraId="25DC6C5B">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第二部分投标须知</w:t>
      </w:r>
    </w:p>
    <w:p w14:paraId="46BA01D5">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第三部分项目需求</w:t>
      </w:r>
    </w:p>
    <w:p w14:paraId="6A9D75BA">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color w:val="auto"/>
          <w:sz w:val="32"/>
          <w:szCs w:val="32"/>
          <w:highlight w:val="none"/>
        </w:rPr>
        <w:t>第四部分</w:t>
      </w:r>
      <w:r>
        <w:rPr>
          <w:rFonts w:hint="eastAsia" w:ascii="宋体" w:hAnsi="宋体" w:cs="宋体"/>
          <w:bCs/>
          <w:color w:val="auto"/>
          <w:sz w:val="32"/>
          <w:szCs w:val="32"/>
          <w:highlight w:val="none"/>
        </w:rPr>
        <w:t>开标和评标</w:t>
      </w:r>
    </w:p>
    <w:p w14:paraId="3317346C">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r>
        <w:rPr>
          <w:rFonts w:hint="eastAsia" w:ascii="宋体" w:hAnsi="宋体" w:cs="宋体"/>
          <w:bCs/>
          <w:color w:val="auto"/>
          <w:sz w:val="32"/>
          <w:szCs w:val="32"/>
          <w:highlight w:val="none"/>
        </w:rPr>
        <w:t>第五部分质疑与投诉</w:t>
      </w:r>
    </w:p>
    <w:p w14:paraId="03D9C108">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第六部分投标文件组成</w:t>
      </w:r>
    </w:p>
    <w:p w14:paraId="466C70F0">
      <w:pPr>
        <w:tabs>
          <w:tab w:val="left" w:pos="7740"/>
        </w:tabs>
        <w:adjustRightInd w:val="0"/>
        <w:snapToGrid w:val="0"/>
        <w:spacing w:line="1000" w:lineRule="exact"/>
        <w:ind w:firstLine="648" w:firstLineChars="200"/>
        <w:rPr>
          <w:rFonts w:hint="eastAsia" w:ascii="宋体" w:hAnsi="宋体" w:cs="宋体"/>
          <w:color w:val="auto"/>
          <w:spacing w:val="2"/>
          <w:sz w:val="32"/>
          <w:szCs w:val="32"/>
          <w:highlight w:val="none"/>
        </w:rPr>
      </w:pPr>
    </w:p>
    <w:p w14:paraId="6F95E839">
      <w:pPr>
        <w:spacing w:line="500" w:lineRule="exact"/>
        <w:rPr>
          <w:rFonts w:hint="eastAsia" w:ascii="宋体" w:hAnsi="宋体" w:cs="宋体"/>
          <w:b/>
          <w:color w:val="auto"/>
          <w:sz w:val="32"/>
          <w:szCs w:val="32"/>
          <w:highlight w:val="none"/>
        </w:rPr>
      </w:pPr>
    </w:p>
    <w:p w14:paraId="37A983DB">
      <w:pPr>
        <w:tabs>
          <w:tab w:val="left" w:pos="7740"/>
        </w:tabs>
        <w:spacing w:line="500" w:lineRule="exact"/>
        <w:rPr>
          <w:rFonts w:hint="eastAsia" w:ascii="宋体" w:hAnsi="宋体" w:cs="宋体"/>
          <w:b/>
          <w:color w:val="auto"/>
          <w:spacing w:val="2"/>
          <w:sz w:val="32"/>
          <w:szCs w:val="32"/>
          <w:highlight w:val="none"/>
        </w:rPr>
      </w:pPr>
    </w:p>
    <w:p w14:paraId="689B81DE">
      <w:pPr>
        <w:tabs>
          <w:tab w:val="left" w:pos="7740"/>
        </w:tabs>
        <w:spacing w:line="500" w:lineRule="exact"/>
        <w:rPr>
          <w:rFonts w:hint="eastAsia" w:ascii="宋体" w:hAnsi="宋体" w:cs="宋体"/>
          <w:b/>
          <w:color w:val="auto"/>
          <w:spacing w:val="2"/>
          <w:sz w:val="32"/>
          <w:szCs w:val="32"/>
          <w:highlight w:val="none"/>
        </w:rPr>
      </w:pPr>
    </w:p>
    <w:p w14:paraId="6D6F04A1">
      <w:pPr>
        <w:tabs>
          <w:tab w:val="left" w:pos="7740"/>
        </w:tabs>
        <w:spacing w:line="500" w:lineRule="exact"/>
        <w:rPr>
          <w:rFonts w:hint="eastAsia" w:ascii="宋体" w:hAnsi="宋体" w:cs="宋体"/>
          <w:b/>
          <w:bCs/>
          <w:color w:val="auto"/>
          <w:sz w:val="32"/>
          <w:szCs w:val="32"/>
          <w:highlight w:val="none"/>
        </w:rPr>
      </w:pPr>
    </w:p>
    <w:p w14:paraId="3C3BDE1C">
      <w:pPr>
        <w:spacing w:line="500" w:lineRule="exact"/>
        <w:outlineLvl w:val="0"/>
        <w:rPr>
          <w:rFonts w:hint="eastAsia" w:ascii="宋体" w:hAnsi="宋体" w:cs="宋体"/>
          <w:b/>
          <w:color w:val="auto"/>
          <w:sz w:val="44"/>
          <w:szCs w:val="44"/>
          <w:highlight w:val="none"/>
        </w:rPr>
      </w:pPr>
    </w:p>
    <w:p w14:paraId="7A7C3539">
      <w:pPr>
        <w:spacing w:line="500" w:lineRule="exact"/>
        <w:outlineLvl w:val="0"/>
        <w:rPr>
          <w:rFonts w:hint="eastAsia" w:ascii="宋体" w:hAnsi="宋体" w:cs="宋体"/>
          <w:color w:val="auto"/>
          <w:sz w:val="44"/>
          <w:szCs w:val="44"/>
          <w:highlight w:val="none"/>
        </w:rPr>
      </w:pPr>
    </w:p>
    <w:p w14:paraId="554F9326">
      <w:pPr>
        <w:spacing w:line="500" w:lineRule="exact"/>
        <w:outlineLvl w:val="0"/>
        <w:rPr>
          <w:rFonts w:hint="eastAsia" w:ascii="宋体" w:hAnsi="宋体" w:cs="宋体"/>
          <w:color w:val="auto"/>
          <w:sz w:val="44"/>
          <w:szCs w:val="44"/>
          <w:highlight w:val="none"/>
        </w:rPr>
      </w:pPr>
    </w:p>
    <w:p w14:paraId="2959540F">
      <w:pPr>
        <w:spacing w:line="500" w:lineRule="exact"/>
        <w:outlineLvl w:val="0"/>
        <w:rPr>
          <w:rFonts w:hint="eastAsia" w:ascii="宋体" w:hAnsi="宋体" w:cs="宋体"/>
          <w:color w:val="auto"/>
          <w:sz w:val="44"/>
          <w:szCs w:val="44"/>
          <w:highlight w:val="none"/>
        </w:rPr>
      </w:pPr>
    </w:p>
    <w:p w14:paraId="0C8AC15B">
      <w:pPr>
        <w:spacing w:line="500" w:lineRule="exact"/>
        <w:outlineLvl w:val="0"/>
        <w:rPr>
          <w:rFonts w:hint="eastAsia" w:ascii="宋体" w:hAnsi="宋体" w:cs="宋体"/>
          <w:color w:val="auto"/>
          <w:sz w:val="44"/>
          <w:szCs w:val="44"/>
          <w:highlight w:val="none"/>
        </w:rPr>
      </w:pPr>
    </w:p>
    <w:p w14:paraId="46111652">
      <w:pPr>
        <w:adjustRightInd w:val="0"/>
        <w:snapToGrid w:val="0"/>
        <w:spacing w:line="520" w:lineRule="exact"/>
        <w:jc w:val="center"/>
        <w:outlineLvl w:val="0"/>
        <w:rPr>
          <w:rFonts w:hint="eastAsia" w:ascii="宋体" w:hAnsi="宋体" w:cs="宋体"/>
          <w:b/>
          <w:color w:val="auto"/>
          <w:sz w:val="32"/>
          <w:szCs w:val="32"/>
          <w:highlight w:val="none"/>
        </w:rPr>
      </w:pPr>
      <w:r>
        <w:rPr>
          <w:rFonts w:hint="eastAsia" w:ascii="宋体" w:hAnsi="宋体" w:cs="宋体"/>
          <w:b/>
          <w:color w:val="auto"/>
          <w:sz w:val="36"/>
          <w:szCs w:val="36"/>
          <w:highlight w:val="none"/>
        </w:rPr>
        <w:t>第一部分</w:t>
      </w:r>
      <w:bookmarkStart w:id="0" w:name="OLE_LINK7"/>
      <w:bookmarkStart w:id="1" w:name="OLE_LINK5"/>
      <w:r>
        <w:rPr>
          <w:rFonts w:hint="eastAsia" w:ascii="宋体" w:hAnsi="宋体" w:cs="宋体"/>
          <w:b/>
          <w:color w:val="auto"/>
          <w:sz w:val="36"/>
          <w:szCs w:val="36"/>
          <w:highlight w:val="none"/>
        </w:rPr>
        <w:t>投标邀请</w:t>
      </w:r>
    </w:p>
    <w:p w14:paraId="29D133D9">
      <w:pPr>
        <w:adjustRightInd w:val="0"/>
        <w:snapToGrid w:val="0"/>
        <w:spacing w:line="520" w:lineRule="exact"/>
        <w:jc w:val="center"/>
        <w:outlineLvl w:val="0"/>
        <w:rPr>
          <w:rFonts w:hint="eastAsia" w:ascii="宋体" w:hAnsi="宋体" w:cs="宋体"/>
          <w:b/>
          <w:color w:val="auto"/>
          <w:sz w:val="32"/>
          <w:szCs w:val="32"/>
          <w:highlight w:val="none"/>
        </w:rPr>
      </w:pPr>
    </w:p>
    <w:p w14:paraId="60D45090">
      <w:pPr>
        <w:pBdr>
          <w:top w:val="single" w:color="auto" w:sz="4" w:space="1"/>
          <w:left w:val="single" w:color="auto" w:sz="4" w:space="4"/>
          <w:bottom w:val="single" w:color="auto" w:sz="4" w:space="1"/>
          <w:right w:val="single" w:color="auto" w:sz="4" w:space="4"/>
        </w:pBdr>
        <w:adjustRightInd w:val="0"/>
        <w:snapToGrid w:val="0"/>
        <w:spacing w:line="520" w:lineRule="exact"/>
        <w:rPr>
          <w:rFonts w:hint="eastAsia" w:ascii="宋体" w:hAnsi="宋体" w:cs="宋体"/>
          <w:color w:val="auto"/>
          <w:sz w:val="28"/>
          <w:szCs w:val="28"/>
          <w:highlight w:val="none"/>
        </w:rPr>
      </w:pPr>
      <w:bookmarkStart w:id="2" w:name="OLE_LINK6"/>
      <w:r>
        <w:rPr>
          <w:rFonts w:hint="eastAsia" w:ascii="宋体" w:hAnsi="宋体" w:cs="宋体"/>
          <w:color w:val="auto"/>
          <w:sz w:val="28"/>
          <w:szCs w:val="28"/>
          <w:highlight w:val="none"/>
        </w:rPr>
        <w:t>项目概况</w:t>
      </w:r>
    </w:p>
    <w:p w14:paraId="297DD4B6">
      <w:pPr>
        <w:pBdr>
          <w:top w:val="single" w:color="auto" w:sz="4" w:space="1"/>
          <w:left w:val="single" w:color="auto" w:sz="4" w:space="4"/>
          <w:bottom w:val="single" w:color="auto" w:sz="4" w:space="1"/>
          <w:right w:val="single" w:color="auto" w:sz="4" w:space="4"/>
        </w:pBd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eastAsia="zh-CN"/>
        </w:rPr>
        <w:t>南通职业大学钟秀校区食缘汇餐桌椅采购项目</w:t>
      </w:r>
      <w:r>
        <w:rPr>
          <w:rFonts w:hint="eastAsia" w:ascii="宋体" w:hAnsi="宋体" w:cs="宋体"/>
          <w:color w:val="auto"/>
          <w:sz w:val="28"/>
          <w:szCs w:val="28"/>
          <w:highlight w:val="none"/>
        </w:rPr>
        <w:t>）的潜在投标人应在</w:t>
      </w:r>
      <w:r>
        <w:rPr>
          <w:rFonts w:hint="eastAsia" w:ascii="宋体" w:hAnsi="宋体" w:cs="宋体"/>
          <w:color w:val="auto"/>
          <w:sz w:val="28"/>
          <w:szCs w:val="28"/>
          <w:highlight w:val="none"/>
          <w:lang w:eastAsia="zh-CN"/>
        </w:rPr>
        <w:t>江苏招标采购服务平台、南通职业大学网站</w:t>
      </w:r>
      <w:r>
        <w:rPr>
          <w:rFonts w:hint="eastAsia" w:ascii="宋体" w:hAnsi="宋体" w:cs="宋体"/>
          <w:color w:val="auto"/>
          <w:sz w:val="28"/>
          <w:szCs w:val="28"/>
          <w:highlight w:val="none"/>
        </w:rPr>
        <w:t>获取招标文件，并于2026年</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点30分（北京时间）前递交投标文件。</w:t>
      </w:r>
    </w:p>
    <w:p w14:paraId="267F0597">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一、项目基本情况</w:t>
      </w:r>
    </w:p>
    <w:p w14:paraId="5EA9D016">
      <w:pPr>
        <w:adjustRightInd w:val="0"/>
        <w:snapToGrid w:val="0"/>
        <w:spacing w:line="520" w:lineRule="exact"/>
        <w:ind w:firstLine="560" w:firstLineChars="200"/>
        <w:rPr>
          <w:rFonts w:hint="default" w:ascii="宋体" w:hAnsi="宋体" w:cs="宋体"/>
          <w:color w:val="auto"/>
          <w:spacing w:val="7"/>
          <w:kern w:val="0"/>
          <w:sz w:val="28"/>
          <w:szCs w:val="22"/>
          <w:highlight w:val="none"/>
          <w:lang w:val="en-US"/>
        </w:rPr>
      </w:pPr>
      <w:r>
        <w:rPr>
          <w:rFonts w:hint="eastAsia" w:ascii="宋体" w:hAnsi="宋体" w:cs="宋体"/>
          <w:color w:val="auto"/>
          <w:sz w:val="28"/>
          <w:szCs w:val="28"/>
          <w:highlight w:val="none"/>
        </w:rPr>
        <w:t>项目编号：</w:t>
      </w:r>
      <w:r>
        <w:rPr>
          <w:rFonts w:hint="default" w:ascii="宋体" w:hAnsi="宋体" w:cs="宋体"/>
          <w:color w:val="auto"/>
          <w:sz w:val="28"/>
          <w:szCs w:val="28"/>
          <w:highlight w:val="none"/>
          <w:lang w:val="en-US"/>
        </w:rPr>
        <w:t>HW20260027</w:t>
      </w:r>
    </w:p>
    <w:p w14:paraId="3A276071">
      <w:pPr>
        <w:adjustRightInd w:val="0"/>
        <w:snapToGrid w:val="0"/>
        <w:spacing w:line="52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eastAsia="zh-CN"/>
        </w:rPr>
        <w:t>南通职业大学钟秀校区食缘汇餐桌椅采购项目</w:t>
      </w:r>
    </w:p>
    <w:p w14:paraId="0746E31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预算金额：</w:t>
      </w:r>
      <w:r>
        <w:rPr>
          <w:rFonts w:hint="eastAsia" w:ascii="宋体" w:hAnsi="宋体" w:cs="宋体"/>
          <w:color w:val="auto"/>
          <w:sz w:val="28"/>
          <w:szCs w:val="28"/>
          <w:highlight w:val="none"/>
          <w:lang w:val="en-US" w:eastAsia="zh-CN"/>
        </w:rPr>
        <w:t>64</w:t>
      </w:r>
      <w:r>
        <w:rPr>
          <w:rFonts w:hint="eastAsia" w:ascii="宋体" w:hAnsi="宋体" w:cs="宋体"/>
          <w:color w:val="auto"/>
          <w:sz w:val="28"/>
          <w:szCs w:val="28"/>
          <w:highlight w:val="none"/>
        </w:rPr>
        <w:t>万元</w:t>
      </w:r>
    </w:p>
    <w:p w14:paraId="63C76DD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最高限价：</w:t>
      </w:r>
      <w:r>
        <w:rPr>
          <w:rFonts w:hint="eastAsia" w:ascii="宋体" w:hAnsi="宋体" w:cs="宋体"/>
          <w:color w:val="auto"/>
          <w:sz w:val="28"/>
          <w:szCs w:val="28"/>
          <w:highlight w:val="none"/>
          <w:lang w:val="en-US" w:eastAsia="zh-CN"/>
        </w:rPr>
        <w:t>64</w:t>
      </w:r>
      <w:r>
        <w:rPr>
          <w:rFonts w:hint="eastAsia" w:ascii="宋体" w:hAnsi="宋体" w:cs="宋体"/>
          <w:color w:val="auto"/>
          <w:sz w:val="28"/>
          <w:szCs w:val="28"/>
          <w:highlight w:val="none"/>
        </w:rPr>
        <w:t>万元，投标报价超过最高限价按无效标处理。</w:t>
      </w:r>
    </w:p>
    <w:p w14:paraId="570D514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采购需求：详见招标文件，请仔细研究。</w:t>
      </w:r>
    </w:p>
    <w:p w14:paraId="44972D6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合同履行期限：自合同签定之日起</w:t>
      </w:r>
      <w:r>
        <w:rPr>
          <w:rFonts w:hint="eastAsia" w:ascii="宋体" w:hAnsi="宋体" w:cs="宋体"/>
          <w:color w:val="auto"/>
          <w:sz w:val="28"/>
          <w:szCs w:val="28"/>
          <w:highlight w:val="none"/>
          <w:lang w:eastAsia="zh-CN"/>
        </w:rPr>
        <w:t>40日历天</w:t>
      </w:r>
      <w:r>
        <w:rPr>
          <w:rFonts w:hint="eastAsia" w:ascii="宋体" w:hAnsi="宋体" w:cs="宋体"/>
          <w:color w:val="auto"/>
          <w:sz w:val="28"/>
          <w:szCs w:val="28"/>
          <w:highlight w:val="none"/>
        </w:rPr>
        <w:t>内供货安装到位，接受采购人验收。</w:t>
      </w:r>
    </w:p>
    <w:p w14:paraId="2C775C5D">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二、申请人的资格要求</w:t>
      </w:r>
    </w:p>
    <w:p w14:paraId="1C88FB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满足以下条件：具有独立承担民事责任的能力；具有良好的商业信誉和健全的财务会计制度；具有履行合同所必需的设备和专业技术能力；具有依法缴纳税收和社会保障资金的良好记录；参加采购活动前三年内，在经营活动中没有重大违法记录。</w:t>
      </w:r>
    </w:p>
    <w:p w14:paraId="74E8722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2.本项目的特定资格要求：</w:t>
      </w:r>
      <w:r>
        <w:rPr>
          <w:rFonts w:hint="eastAsia" w:ascii="宋体" w:hAnsi="宋体" w:cs="宋体"/>
          <w:color w:val="auto"/>
          <w:sz w:val="28"/>
          <w:szCs w:val="28"/>
          <w:highlight w:val="none"/>
          <w:u w:val="single"/>
        </w:rPr>
        <w:t>无；</w:t>
      </w:r>
    </w:p>
    <w:p w14:paraId="0068DEA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3.提供法定代表人身份证明书及法人身份证复印件盖公章；非法定代表人参加的，另须提供法定代表人签名或盖章的授权委托书及投标代表本人身份证复印件盖公章；</w:t>
      </w:r>
    </w:p>
    <w:p w14:paraId="7E387C17">
      <w:pPr>
        <w:snapToGrid w:val="0"/>
        <w:spacing w:line="460" w:lineRule="exact"/>
        <w:ind w:firstLine="555"/>
        <w:rPr>
          <w:rFonts w:hint="eastAsia" w:ascii="宋体" w:hAnsi="宋体" w:cs="宋体"/>
          <w:color w:val="auto"/>
          <w:sz w:val="28"/>
          <w:szCs w:val="28"/>
          <w:highlight w:val="none"/>
        </w:rPr>
      </w:pPr>
      <w:r>
        <w:rPr>
          <w:rFonts w:hint="eastAsia" w:ascii="宋体" w:hAnsi="宋体" w:cs="宋体"/>
          <w:color w:val="auto"/>
          <w:sz w:val="28"/>
          <w:szCs w:val="28"/>
          <w:highlight w:val="none"/>
        </w:rPr>
        <w:t>4.</w:t>
      </w:r>
      <w:r>
        <w:rPr>
          <w:rFonts w:hint="eastAsia" w:hAnsi="宋体" w:cs="宋体"/>
          <w:color w:val="auto"/>
          <w:spacing w:val="7"/>
          <w:sz w:val="28"/>
          <w:szCs w:val="28"/>
          <w:highlight w:val="none"/>
          <w:shd w:val="clear" w:color="auto" w:fill="FFFFFF"/>
        </w:rPr>
        <w:t>未被‘信用中国’网站列入失信被执行人、重大税收违法案件当事人名单、政府采购严重违法失信行为记录名单；未被“中国政府采购网”列入政府采购严重违法失信行为记录名单。</w:t>
      </w:r>
    </w:p>
    <w:p w14:paraId="4EB110E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5.本项目不接受联合体投标。</w:t>
      </w:r>
    </w:p>
    <w:p w14:paraId="588E079D">
      <w:pPr>
        <w:snapToGrid w:val="0"/>
        <w:spacing w:line="460" w:lineRule="exact"/>
        <w:ind w:firstLine="555"/>
        <w:rPr>
          <w:rFonts w:hint="eastAsia" w:ascii="宋体" w:hAnsi="宋体" w:cs="宋体"/>
          <w:b/>
          <w:color w:val="auto"/>
          <w:sz w:val="28"/>
          <w:szCs w:val="28"/>
          <w:highlight w:val="none"/>
        </w:rPr>
      </w:pPr>
      <w:r>
        <w:rPr>
          <w:rFonts w:hint="eastAsia" w:ascii="宋体" w:hAnsi="宋体" w:cs="宋体"/>
          <w:bCs/>
          <w:color w:val="auto"/>
          <w:sz w:val="28"/>
          <w:szCs w:val="28"/>
          <w:highlight w:val="none"/>
        </w:rPr>
        <w:t>6</w:t>
      </w:r>
      <w:r>
        <w:rPr>
          <w:rFonts w:hint="eastAsia" w:ascii="宋体" w:hAnsi="宋体" w:cs="宋体"/>
          <w:b/>
          <w:color w:val="auto"/>
          <w:sz w:val="28"/>
          <w:szCs w:val="28"/>
          <w:highlight w:val="none"/>
        </w:rPr>
        <w:t>.</w:t>
      </w:r>
      <w:r>
        <w:rPr>
          <w:rFonts w:hint="eastAsia" w:hAnsi="宋体" w:cs="宋体"/>
          <w:color w:val="auto"/>
          <w:spacing w:val="7"/>
          <w:sz w:val="28"/>
          <w:szCs w:val="28"/>
          <w:highlight w:val="none"/>
          <w:shd w:val="clear" w:color="auto" w:fill="FFFFFF"/>
        </w:rPr>
        <w:t>单位负责人为同一人或者存在直接控股、管理关系的不同供应商，不得参加同一合同项下的政府采购活动。</w:t>
      </w:r>
    </w:p>
    <w:p w14:paraId="3CBAE1A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注：在开标现场，将由采购人或采购代理机构通过“天眼查或企查查”查询投标单位之间是否存在法定关联性关系。若存在法定关联性关系将按无效投标处理。查询结果留存归档。</w:t>
      </w:r>
    </w:p>
    <w:p w14:paraId="39E9D6AC">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三、获取招标文件</w:t>
      </w:r>
    </w:p>
    <w:p w14:paraId="56EFD0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时间：自招标公告发布之日起至2026年</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日14点30分（北京时间）</w:t>
      </w:r>
    </w:p>
    <w:p w14:paraId="4E40F79D">
      <w:pPr>
        <w:adjustRightInd w:val="0"/>
        <w:snapToGrid w:val="0"/>
        <w:spacing w:line="52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地点：</w:t>
      </w:r>
      <w:r>
        <w:rPr>
          <w:rFonts w:hint="eastAsia" w:ascii="宋体" w:hAnsi="宋体" w:cs="宋体"/>
          <w:color w:val="auto"/>
          <w:sz w:val="28"/>
          <w:szCs w:val="28"/>
          <w:highlight w:val="none"/>
          <w:lang w:eastAsia="zh-CN"/>
        </w:rPr>
        <w:t>江苏招标采购服务平台、南通职业大学网站</w:t>
      </w:r>
    </w:p>
    <w:p w14:paraId="1D9E985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方式：自行下载招标文件</w:t>
      </w:r>
    </w:p>
    <w:p w14:paraId="06E4140C">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四、提交投标文件截止时间、开标时间和地点</w:t>
      </w:r>
    </w:p>
    <w:p w14:paraId="3342E1D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2026年</w:t>
      </w:r>
      <w:r>
        <w:rPr>
          <w:rFonts w:hint="eastAsia" w:ascii="宋体" w:hAnsi="宋体" w:cs="宋体"/>
          <w:color w:val="auto"/>
          <w:sz w:val="28"/>
          <w:szCs w:val="28"/>
          <w:highlight w:val="non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日14点30分（北京时间）。逾时，采购人将拒绝接受投标文件。</w:t>
      </w:r>
    </w:p>
    <w:p w14:paraId="340CF0D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地点：南通职业大学青年中路校区主楼1401室，如有变动另行通知。</w:t>
      </w:r>
    </w:p>
    <w:p w14:paraId="4204674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1F857DF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自本公告发布之日起5个工作日。</w:t>
      </w:r>
    </w:p>
    <w:p w14:paraId="2212675B">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284930E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1.投标保证金：免收</w:t>
      </w:r>
    </w:p>
    <w:p w14:paraId="44651E3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2.项目开标活动模式：见面开标模式，投标人在南通职业大学青年中路校区主楼1401室参加开标会。</w:t>
      </w:r>
    </w:p>
    <w:p w14:paraId="5605B2E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3.项目演示：</w:t>
      </w:r>
      <w:r>
        <w:rPr>
          <w:rFonts w:hint="eastAsia" w:ascii="宋体" w:hAnsi="宋体" w:cs="宋体"/>
          <w:color w:val="auto"/>
          <w:sz w:val="28"/>
          <w:szCs w:val="28"/>
          <w:highlight w:val="none"/>
          <w:lang w:val="en-US" w:eastAsia="zh-CN"/>
        </w:rPr>
        <w:t>无</w:t>
      </w:r>
      <w:r>
        <w:rPr>
          <w:rFonts w:hint="eastAsia" w:ascii="宋体" w:hAnsi="宋体" w:cs="宋体"/>
          <w:color w:val="auto"/>
          <w:sz w:val="28"/>
          <w:szCs w:val="28"/>
          <w:highlight w:val="none"/>
        </w:rPr>
        <w:t>。</w:t>
      </w:r>
    </w:p>
    <w:p w14:paraId="60395FF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4.对项目需求部分（投标人资格要求、项目需求、商务技术评分标准）的询问、质询请向采购人提出，由采购人负责答复；对项目招标文件其他部分的询问请向代理机构经办人提出。</w:t>
      </w:r>
    </w:p>
    <w:p w14:paraId="4356188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0D0E2F77">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七、对本次招标提出询问，请按以下方式联系。</w:t>
      </w:r>
    </w:p>
    <w:p w14:paraId="3D1DC848">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1.采购人信息</w:t>
      </w:r>
    </w:p>
    <w:p w14:paraId="44083157">
      <w:pPr>
        <w:shd w:val="clear" w:color="auto" w:fill="FFFFFF"/>
        <w:spacing w:line="520" w:lineRule="exact"/>
        <w:ind w:firstLine="588" w:firstLineChars="200"/>
        <w:rPr>
          <w:rFonts w:hint="eastAsia" w:ascii="宋体" w:hAnsi="宋体" w:cs="宋体"/>
          <w:color w:val="auto"/>
          <w:spacing w:val="7"/>
          <w:sz w:val="28"/>
          <w:szCs w:val="28"/>
          <w:highlight w:val="none"/>
        </w:rPr>
      </w:pPr>
      <w:bookmarkStart w:id="3" w:name="_Toc35393807"/>
      <w:bookmarkStart w:id="4" w:name="_Toc28359097"/>
      <w:bookmarkStart w:id="5" w:name="_Toc35393638"/>
      <w:bookmarkStart w:id="6" w:name="_Toc28359020"/>
      <w:r>
        <w:rPr>
          <w:rFonts w:hint="eastAsia" w:ascii="宋体" w:hAnsi="宋体" w:cs="宋体"/>
          <w:color w:val="auto"/>
          <w:spacing w:val="7"/>
          <w:sz w:val="28"/>
          <w:szCs w:val="28"/>
          <w:highlight w:val="none"/>
        </w:rPr>
        <w:t>名称：南通职业大学</w:t>
      </w:r>
    </w:p>
    <w:p w14:paraId="31A61D6F">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地址：江苏省南通市青年中路89号 </w:t>
      </w:r>
    </w:p>
    <w:p w14:paraId="76DC317A">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联系人：徐老师</w:t>
      </w:r>
    </w:p>
    <w:p w14:paraId="56777CFC">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联系方式：13962958530</w:t>
      </w:r>
    </w:p>
    <w:p w14:paraId="7C0657CD">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2.</w:t>
      </w:r>
      <w:r>
        <w:rPr>
          <w:rFonts w:hint="eastAsia" w:ascii="宋体" w:hAnsi="宋体" w:cs="宋体"/>
          <w:color w:val="auto"/>
          <w:spacing w:val="7"/>
          <w:sz w:val="28"/>
          <w:szCs w:val="28"/>
          <w:highlight w:val="none"/>
          <w:lang w:eastAsia="zh-CN"/>
        </w:rPr>
        <w:t>采购代理机构</w:t>
      </w:r>
      <w:r>
        <w:rPr>
          <w:rFonts w:hint="eastAsia" w:ascii="宋体" w:hAnsi="宋体" w:cs="宋体"/>
          <w:color w:val="auto"/>
          <w:spacing w:val="7"/>
          <w:sz w:val="28"/>
          <w:szCs w:val="28"/>
          <w:highlight w:val="none"/>
        </w:rPr>
        <w:t>信息</w:t>
      </w:r>
      <w:bookmarkEnd w:id="3"/>
      <w:bookmarkEnd w:id="4"/>
      <w:bookmarkEnd w:id="5"/>
      <w:bookmarkEnd w:id="6"/>
    </w:p>
    <w:p w14:paraId="7900321D">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名称：江苏中润工程建设咨询有限公司</w:t>
      </w:r>
    </w:p>
    <w:p w14:paraId="551CCDE1">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地址：南通市崇川路58号</w:t>
      </w:r>
    </w:p>
    <w:p w14:paraId="1175A4E5">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联系方式：王工0513-55887688、13906272111</w:t>
      </w:r>
    </w:p>
    <w:p w14:paraId="224C025E">
      <w:pPr>
        <w:spacing w:line="800" w:lineRule="exact"/>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第二部分投标须知</w:t>
      </w:r>
    </w:p>
    <w:p w14:paraId="295B3E2F">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7" w:name="_Toc20823275"/>
      <w:bookmarkStart w:id="8" w:name="_Toc513029203"/>
      <w:bookmarkStart w:id="9" w:name="_Toc16938519"/>
      <w:bookmarkStart w:id="10" w:name="_Toc120614214"/>
      <w:r>
        <w:rPr>
          <w:rFonts w:hint="eastAsia" w:ascii="宋体" w:hAnsi="宋体" w:cs="宋体"/>
          <w:color w:val="auto"/>
          <w:sz w:val="28"/>
          <w:szCs w:val="28"/>
          <w:highlight w:val="none"/>
        </w:rPr>
        <w:t>一、总则</w:t>
      </w:r>
      <w:bookmarkEnd w:id="7"/>
      <w:bookmarkEnd w:id="8"/>
      <w:bookmarkEnd w:id="9"/>
      <w:bookmarkEnd w:id="10"/>
    </w:p>
    <w:p w14:paraId="17AB310D">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1" w:name="_Hlt16619475"/>
      <w:bookmarkEnd w:id="11"/>
      <w:bookmarkStart w:id="12" w:name="_Toc458694821"/>
      <w:bookmarkStart w:id="13" w:name="_Toc16938520"/>
      <w:bookmarkStart w:id="14" w:name="_Toc20823276"/>
      <w:bookmarkStart w:id="15" w:name="_Toc513029204"/>
      <w:r>
        <w:rPr>
          <w:rFonts w:hint="eastAsia" w:ascii="宋体" w:hAnsi="宋体" w:eastAsia="宋体" w:cs="宋体"/>
          <w:color w:val="auto"/>
          <w:sz w:val="28"/>
          <w:szCs w:val="28"/>
          <w:highlight w:val="none"/>
        </w:rPr>
        <w:t>1</w:t>
      </w:r>
      <w:bookmarkEnd w:id="12"/>
      <w:r>
        <w:rPr>
          <w:rFonts w:hint="eastAsia" w:ascii="宋体" w:hAnsi="宋体" w:eastAsia="宋体" w:cs="宋体"/>
          <w:color w:val="auto"/>
          <w:sz w:val="28"/>
          <w:szCs w:val="28"/>
          <w:highlight w:val="none"/>
        </w:rPr>
        <w:t>.</w:t>
      </w:r>
      <w:bookmarkEnd w:id="13"/>
      <w:bookmarkEnd w:id="14"/>
      <w:bookmarkEnd w:id="15"/>
      <w:r>
        <w:rPr>
          <w:rFonts w:hint="eastAsia" w:ascii="宋体" w:hAnsi="宋体" w:eastAsia="宋体" w:cs="宋体"/>
          <w:color w:val="auto"/>
          <w:sz w:val="28"/>
          <w:szCs w:val="28"/>
          <w:highlight w:val="none"/>
        </w:rPr>
        <w:t>采购方式</w:t>
      </w:r>
    </w:p>
    <w:p w14:paraId="23FC675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1.1本次招标采取公开采购方式，本招标文件仅适用于招标公告中所述项目。</w:t>
      </w:r>
    </w:p>
    <w:p w14:paraId="481FB553">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6" w:name="_Toc20823277"/>
      <w:bookmarkStart w:id="17" w:name="_Toc16938521"/>
      <w:bookmarkStart w:id="18" w:name="_Toc513029205"/>
      <w:r>
        <w:rPr>
          <w:rFonts w:hint="eastAsia" w:ascii="宋体" w:hAnsi="宋体" w:eastAsia="宋体" w:cs="宋体"/>
          <w:color w:val="auto"/>
          <w:sz w:val="28"/>
          <w:szCs w:val="28"/>
          <w:highlight w:val="none"/>
        </w:rPr>
        <w:t>2.合格的投标人</w:t>
      </w:r>
      <w:bookmarkEnd w:id="16"/>
      <w:bookmarkEnd w:id="17"/>
      <w:bookmarkEnd w:id="18"/>
    </w:p>
    <w:p w14:paraId="347DD31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2.1满足招标公告中投标人的资格要求的规定。</w:t>
      </w:r>
    </w:p>
    <w:p w14:paraId="7F9AA0D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2.2满足本文件实质性条款的规定。</w:t>
      </w:r>
    </w:p>
    <w:p w14:paraId="2FCF8676">
      <w:pPr>
        <w:pStyle w:val="9"/>
        <w:adjustRightInd w:val="0"/>
        <w:snapToGrid w:val="0"/>
        <w:spacing w:line="520" w:lineRule="exact"/>
        <w:ind w:firstLine="562" w:firstLineChars="200"/>
        <w:jc w:val="both"/>
        <w:rPr>
          <w:rFonts w:hint="eastAsia" w:ascii="宋体" w:hAnsi="宋体" w:eastAsia="宋体" w:cs="宋体"/>
          <w:b/>
          <w:bCs/>
          <w:color w:val="auto"/>
          <w:sz w:val="28"/>
          <w:szCs w:val="28"/>
          <w:highlight w:val="none"/>
        </w:rPr>
      </w:pPr>
      <w:bookmarkStart w:id="19" w:name="_Toc16938522"/>
      <w:bookmarkStart w:id="20" w:name="_Toc20823278"/>
      <w:bookmarkStart w:id="21" w:name="_Toc513029206"/>
      <w:r>
        <w:rPr>
          <w:rFonts w:hint="eastAsia" w:ascii="宋体" w:hAnsi="宋体" w:eastAsia="宋体" w:cs="宋体"/>
          <w:b/>
          <w:bCs/>
          <w:color w:val="auto"/>
          <w:sz w:val="28"/>
          <w:szCs w:val="28"/>
          <w:highlight w:val="none"/>
        </w:rPr>
        <w:t>采购项目招标开始后，不再接受投标人对招标文件（含更正公告等）内容的异议或质询（质疑）。</w:t>
      </w:r>
    </w:p>
    <w:p w14:paraId="71277EAA">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3.适用法律</w:t>
      </w:r>
      <w:bookmarkEnd w:id="19"/>
      <w:bookmarkEnd w:id="20"/>
      <w:bookmarkEnd w:id="21"/>
    </w:p>
    <w:p w14:paraId="048F368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3.1本次招标及由此产生的合同受中华人民共和国有关的法律法规制约和保护。</w:t>
      </w:r>
    </w:p>
    <w:p w14:paraId="105CE648">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22" w:name="_Toc16938523"/>
      <w:bookmarkStart w:id="23" w:name="_Toc513029207"/>
      <w:bookmarkStart w:id="24" w:name="_Toc20823279"/>
      <w:bookmarkStart w:id="25" w:name="_Toc462564067"/>
      <w:r>
        <w:rPr>
          <w:rFonts w:hint="eastAsia" w:ascii="宋体" w:hAnsi="宋体" w:eastAsia="宋体" w:cs="宋体"/>
          <w:color w:val="auto"/>
          <w:sz w:val="28"/>
          <w:szCs w:val="28"/>
          <w:highlight w:val="none"/>
        </w:rPr>
        <w:t>4.投标费用</w:t>
      </w:r>
      <w:bookmarkEnd w:id="22"/>
      <w:bookmarkEnd w:id="23"/>
      <w:bookmarkEnd w:id="24"/>
      <w:bookmarkEnd w:id="25"/>
    </w:p>
    <w:p w14:paraId="112399E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4.1供应商应自行承担所有与参与投标有关的费用，无论投标过程中的做法和结果如何，江苏中润工程建设咨询有限公司（以下简称</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）在任何情况下均无义务和责任承担这些费用（不含专家评审费）。</w:t>
      </w:r>
    </w:p>
    <w:p w14:paraId="0BD42A2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4.2本项目工本费200元/份，于开标现场支付给采购代理机构，无论是否中标售后不退。</w:t>
      </w:r>
    </w:p>
    <w:p w14:paraId="0C437055">
      <w:pPr>
        <w:spacing w:line="460" w:lineRule="exact"/>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4.3本项目招标代理费收取标准以中标价为基准，乘以招标代理收费费率，投标人</w:t>
      </w:r>
      <w:r>
        <w:rPr>
          <w:rFonts w:hint="eastAsia" w:ascii="宋体" w:hAnsi="宋体" w:cs="宋体"/>
          <w:color w:val="auto"/>
          <w:sz w:val="28"/>
          <w:szCs w:val="28"/>
          <w:highlight w:val="none"/>
          <w:lang w:val="zh-CN"/>
        </w:rPr>
        <w:t>综合考虑在报价内（不单列）。</w:t>
      </w:r>
    </w:p>
    <w:p w14:paraId="30D5E8BA">
      <w:pPr>
        <w:adjustRightInd w:val="0"/>
        <w:snapToGrid w:val="0"/>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招标代理收费费率标准：</w:t>
      </w:r>
    </w:p>
    <w:tbl>
      <w:tblPr>
        <w:tblStyle w:val="36"/>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29FF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0F679E62">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中标金额</w:t>
            </w:r>
          </w:p>
        </w:tc>
        <w:tc>
          <w:tcPr>
            <w:tcW w:w="4497" w:type="dxa"/>
            <w:vAlign w:val="center"/>
          </w:tcPr>
          <w:p w14:paraId="3C55FDA1">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w:t>
            </w:r>
          </w:p>
        </w:tc>
      </w:tr>
      <w:tr w14:paraId="03D3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5E15420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20万元（不含）以下</w:t>
            </w:r>
          </w:p>
        </w:tc>
        <w:tc>
          <w:tcPr>
            <w:tcW w:w="4497" w:type="dxa"/>
            <w:vAlign w:val="center"/>
          </w:tcPr>
          <w:p w14:paraId="7414D2A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固定3000元</w:t>
            </w:r>
          </w:p>
        </w:tc>
      </w:tr>
      <w:tr w14:paraId="7706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5B7C2EAF">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20万元（含）-50万元（含）</w:t>
            </w:r>
          </w:p>
        </w:tc>
        <w:tc>
          <w:tcPr>
            <w:tcW w:w="4497" w:type="dxa"/>
            <w:vAlign w:val="center"/>
          </w:tcPr>
          <w:p w14:paraId="7BA865EB">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0.8%</w:t>
            </w:r>
          </w:p>
        </w:tc>
      </w:tr>
      <w:tr w14:paraId="1C6F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73B7B42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50万元（不含）-400万元（含）</w:t>
            </w:r>
          </w:p>
        </w:tc>
        <w:tc>
          <w:tcPr>
            <w:tcW w:w="4497" w:type="dxa"/>
            <w:vAlign w:val="center"/>
          </w:tcPr>
          <w:p w14:paraId="2176C0B0">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0.75%</w:t>
            </w:r>
          </w:p>
        </w:tc>
      </w:tr>
      <w:tr w14:paraId="484F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1721E103">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400万元（不含）-1000万元（含）</w:t>
            </w:r>
          </w:p>
        </w:tc>
        <w:tc>
          <w:tcPr>
            <w:tcW w:w="4497" w:type="dxa"/>
            <w:vAlign w:val="center"/>
          </w:tcPr>
          <w:p w14:paraId="39E19786">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0.55%</w:t>
            </w:r>
          </w:p>
        </w:tc>
      </w:tr>
      <w:tr w14:paraId="2243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736" w:type="dxa"/>
            <w:gridSpan w:val="2"/>
            <w:vAlign w:val="center"/>
          </w:tcPr>
          <w:p w14:paraId="7A84D16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招标代理费最低保底收费3000元，超过15000元按15000元计收</w:t>
            </w:r>
          </w:p>
        </w:tc>
      </w:tr>
    </w:tbl>
    <w:p w14:paraId="15C8C37F">
      <w:pPr>
        <w:keepNext/>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代理费定标后由中标候选人支付给代理机构。因中标人原因导致中标结果变更或取消中标资格等，代理费不予退还。</w:t>
      </w:r>
    </w:p>
    <w:p w14:paraId="78208DB3">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5.招标文件的约束力</w:t>
      </w:r>
    </w:p>
    <w:p w14:paraId="0D1AC27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投标人一旦参加本项目采购活动，即被认为接受了本招标文件的规定和约束。</w:t>
      </w:r>
    </w:p>
    <w:p w14:paraId="5C417C20">
      <w:pPr>
        <w:pStyle w:val="9"/>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6.招标文件的解释</w:t>
      </w:r>
    </w:p>
    <w:p w14:paraId="10C0BFE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招标文件需求部分（投标人资格要求、项目需求、商务技术评分标准）由采购人解释，其他部分由代理机构解释。</w:t>
      </w:r>
    </w:p>
    <w:p w14:paraId="6E9EA1BE">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26" w:name="_Toc120614215"/>
      <w:bookmarkStart w:id="27" w:name="_Toc20823281"/>
      <w:bookmarkStart w:id="28" w:name="_Toc513029209"/>
      <w:bookmarkStart w:id="29" w:name="_Toc16938525"/>
      <w:r>
        <w:rPr>
          <w:rFonts w:hint="eastAsia" w:ascii="宋体" w:hAnsi="宋体" w:cs="宋体"/>
          <w:color w:val="auto"/>
          <w:sz w:val="28"/>
          <w:szCs w:val="28"/>
          <w:highlight w:val="none"/>
        </w:rPr>
        <w:t>二、招标文件</w:t>
      </w:r>
      <w:bookmarkEnd w:id="26"/>
      <w:bookmarkEnd w:id="27"/>
      <w:bookmarkEnd w:id="28"/>
      <w:bookmarkEnd w:id="29"/>
    </w:p>
    <w:p w14:paraId="37B131F9">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0" w:name="_Toc16938526"/>
      <w:bookmarkStart w:id="31" w:name="_Toc513029210"/>
      <w:bookmarkStart w:id="32" w:name="_Toc20823282"/>
      <w:r>
        <w:rPr>
          <w:rFonts w:hint="eastAsia" w:ascii="宋体" w:hAnsi="宋体" w:eastAsia="宋体" w:cs="宋体"/>
          <w:color w:val="auto"/>
          <w:sz w:val="28"/>
          <w:szCs w:val="28"/>
          <w:highlight w:val="none"/>
        </w:rPr>
        <w:t>1.招标文件构成</w:t>
      </w:r>
      <w:bookmarkEnd w:id="30"/>
      <w:bookmarkEnd w:id="31"/>
      <w:bookmarkEnd w:id="32"/>
    </w:p>
    <w:p w14:paraId="3DFF2A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招标文件由以下部分组成：</w:t>
      </w:r>
    </w:p>
    <w:p w14:paraId="594898B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（1）招标邀请</w:t>
      </w:r>
    </w:p>
    <w:p w14:paraId="3E3F0E2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（2）投标须知</w:t>
      </w:r>
    </w:p>
    <w:p w14:paraId="01CA9FD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（3）项目需求</w:t>
      </w:r>
    </w:p>
    <w:p w14:paraId="60BFA11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（4）开标和评标</w:t>
      </w:r>
    </w:p>
    <w:p w14:paraId="4390EB3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（5）投标文件组成</w:t>
      </w:r>
    </w:p>
    <w:p w14:paraId="3BA35E0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（6）附件（如有）</w:t>
      </w:r>
    </w:p>
    <w:p w14:paraId="30D673B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请仔细检查招标文件是否齐全，如有缺漏请立即与代理机构联系解决。</w:t>
      </w:r>
    </w:p>
    <w:p w14:paraId="7F3C75E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8678A71">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3" w:name="_Toc513029211"/>
      <w:bookmarkStart w:id="34" w:name="_Toc16938527"/>
      <w:bookmarkStart w:id="35" w:name="_Toc462564070"/>
      <w:bookmarkStart w:id="36" w:name="_Toc20823283"/>
      <w:r>
        <w:rPr>
          <w:rFonts w:hint="eastAsia" w:ascii="宋体" w:hAnsi="宋体" w:eastAsia="宋体" w:cs="宋体"/>
          <w:color w:val="auto"/>
          <w:sz w:val="28"/>
          <w:szCs w:val="28"/>
          <w:highlight w:val="none"/>
        </w:rPr>
        <w:t>2.招标文件的澄清</w:t>
      </w:r>
      <w:bookmarkEnd w:id="33"/>
      <w:bookmarkEnd w:id="34"/>
      <w:bookmarkEnd w:id="35"/>
      <w:bookmarkEnd w:id="36"/>
    </w:p>
    <w:p w14:paraId="1FD3939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任何要求对招标文件进行澄清的投标人，应在投标截止期十日前按招标公告中的通讯地址，以书面形式通知采购人。采购人有权对发出的招标文件进行必要的澄清或修改</w:t>
      </w:r>
    </w:p>
    <w:p w14:paraId="54C1DB3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2.2采购人视情组织答疑会</w:t>
      </w:r>
    </w:p>
    <w:p w14:paraId="513D8490">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7" w:name="_Toc16938528"/>
      <w:bookmarkStart w:id="38" w:name="_Toc513029212"/>
      <w:bookmarkStart w:id="39" w:name="_Toc20823284"/>
      <w:bookmarkStart w:id="40" w:name="_Toc462564071"/>
      <w:r>
        <w:rPr>
          <w:rFonts w:hint="eastAsia" w:ascii="宋体" w:hAnsi="宋体" w:eastAsia="宋体" w:cs="宋体"/>
          <w:color w:val="auto"/>
          <w:sz w:val="28"/>
          <w:szCs w:val="28"/>
          <w:highlight w:val="none"/>
        </w:rPr>
        <w:t>3.招标文件的修改</w:t>
      </w:r>
      <w:bookmarkEnd w:id="37"/>
      <w:bookmarkEnd w:id="38"/>
      <w:bookmarkEnd w:id="39"/>
      <w:bookmarkEnd w:id="40"/>
    </w:p>
    <w:p w14:paraId="4FAA174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在投标截止时间前，代理机构可以对招标文件进行修改。</w:t>
      </w:r>
    </w:p>
    <w:p w14:paraId="7936A3E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3.2</w:t>
      </w:r>
      <w:r>
        <w:rPr>
          <w:rFonts w:hint="eastAsia" w:ascii="宋体" w:hAnsi="宋体" w:cs="宋体"/>
          <w:color w:val="auto"/>
          <w:sz w:val="28"/>
          <w:szCs w:val="28"/>
          <w:highlight w:val="none"/>
        </w:rPr>
        <w:t>代理机构有权按照法定的要求推迟投标截止日期和开标日期。</w:t>
      </w:r>
    </w:p>
    <w:p w14:paraId="61A4678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3.3</w:t>
      </w:r>
      <w:r>
        <w:rPr>
          <w:rFonts w:hint="eastAsia" w:ascii="宋体" w:hAnsi="宋体" w:cs="宋体"/>
          <w:color w:val="auto"/>
          <w:sz w:val="28"/>
          <w:szCs w:val="28"/>
          <w:highlight w:val="none"/>
        </w:rPr>
        <w:t>招标文件的修改将在</w:t>
      </w:r>
      <w:r>
        <w:rPr>
          <w:rFonts w:hint="eastAsia" w:ascii="宋体" w:hAnsi="宋体" w:cs="宋体"/>
          <w:color w:val="auto"/>
          <w:sz w:val="28"/>
          <w:szCs w:val="28"/>
          <w:highlight w:val="none"/>
          <w:lang w:eastAsia="zh-CN"/>
        </w:rPr>
        <w:t>江苏招标采购服务平台、南通职业大学网站</w:t>
      </w:r>
      <w:r>
        <w:rPr>
          <w:rFonts w:hint="eastAsia" w:ascii="宋体" w:hAnsi="宋体" w:cs="宋体"/>
          <w:color w:val="auto"/>
          <w:sz w:val="28"/>
          <w:szCs w:val="28"/>
          <w:highlight w:val="none"/>
        </w:rPr>
        <w:t>公布，补充文件将作为招标文件的组成部分，并对投标人具有约束力。</w:t>
      </w:r>
    </w:p>
    <w:p w14:paraId="5E9433E4">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41" w:name="_Toc20823285"/>
      <w:bookmarkStart w:id="42" w:name="_Toc513029213"/>
      <w:bookmarkStart w:id="43" w:name="_Toc462564072"/>
      <w:bookmarkStart w:id="44" w:name="_Toc16938529"/>
      <w:bookmarkStart w:id="45" w:name="_Toc120614216"/>
      <w:r>
        <w:rPr>
          <w:rFonts w:hint="eastAsia" w:ascii="宋体" w:hAnsi="宋体" w:cs="宋体"/>
          <w:color w:val="auto"/>
          <w:sz w:val="28"/>
          <w:szCs w:val="28"/>
          <w:highlight w:val="none"/>
        </w:rPr>
        <w:t>三、投标文件的编制</w:t>
      </w:r>
      <w:bookmarkEnd w:id="41"/>
      <w:bookmarkEnd w:id="42"/>
      <w:bookmarkEnd w:id="43"/>
      <w:bookmarkEnd w:id="44"/>
      <w:bookmarkEnd w:id="45"/>
    </w:p>
    <w:p w14:paraId="75023E29">
      <w:pPr>
        <w:pStyle w:val="9"/>
        <w:adjustRightInd w:val="0"/>
        <w:snapToGrid w:val="0"/>
        <w:spacing w:line="520" w:lineRule="exact"/>
        <w:ind w:firstLine="560" w:firstLineChars="200"/>
        <w:jc w:val="both"/>
        <w:rPr>
          <w:rFonts w:hint="eastAsia" w:ascii="宋体" w:hAnsi="宋体" w:eastAsia="宋体" w:cs="宋体"/>
          <w:bCs/>
          <w:color w:val="auto"/>
          <w:sz w:val="28"/>
          <w:szCs w:val="28"/>
          <w:highlight w:val="none"/>
        </w:rPr>
      </w:pPr>
      <w:bookmarkStart w:id="46" w:name="_Toc513029214"/>
      <w:bookmarkStart w:id="47" w:name="_Toc20823286"/>
      <w:bookmarkStart w:id="48" w:name="_Toc462564073"/>
      <w:bookmarkStart w:id="49" w:name="_Toc16938530"/>
      <w:r>
        <w:rPr>
          <w:rFonts w:hint="eastAsia" w:ascii="宋体" w:hAnsi="宋体" w:eastAsia="宋体" w:cs="宋体"/>
          <w:color w:val="auto"/>
          <w:sz w:val="28"/>
          <w:szCs w:val="28"/>
          <w:highlight w:val="none"/>
        </w:rPr>
        <w:t>1.投标文件的语言及度量衡单位</w:t>
      </w:r>
      <w:bookmarkEnd w:id="46"/>
      <w:bookmarkEnd w:id="47"/>
      <w:bookmarkEnd w:id="48"/>
      <w:bookmarkEnd w:id="49"/>
    </w:p>
    <w:p w14:paraId="3B9235C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投标人提交的投标文件以及投标人与代理机构就有关投标的所有来往通知、函件和文件均应使用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3B479C5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除技术性能另有规定外，投标文件所使用的度量衡单位，均须采用国家法定计量单位。</w:t>
      </w:r>
    </w:p>
    <w:p w14:paraId="2907A931">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0" w:name="_Toc513029215"/>
      <w:bookmarkStart w:id="51" w:name="_Toc16938531"/>
      <w:bookmarkStart w:id="52" w:name="_Toc462564074"/>
      <w:bookmarkStart w:id="53" w:name="_Toc20823287"/>
      <w:r>
        <w:rPr>
          <w:rFonts w:hint="eastAsia" w:ascii="宋体" w:hAnsi="宋体" w:eastAsia="宋体" w:cs="宋体"/>
          <w:color w:val="auto"/>
          <w:sz w:val="28"/>
          <w:szCs w:val="28"/>
          <w:highlight w:val="none"/>
        </w:rPr>
        <w:t>2.投标文件构成</w:t>
      </w:r>
      <w:bookmarkEnd w:id="50"/>
      <w:bookmarkEnd w:id="51"/>
      <w:bookmarkEnd w:id="52"/>
      <w:bookmarkEnd w:id="53"/>
    </w:p>
    <w:p w14:paraId="53DD9C5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投标人编写的投标文件应包括资格审查文件、商务技术文件、价格文件、电子投标文件。投标人按“第五部分投标文件组成”要求编写投标文件。</w:t>
      </w:r>
    </w:p>
    <w:p w14:paraId="63E2216D">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4" w:name="_Hlt26668975"/>
      <w:bookmarkEnd w:id="54"/>
      <w:bookmarkStart w:id="55" w:name="_Hlt26670360"/>
      <w:bookmarkEnd w:id="55"/>
      <w:bookmarkStart w:id="56" w:name="_Hlt26954838"/>
      <w:bookmarkEnd w:id="56"/>
      <w:bookmarkStart w:id="57" w:name="_Toc14577360"/>
      <w:bookmarkStart w:id="58" w:name="_Toc49090511"/>
      <w:r>
        <w:rPr>
          <w:rFonts w:hint="eastAsia" w:ascii="宋体" w:hAnsi="宋体" w:eastAsia="宋体" w:cs="宋体"/>
          <w:color w:val="auto"/>
          <w:sz w:val="28"/>
          <w:szCs w:val="28"/>
          <w:highlight w:val="none"/>
        </w:rPr>
        <w:t>3.投标有效期</w:t>
      </w:r>
      <w:bookmarkEnd w:id="57"/>
      <w:bookmarkEnd w:id="58"/>
    </w:p>
    <w:p w14:paraId="134D112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3.1投标有效期为代理机构规定的开标之日后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。投标有效期比规定短的将被视为非响应性投标而予以拒绝。</w:t>
      </w:r>
    </w:p>
    <w:p w14:paraId="74BEB2F7">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4.投标有效期的延长</w:t>
      </w:r>
    </w:p>
    <w:p w14:paraId="5BDD352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受投标有效期约束的所有权利与义务均延长至新的有效期</w:t>
      </w:r>
      <w:r>
        <w:rPr>
          <w:rFonts w:hint="eastAsia" w:ascii="宋体" w:hAnsi="宋体" w:cs="宋体"/>
          <w:bCs/>
          <w:color w:val="auto"/>
          <w:sz w:val="28"/>
          <w:szCs w:val="28"/>
          <w:highlight w:val="none"/>
        </w:rPr>
        <w:t>。</w:t>
      </w:r>
    </w:p>
    <w:p w14:paraId="73FFD121">
      <w:pPr>
        <w:pStyle w:val="9"/>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5.投标人资格要求</w:t>
      </w:r>
    </w:p>
    <w:p w14:paraId="6AD547E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5.1投标人应具备承担本项目的资格要求。</w:t>
      </w:r>
    </w:p>
    <w:p w14:paraId="21AB71B0">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59" w:name="_Hlt26954739"/>
      <w:bookmarkEnd w:id="59"/>
      <w:bookmarkStart w:id="60" w:name="_Hlt26954852"/>
      <w:bookmarkEnd w:id="60"/>
      <w:bookmarkStart w:id="61" w:name="_Toc20823296"/>
      <w:bookmarkStart w:id="62" w:name="_Toc120614217"/>
      <w:bookmarkStart w:id="63" w:name="_Toc513029224"/>
      <w:bookmarkStart w:id="64" w:name="_Toc16938540"/>
      <w:r>
        <w:rPr>
          <w:rFonts w:hint="eastAsia" w:ascii="宋体" w:hAnsi="宋体" w:cs="宋体"/>
          <w:color w:val="auto"/>
          <w:sz w:val="28"/>
          <w:szCs w:val="28"/>
          <w:highlight w:val="none"/>
        </w:rPr>
        <w:t>四、投标文件的递交</w:t>
      </w:r>
      <w:bookmarkEnd w:id="61"/>
      <w:bookmarkEnd w:id="62"/>
      <w:bookmarkEnd w:id="63"/>
      <w:bookmarkEnd w:id="64"/>
    </w:p>
    <w:p w14:paraId="73B46C5C">
      <w:pPr>
        <w:adjustRightInd w:val="0"/>
        <w:snapToGrid w:val="0"/>
        <w:spacing w:line="520" w:lineRule="exact"/>
        <w:ind w:firstLine="560" w:firstLineChars="200"/>
        <w:rPr>
          <w:rFonts w:hint="eastAsia" w:ascii="宋体" w:hAnsi="宋体" w:cs="宋体"/>
          <w:color w:val="auto"/>
          <w:kern w:val="0"/>
          <w:sz w:val="28"/>
          <w:szCs w:val="28"/>
          <w:highlight w:val="none"/>
        </w:rPr>
      </w:pPr>
      <w:bookmarkStart w:id="65" w:name="_Toc513029226"/>
      <w:bookmarkStart w:id="66" w:name="_Toc16938542"/>
      <w:bookmarkStart w:id="67" w:name="_Toc20823298"/>
      <w:r>
        <w:rPr>
          <w:rFonts w:hint="eastAsia" w:ascii="宋体" w:hAnsi="宋体" w:cs="宋体"/>
          <w:color w:val="auto"/>
          <w:kern w:val="0"/>
          <w:sz w:val="28"/>
          <w:szCs w:val="28"/>
          <w:highlight w:val="none"/>
        </w:rPr>
        <w:t>1.投标文件的组成</w:t>
      </w:r>
    </w:p>
    <w:p w14:paraId="5126D6C8">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1.1纸质投标文件分资格审查文件、商务技术文件、价格文件三部分内容。每一部分内容均须提供“一份正本、二份副本”纸质投标文件，须分别单独牢固装订，不得相互混淆，文件自编目录并连续标注页码，不得将内容拆开。价格文件不得出现于资格审查文件和商务技术文件中。</w:t>
      </w:r>
    </w:p>
    <w:p w14:paraId="45A40ECD">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1.2纸质投标文件分三个密封袋（箱）提交。其中：</w:t>
      </w:r>
    </w:p>
    <w:p w14:paraId="2B772EE0">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资格审查文件的正、副本纸质投标文件密封在一个单独的密封袋内；</w:t>
      </w:r>
    </w:p>
    <w:p w14:paraId="6AD7D29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商务技术文件的正、副本纸质投标文件及图纸类（如需提供图纸等其他资料的话）等密封在一个单独的密封袋或密封箱内（如有A3大小的图纸类，可单独密封）；</w:t>
      </w:r>
    </w:p>
    <w:p w14:paraId="42902CC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价格文件的正、副本纸质投标文件密封在一个单独的密封袋内。</w:t>
      </w:r>
    </w:p>
    <w:p w14:paraId="56FBC16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1.3纸质投标文件须采用A4纸（图纸等除外），正、副本须打印并按招标文件要求由法定代表人或授权人签字并加盖单位印章。文件内容中不得行间插字、涂改、增删，如修补错漏处，须由投标文件签署人签字并加盖公章。</w:t>
      </w:r>
    </w:p>
    <w:p w14:paraId="2B9DF9F7">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1.4.电子投标文件（一份，单独密封提交）</w:t>
      </w:r>
    </w:p>
    <w:p w14:paraId="679BFA3D">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本项目要求提供电子投标文件一份，电子投标文件的内容为资格审查文件、商务技术文件、价格文件打印盖章（或电子签章）后的投标文件的扫描件（资格审查文件、商务技术文件、价格文件需分别逐页连续扫描为三个独立的PDF文件），可以采取U盘、电子光盘两种方式中任意一种方式提交，需单独密封提交。</w:t>
      </w:r>
    </w:p>
    <w:p w14:paraId="16FB062F">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电子投标文件内容应与提交的纸质投标文件内容一致。否则，由此产生的后果投标人自负。</w:t>
      </w:r>
    </w:p>
    <w:p w14:paraId="3C1DE33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1.5投标文件密封后应标明投标文件项目名称、项目编号、边缝处加盖单位骑缝章或骑缝签字等关键信息，</w:t>
      </w:r>
      <w:r>
        <w:rPr>
          <w:rFonts w:hint="eastAsia" w:ascii="宋体" w:hAnsi="宋体" w:cs="宋体"/>
          <w:b/>
          <w:bCs/>
          <w:color w:val="auto"/>
          <w:kern w:val="0"/>
          <w:sz w:val="28"/>
          <w:szCs w:val="28"/>
          <w:highlight w:val="none"/>
        </w:rPr>
        <w:t>密封完好以不泄露投标文件内容为主要判断依据</w:t>
      </w:r>
      <w:r>
        <w:rPr>
          <w:rFonts w:hint="eastAsia" w:ascii="宋体" w:hAnsi="宋体" w:cs="宋体"/>
          <w:color w:val="auto"/>
          <w:kern w:val="0"/>
          <w:sz w:val="28"/>
          <w:szCs w:val="28"/>
          <w:highlight w:val="none"/>
        </w:rPr>
        <w:t>。</w:t>
      </w:r>
    </w:p>
    <w:p w14:paraId="66F55FB7">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1.6递交时间：投标人须在规定的投标文件接收截止时间前送达指定地点。投标人提交投标文件，即视为已响应参加本次采购活动。</w:t>
      </w:r>
    </w:p>
    <w:p w14:paraId="52C46116">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友情提醒：①代理机构将拒绝接收在投标文件接收截止时间后递交的投标文件。②采购人、采购代理机构对投标（响应）文件的格式、形式要求，结合财政部《关于促进政府采购公平竞争优化营商环境的通知》（财库〔2019〕38号）相关规定实施。</w:t>
      </w:r>
    </w:p>
    <w:p w14:paraId="140C064F">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2.投标截止日期</w:t>
      </w:r>
      <w:bookmarkEnd w:id="65"/>
      <w:bookmarkEnd w:id="66"/>
      <w:bookmarkEnd w:id="67"/>
    </w:p>
    <w:p w14:paraId="32ADE50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2.1投标人提交投标文件的时间不得迟于招标公告中规定的投标文件提交截止时间。</w:t>
      </w:r>
    </w:p>
    <w:p w14:paraId="66252D6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投标人应充分考虑到交通路况、停车、疫情管控等风险因素，如因投标人自身原因造成的投标文件提交不成功由投标人自行承担全部责任。</w:t>
      </w:r>
    </w:p>
    <w:p w14:paraId="7E49BA9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代理机构可以按照规定，通过修改招标文件酌情延长投标截止日期，在此情况下，投标人的所有权利和义务以及投标人受制的截止日期均应以延长后新的截止日期为准。</w:t>
      </w:r>
    </w:p>
    <w:p w14:paraId="3FD11626">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68" w:name="_Toc513029227"/>
      <w:bookmarkStart w:id="69" w:name="_Toc20823299"/>
      <w:bookmarkStart w:id="70" w:name="_Toc16938543"/>
      <w:r>
        <w:rPr>
          <w:rFonts w:hint="eastAsia" w:ascii="宋体" w:hAnsi="宋体" w:eastAsia="宋体" w:cs="宋体"/>
          <w:color w:val="auto"/>
          <w:sz w:val="28"/>
          <w:szCs w:val="28"/>
          <w:highlight w:val="none"/>
        </w:rPr>
        <w:t>3.投标文件</w:t>
      </w:r>
      <w:bookmarkEnd w:id="68"/>
      <w:bookmarkEnd w:id="69"/>
      <w:bookmarkEnd w:id="70"/>
      <w:r>
        <w:rPr>
          <w:rFonts w:hint="eastAsia" w:ascii="宋体" w:hAnsi="宋体" w:eastAsia="宋体" w:cs="宋体"/>
          <w:color w:val="auto"/>
          <w:sz w:val="28"/>
          <w:szCs w:val="28"/>
          <w:highlight w:val="none"/>
        </w:rPr>
        <w:t>的拒收</w:t>
      </w:r>
    </w:p>
    <w:p w14:paraId="7904FE0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3.1代理机构拒绝接收在其规定的投标截止时间后提交的任何投标文件。</w:t>
      </w:r>
    </w:p>
    <w:p w14:paraId="6EC7F2E4">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1" w:name="_Toc513029228"/>
      <w:bookmarkStart w:id="72" w:name="_Toc16938544"/>
      <w:bookmarkStart w:id="73" w:name="_Toc20823300"/>
      <w:r>
        <w:rPr>
          <w:rFonts w:hint="eastAsia" w:ascii="宋体" w:hAnsi="宋体" w:eastAsia="宋体" w:cs="宋体"/>
          <w:color w:val="auto"/>
          <w:sz w:val="28"/>
          <w:szCs w:val="28"/>
          <w:highlight w:val="none"/>
        </w:rPr>
        <w:t>4.投标文件的撤回和修改</w:t>
      </w:r>
      <w:bookmarkEnd w:id="71"/>
      <w:bookmarkEnd w:id="72"/>
      <w:bookmarkEnd w:id="73"/>
    </w:p>
    <w:p w14:paraId="13EDA3F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4.1投标文件的撤回</w:t>
      </w:r>
    </w:p>
    <w:p w14:paraId="2AED47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4.1.1</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可在投标文件提交截止时间前，书面撤回其投标投标文件。</w:t>
      </w:r>
    </w:p>
    <w:p w14:paraId="66F8673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4.1.2投标人撤回投标文件，则认为其不再参与本项目投标活动。</w:t>
      </w:r>
    </w:p>
    <w:p w14:paraId="7A78C55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4.2投标文件的修改</w:t>
      </w:r>
    </w:p>
    <w:p w14:paraId="487C984D">
      <w:pPr>
        <w:pStyle w:val="8"/>
        <w:adjustRightInd w:val="0"/>
        <w:snapToGrid w:val="0"/>
        <w:spacing w:before="0" w:after="0" w:line="520" w:lineRule="exact"/>
        <w:ind w:firstLine="560" w:firstLineChars="200"/>
        <w:rPr>
          <w:rFonts w:hint="eastAsia" w:ascii="宋体" w:hAnsi="宋体" w:cs="宋体"/>
          <w:b w:val="0"/>
          <w:bCs w:val="0"/>
          <w:color w:val="auto"/>
          <w:sz w:val="28"/>
          <w:szCs w:val="28"/>
          <w:highlight w:val="none"/>
        </w:rPr>
      </w:pPr>
      <w:bookmarkStart w:id="74" w:name="_Toc120614218"/>
      <w:bookmarkStart w:id="75" w:name="_Toc16938545"/>
      <w:bookmarkStart w:id="76" w:name="_Toc20823301"/>
      <w:bookmarkStart w:id="77" w:name="_Toc513029229"/>
      <w:r>
        <w:rPr>
          <w:rFonts w:hint="eastAsia" w:ascii="宋体" w:hAnsi="宋体" w:cs="宋体"/>
          <w:b w:val="0"/>
          <w:bCs w:val="0"/>
          <w:color w:val="auto"/>
          <w:sz w:val="28"/>
          <w:szCs w:val="28"/>
          <w:highlight w:val="none"/>
        </w:rPr>
        <w:t>在投标文件提交截止时间之后，投标人不得再对其提交的投标文件进行修改。</w:t>
      </w:r>
    </w:p>
    <w:p w14:paraId="7E1496AF">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五、开标与评标</w:t>
      </w:r>
      <w:bookmarkEnd w:id="74"/>
      <w:bookmarkEnd w:id="75"/>
      <w:bookmarkEnd w:id="76"/>
      <w:bookmarkEnd w:id="77"/>
    </w:p>
    <w:p w14:paraId="0A2215ED">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8" w:name="_Toc16938546"/>
      <w:bookmarkStart w:id="79" w:name="_Toc513029230"/>
      <w:bookmarkStart w:id="80" w:name="_Toc20823302"/>
      <w:r>
        <w:rPr>
          <w:rFonts w:hint="eastAsia" w:ascii="宋体" w:hAnsi="宋体" w:eastAsia="宋体" w:cs="宋体"/>
          <w:color w:val="auto"/>
          <w:sz w:val="28"/>
          <w:szCs w:val="28"/>
          <w:highlight w:val="none"/>
        </w:rPr>
        <w:t>1.开标</w:t>
      </w:r>
      <w:bookmarkEnd w:id="78"/>
      <w:bookmarkEnd w:id="79"/>
      <w:bookmarkEnd w:id="80"/>
    </w:p>
    <w:p w14:paraId="1EDD888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1.1代理机构将在招标公告中规定的时间和地点组织公开开标。投标人应当按时在指定地点参加开标活动。</w:t>
      </w:r>
    </w:p>
    <w:p w14:paraId="56EAC60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1.2开标仪</w:t>
      </w:r>
      <w:r>
        <w:rPr>
          <w:rFonts w:hint="eastAsia" w:ascii="宋体" w:hAnsi="宋体" w:cs="宋体"/>
          <w:color w:val="auto"/>
          <w:sz w:val="28"/>
          <w:szCs w:val="28"/>
          <w:highlight w:val="none"/>
        </w:rPr>
        <w:t>式由代理机构组织。</w:t>
      </w:r>
    </w:p>
    <w:p w14:paraId="47743082">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1" w:name="_Toc16938547"/>
      <w:bookmarkStart w:id="82" w:name="_Toc20823303"/>
      <w:bookmarkStart w:id="83" w:name="_Toc513029231"/>
      <w:r>
        <w:rPr>
          <w:rFonts w:hint="eastAsia" w:ascii="宋体" w:hAnsi="宋体" w:eastAsia="宋体" w:cs="宋体"/>
          <w:color w:val="auto"/>
          <w:sz w:val="28"/>
          <w:szCs w:val="28"/>
          <w:highlight w:val="none"/>
        </w:rPr>
        <w:t>2评标委员会</w:t>
      </w:r>
    </w:p>
    <w:p w14:paraId="088CD894">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2.1开标后，代理机构将立即组织评标委员会（以下简称评委会）进行评标。</w:t>
      </w:r>
    </w:p>
    <w:p w14:paraId="3D0D7C5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2.2评委会由采购人代表和有关技术、经济等方面的专家组成，且人员构成符合采购有关规定。</w:t>
      </w:r>
    </w:p>
    <w:p w14:paraId="5BCB2FA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2.3评委会独立工作，负责评审所有投标文件并确定中标候选人。</w:t>
      </w:r>
    </w:p>
    <w:p w14:paraId="3713FB8E">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3.评标过程的保密与公正</w:t>
      </w:r>
    </w:p>
    <w:bookmarkEnd w:id="81"/>
    <w:bookmarkEnd w:id="82"/>
    <w:bookmarkEnd w:id="83"/>
    <w:p w14:paraId="5A21872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3.1</w:t>
      </w:r>
      <w:r>
        <w:rPr>
          <w:rFonts w:hint="eastAsia" w:ascii="宋体" w:hAnsi="宋体" w:cs="宋体"/>
          <w:bCs/>
          <w:color w:val="auto"/>
          <w:sz w:val="28"/>
          <w:szCs w:val="28"/>
          <w:highlight w:val="none"/>
        </w:rPr>
        <w:t>公开开标后，直至向中标的投标人授予合同时止，凡是与审查、澄清、评价和比较投标的有关资料以及授标建议等，采购人、评委、代理机构均不得向投标人或与评标无关的其他人员透露。</w:t>
      </w:r>
    </w:p>
    <w:p w14:paraId="6D5E876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3.2在评标过程中，投标人不得以任何行为影响评标过程，否则其投标文件将被作为无效投标文件。</w:t>
      </w:r>
    </w:p>
    <w:p w14:paraId="67C108A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3.3在评标期间，代理机构将设专门人员与投标人联系。</w:t>
      </w:r>
    </w:p>
    <w:p w14:paraId="41165B5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3.4代理机构和评标委员会不向未中标的投标人解释未中标原因，也不公布评标过程中的相关细节。</w:t>
      </w:r>
    </w:p>
    <w:p w14:paraId="1195F34C">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4" w:name="_Toc513029232"/>
      <w:bookmarkStart w:id="85" w:name="_Toc20823304"/>
      <w:bookmarkStart w:id="86" w:name="_Toc16938548"/>
      <w:r>
        <w:rPr>
          <w:rFonts w:hint="eastAsia" w:ascii="宋体" w:hAnsi="宋体" w:eastAsia="宋体" w:cs="宋体"/>
          <w:color w:val="auto"/>
          <w:sz w:val="28"/>
          <w:szCs w:val="28"/>
          <w:highlight w:val="none"/>
        </w:rPr>
        <w:t>4.投标的澄清</w:t>
      </w:r>
      <w:bookmarkEnd w:id="84"/>
      <w:bookmarkEnd w:id="85"/>
      <w:bookmarkEnd w:id="86"/>
    </w:p>
    <w:p w14:paraId="2DA0D8C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4.1评标期间，为有助于对投标文件的审查、评价和比较，评委会有权要求投标人对其投标文件进行澄清，但并非对每个投标人都作澄清要求。</w:t>
      </w:r>
    </w:p>
    <w:p w14:paraId="0E8EC37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4.2接到评委会澄清要求的投标人应按评委会规定的时间和格式做出澄清，澄清的内容作为投标文件的补充部分，但投标的价格和实质性的内容不得做任何更改。</w:t>
      </w:r>
    </w:p>
    <w:p w14:paraId="7334A1D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4.3接到评委会澄清要求的投标人如未按规定作出澄清，其风险由投标人自行承担。</w:t>
      </w:r>
    </w:p>
    <w:p w14:paraId="5007243F">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7" w:name="_Toc16938549"/>
      <w:bookmarkStart w:id="88" w:name="_Toc20823305"/>
      <w:bookmarkStart w:id="89" w:name="_Toc513029233"/>
      <w:r>
        <w:rPr>
          <w:rFonts w:hint="eastAsia" w:ascii="宋体" w:hAnsi="宋体" w:eastAsia="宋体" w:cs="宋体"/>
          <w:color w:val="auto"/>
          <w:sz w:val="28"/>
          <w:szCs w:val="28"/>
          <w:highlight w:val="none"/>
        </w:rPr>
        <w:t>5对投标文件的初审</w:t>
      </w:r>
      <w:bookmarkEnd w:id="87"/>
      <w:bookmarkEnd w:id="88"/>
      <w:bookmarkEnd w:id="89"/>
    </w:p>
    <w:p w14:paraId="3D738B8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5.1</w:t>
      </w:r>
      <w:r>
        <w:rPr>
          <w:rFonts w:hint="eastAsia" w:ascii="宋体" w:hAnsi="宋体" w:cs="宋体"/>
          <w:bCs/>
          <w:color w:val="auto"/>
          <w:sz w:val="28"/>
          <w:szCs w:val="28"/>
          <w:highlight w:val="none"/>
        </w:rPr>
        <w:t>投标文件初审分为资格审查和符合性审查。</w:t>
      </w:r>
    </w:p>
    <w:p w14:paraId="16788CF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5.1.1资格审查：依据法律法规和招标文件的规定，由采购人对投标文件中的资格证明文件进行审查。</w:t>
      </w:r>
    </w:p>
    <w:p w14:paraId="076A52B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5.1.2符合性审查：依据招标文件的规定，由评委会从投标文件的有效性、完整性和对招标文件的响应程度进行审查，以确定是否对招标文件的实质性要求作出响应。</w:t>
      </w:r>
    </w:p>
    <w:p w14:paraId="5531322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5.1.3未通过资格审查或符合性审查的投标人，代理机构将告知未通过资格审查或符合性审查的原因。</w:t>
      </w:r>
    </w:p>
    <w:p w14:paraId="52E07070">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4927F454">
      <w:pPr>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5.2.1评审中出现下列情形之一的，评审委员会应当启动异常低价投标（响应）审查程序：</w:t>
      </w:r>
    </w:p>
    <w:p w14:paraId="6C64B273">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（1）投标（响应）报价低于全部通过符合性审查供应商投标（响应）报价平均值50%的，即投标（响应）报价&lt;全部通过符合性审查供应商投标（响应）报价平均值×50%；</w:t>
      </w:r>
    </w:p>
    <w:p w14:paraId="3752BFDD">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（2）投标（响应）报价低于通过符合性审查的次低报价供应商投标（响应）报价50%的，即投标（响应）报价&lt;通过符合性审查的次低报价供应商投标（响应）报价×50%；</w:t>
      </w:r>
    </w:p>
    <w:p w14:paraId="67A9073F">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（3）投标（响应）报价低于采购项目最高限价45%的，即投标（响应）报价&lt;采购项目最高限价×45%；</w:t>
      </w:r>
    </w:p>
    <w:p w14:paraId="0C3DB466">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（4）评审委员会基于专业判断，认为供应商报价过低，有可能影响产品质量或者不能诚信履约的其他情形。</w:t>
      </w:r>
    </w:p>
    <w:p w14:paraId="1A80036E">
      <w:pPr>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相关法律法规对供应商报价有规定的，从其规定。</w:t>
      </w:r>
    </w:p>
    <w:p w14:paraId="3711243E">
      <w:pPr>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5.2.2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p>
    <w:p w14:paraId="7C6156BD">
      <w:pPr>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2657A71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5.3在详细评标之前，评委会将首先审查每份投标文件是否实质性响应了招标文件的要求。实质性响应的投标应该是与招标文件要求的全部条款、条件和规格相符，没有重大偏离或保留的投标。</w:t>
      </w:r>
    </w:p>
    <w:p w14:paraId="339BD63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8"/>
          <w:szCs w:val="28"/>
          <w:highlight w:val="none"/>
        </w:rPr>
        <w:t>评委决定投标文件的响应性只根据投标文件本身的内容，而不寻求外部的证据。</w:t>
      </w:r>
    </w:p>
    <w:p w14:paraId="373D902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5.4</w:t>
      </w:r>
      <w:r>
        <w:rPr>
          <w:rFonts w:hint="eastAsia" w:ascii="宋体" w:hAnsi="宋体" w:cs="宋体"/>
          <w:bCs/>
          <w:color w:val="auto"/>
          <w:sz w:val="28"/>
          <w:szCs w:val="28"/>
          <w:highlight w:val="none"/>
        </w:rPr>
        <w:t>如果投标文件实质上没有响应招标文件的要求，评委会将予以拒绝，投标人不得通过修改或撤销不合要求的偏离或保留而使其投标成为实质性响应的投标。</w:t>
      </w:r>
    </w:p>
    <w:p w14:paraId="15B96160">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5.5</w:t>
      </w:r>
      <w:r>
        <w:rPr>
          <w:rFonts w:hint="eastAsia" w:ascii="宋体" w:hAnsi="宋体" w:cs="宋体"/>
          <w:bCs/>
          <w:color w:val="auto"/>
          <w:sz w:val="28"/>
          <w:szCs w:val="28"/>
          <w:highlight w:val="none"/>
        </w:rPr>
        <w:t>评委会将对确定为实质性响应的投标进行进一步审核，看其是否有计算上或累加上的算术错误，修正错误的原则如下：</w:t>
      </w:r>
    </w:p>
    <w:p w14:paraId="4B71757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（1）投标文件中开标一览表内容与投标文件中相应内容不一致的，以开标一览表为准。</w:t>
      </w:r>
    </w:p>
    <w:p w14:paraId="3EC78E7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21EA2413">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（3）单价金额小数点或者百分比有明显错位的，以开标一览表的总价为准，并修改单价。</w:t>
      </w:r>
    </w:p>
    <w:p w14:paraId="152FEEA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2398C73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730B4CE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5.6</w:t>
      </w:r>
      <w:r>
        <w:rPr>
          <w:rFonts w:hint="eastAsia" w:ascii="宋体" w:hAnsi="宋体" w:cs="宋体"/>
          <w:bCs/>
          <w:color w:val="auto"/>
          <w:sz w:val="28"/>
          <w:szCs w:val="28"/>
          <w:highlight w:val="none"/>
        </w:rPr>
        <w:t>评委会将按上述修正错误的方法调整投标文件中的投标报价，并告知投标人，调整后的价格应对投标人具有约束力。如果投标人不接受修正后的价格，则其投标将被拒绝。</w:t>
      </w:r>
    </w:p>
    <w:p w14:paraId="6F990940">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5.7</w:t>
      </w:r>
      <w:r>
        <w:rPr>
          <w:rFonts w:hint="eastAsia" w:ascii="宋体" w:hAnsi="宋体" w:cs="宋体"/>
          <w:bCs/>
          <w:color w:val="auto"/>
          <w:sz w:val="28"/>
          <w:szCs w:val="28"/>
          <w:highlight w:val="none"/>
        </w:rPr>
        <w:t>评委会将允许修正投标文件中不构成重大偏离的、微小的、非正规的、不一致的或不规则的地方，但这些修改不能影响任何投标人相应的名次排列。</w:t>
      </w:r>
    </w:p>
    <w:p w14:paraId="2067A147">
      <w:pPr>
        <w:adjustRightInd w:val="0"/>
        <w:snapToGrid w:val="0"/>
        <w:spacing w:line="520" w:lineRule="exact"/>
        <w:ind w:firstLine="560" w:firstLineChars="200"/>
        <w:rPr>
          <w:rFonts w:hint="eastAsia" w:ascii="宋体" w:hAnsi="宋体" w:cs="宋体"/>
          <w:color w:val="auto"/>
          <w:sz w:val="28"/>
          <w:szCs w:val="28"/>
          <w:highlight w:val="none"/>
        </w:rPr>
      </w:pPr>
      <w:bookmarkStart w:id="90" w:name="_Toc16938550"/>
      <w:bookmarkStart w:id="91" w:name="_Toc513029234"/>
      <w:bookmarkStart w:id="92" w:name="_Toc20823306"/>
      <w:r>
        <w:rPr>
          <w:rFonts w:hint="eastAsia" w:ascii="宋体" w:hAnsi="宋体" w:cs="宋体"/>
          <w:color w:val="auto"/>
          <w:sz w:val="28"/>
          <w:szCs w:val="28"/>
          <w:highlight w:val="none"/>
        </w:rPr>
        <w:t>5.8投标人在开、评标全过程中应保持通信畅通，并安排专人与代理机构及评标委员会联系。</w:t>
      </w:r>
    </w:p>
    <w:bookmarkEnd w:id="90"/>
    <w:bookmarkEnd w:id="91"/>
    <w:bookmarkEnd w:id="92"/>
    <w:p w14:paraId="454C6186">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6.无效投标条款和废标条款</w:t>
      </w:r>
    </w:p>
    <w:p w14:paraId="5A72CFDF">
      <w:pPr>
        <w:tabs>
          <w:tab w:val="left" w:pos="6555"/>
          <w:tab w:val="right" w:pos="8306"/>
        </w:tabs>
        <w:adjustRightInd w:val="0"/>
        <w:snapToGrid w:val="0"/>
        <w:spacing w:line="520" w:lineRule="exact"/>
        <w:ind w:firstLine="560" w:firstLineChars="200"/>
        <w:rPr>
          <w:rFonts w:hint="eastAsia" w:ascii="宋体" w:hAnsi="宋体" w:cs="宋体"/>
          <w:b/>
          <w:color w:val="auto"/>
          <w:sz w:val="28"/>
          <w:szCs w:val="28"/>
          <w:highlight w:val="none"/>
        </w:rPr>
      </w:pPr>
      <w:bookmarkStart w:id="93" w:name="_Toc513029235"/>
      <w:bookmarkStart w:id="94" w:name="_Toc20823307"/>
      <w:bookmarkStart w:id="95" w:name="_Toc16938551"/>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612D07C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6.1.1投标人在规定的时间内未成功提交投标文件的。</w:t>
      </w:r>
    </w:p>
    <w:p w14:paraId="5C34258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6.1.2未完整提交投标文件的。</w:t>
      </w:r>
    </w:p>
    <w:p w14:paraId="3CE112F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6.1.3同一投标人提交两个（含两个）以上不同的响应报价的。</w:t>
      </w:r>
    </w:p>
    <w:p w14:paraId="6E84EA53">
      <w:pPr>
        <w:adjustRightInd w:val="0"/>
        <w:snapToGrid w:val="0"/>
        <w:spacing w:line="520" w:lineRule="exact"/>
        <w:ind w:firstLine="560" w:firstLineChars="20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6.1.4不具备招标文件中规定的资格要求的。</w:t>
      </w:r>
    </w:p>
    <w:p w14:paraId="2BEC334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6.1.5未通过符合性检查的。</w:t>
      </w:r>
    </w:p>
    <w:p w14:paraId="13E1B85D">
      <w:pPr>
        <w:snapToGrid w:val="0"/>
        <w:spacing w:line="460" w:lineRule="exact"/>
        <w:ind w:firstLine="562" w:firstLineChars="200"/>
        <w:rPr>
          <w:rFonts w:hint="eastAsia" w:ascii="宋体" w:hAnsi="宋体" w:cs="宋体"/>
          <w:bCs/>
          <w:color w:val="auto"/>
          <w:sz w:val="28"/>
          <w:szCs w:val="28"/>
          <w:highlight w:val="none"/>
        </w:rPr>
      </w:pPr>
      <w:r>
        <w:rPr>
          <w:rFonts w:hint="eastAsia" w:ascii="宋体" w:hAnsi="宋体" w:cs="宋体"/>
          <w:b/>
          <w:bCs/>
          <w:color w:val="auto"/>
          <w:sz w:val="28"/>
          <w:szCs w:val="28"/>
          <w:highlight w:val="none"/>
        </w:rPr>
        <w:t>6.1.6本项目投标人之间被通过“天眼查或企查查”查询确认有关联性的。</w:t>
      </w:r>
    </w:p>
    <w:p w14:paraId="1230382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6.1.7不符合法律法规和招标文件中规定的其他实质性要求的。</w:t>
      </w:r>
    </w:p>
    <w:p w14:paraId="2B42120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6.1.8投标人被“信用中国”网站（www.creditchina.gov.cn）列入失信被执行人或重大税收违法案件当事人名单或采购严重失信行为记录名单，或查询“信用中国”网站后发现投标人存在其他不符合合格投标人资格条件的信用记录。</w:t>
      </w:r>
    </w:p>
    <w:p w14:paraId="63B6684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6.1.9投标文件含有采购人不能接受的附加条件的。</w:t>
      </w:r>
    </w:p>
    <w:p w14:paraId="754B1723">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6.1.10评标小组认为投标人的报价明显低于其他通过符合性审查的投标人的报价，有可能影响产品质量或者不能诚信履约的，将要求其在合理的时间内提供说明，必要时提交相关证明材料；投标人不能证明其报价合理性的，评标小组应当将其作为无效响应处理。</w:t>
      </w:r>
    </w:p>
    <w:p w14:paraId="06B3B90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图片）。</w:t>
      </w:r>
    </w:p>
    <w:p w14:paraId="4730C8F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6.1.12投标文件未按照招标文件要求</w:t>
      </w:r>
      <w:r>
        <w:rPr>
          <w:rFonts w:hint="eastAsia" w:ascii="宋体" w:hAnsi="宋体" w:cs="宋体"/>
          <w:bCs/>
          <w:color w:val="auto"/>
          <w:sz w:val="28"/>
          <w:szCs w:val="28"/>
          <w:highlight w:val="none"/>
          <w:lang w:val="en-US" w:eastAsia="zh-CN"/>
        </w:rPr>
        <w:t>签署、</w:t>
      </w:r>
      <w:r>
        <w:rPr>
          <w:rFonts w:hint="eastAsia" w:ascii="宋体" w:hAnsi="宋体" w:cs="宋体"/>
          <w:bCs/>
          <w:color w:val="auto"/>
          <w:sz w:val="28"/>
          <w:szCs w:val="28"/>
          <w:highlight w:val="none"/>
        </w:rPr>
        <w:t>盖章的。</w:t>
      </w:r>
    </w:p>
    <w:p w14:paraId="33D0FA6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6.1.13投标人的商务技术部分得分相差悬殊，评标委员会认为得分畸低者没有实质性响应的（</w:t>
      </w:r>
      <w:r>
        <w:rPr>
          <w:rFonts w:hint="eastAsia" w:ascii="宋体" w:hAnsi="宋体" w:cs="宋体"/>
          <w:b/>
          <w:bCs w:val="0"/>
          <w:color w:val="auto"/>
          <w:sz w:val="28"/>
          <w:szCs w:val="28"/>
          <w:highlight w:val="none"/>
        </w:rPr>
        <w:t>投标人商务技术标得分低于招标文件商务技术总分的50%的</w:t>
      </w:r>
      <w:r>
        <w:rPr>
          <w:rFonts w:hint="eastAsia" w:ascii="宋体" w:hAnsi="宋体" w:cs="宋体"/>
          <w:bCs/>
          <w:color w:val="auto"/>
          <w:sz w:val="28"/>
          <w:szCs w:val="28"/>
          <w:highlight w:val="none"/>
        </w:rPr>
        <w:t>）。</w:t>
      </w:r>
    </w:p>
    <w:p w14:paraId="1D4CFE7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6.1.14启动异常低价响应审查后，供应商不提供书面说明、证明材料，或者提供的书面说明、证明材料不能证明其报价合理性的。</w:t>
      </w:r>
    </w:p>
    <w:p w14:paraId="707EB8C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6.1.15其他法律法规及本招标文件规定的属无效响应的情形。</w:t>
      </w:r>
    </w:p>
    <w:p w14:paraId="58D529D3">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6.2废标条款：</w:t>
      </w:r>
    </w:p>
    <w:p w14:paraId="1E2CF66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6.2.1符合专业条件的投标人或者对招标文件作实质响应的投标人不足三家的。</w:t>
      </w:r>
    </w:p>
    <w:p w14:paraId="21782250">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6.2.2出现影响采购公正的违法、违规行为的。</w:t>
      </w:r>
    </w:p>
    <w:p w14:paraId="3E52065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6.2.3因重大变故，采购任务取消的。</w:t>
      </w:r>
    </w:p>
    <w:p w14:paraId="4CDDCC5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6.2.4评标委员会认定招标文件存在歧义、重大缺陷导致评审工作无法进行。</w:t>
      </w:r>
    </w:p>
    <w:p w14:paraId="55C106E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6.2.5因系统故障原因造成开评标无法继续进行的（适用于不见面开标模式）。</w:t>
      </w:r>
    </w:p>
    <w:p w14:paraId="469ADD5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6.3投标截止时间结束后参加投标的投标人不足三家的处理：</w:t>
      </w:r>
    </w:p>
    <w:p w14:paraId="53AA0D2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6.3.1如出现投标截止时间结束后参加投标的投标人或者在评标期间对招标文件做出实质响应的投标人不足三家情况，按采购人采购相关规定执行。</w:t>
      </w:r>
    </w:p>
    <w:bookmarkEnd w:id="93"/>
    <w:bookmarkEnd w:id="94"/>
    <w:bookmarkEnd w:id="95"/>
    <w:p w14:paraId="632D01DC">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96" w:name="_Toc120614219"/>
      <w:r>
        <w:rPr>
          <w:rFonts w:hint="eastAsia" w:ascii="宋体" w:hAnsi="宋体" w:cs="宋体"/>
          <w:color w:val="auto"/>
          <w:sz w:val="28"/>
          <w:szCs w:val="28"/>
          <w:highlight w:val="none"/>
        </w:rPr>
        <w:t>六、定标</w:t>
      </w:r>
      <w:bookmarkEnd w:id="96"/>
    </w:p>
    <w:p w14:paraId="56F42F87">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97" w:name="_Toc16938554"/>
      <w:bookmarkStart w:id="98" w:name="_Toc20823310"/>
      <w:r>
        <w:rPr>
          <w:rFonts w:hint="eastAsia" w:ascii="宋体" w:hAnsi="宋体" w:eastAsia="宋体" w:cs="宋体"/>
          <w:color w:val="auto"/>
          <w:sz w:val="28"/>
          <w:szCs w:val="28"/>
          <w:highlight w:val="none"/>
        </w:rPr>
        <w:t>1.确定</w:t>
      </w:r>
      <w:bookmarkEnd w:id="97"/>
      <w:bookmarkEnd w:id="98"/>
      <w:r>
        <w:rPr>
          <w:rFonts w:hint="eastAsia" w:ascii="宋体" w:hAnsi="宋体" w:eastAsia="宋体" w:cs="宋体"/>
          <w:color w:val="auto"/>
          <w:sz w:val="28"/>
          <w:szCs w:val="28"/>
          <w:highlight w:val="none"/>
        </w:rPr>
        <w:t>中标单位</w:t>
      </w:r>
    </w:p>
    <w:p w14:paraId="79D17CDC">
      <w:pPr>
        <w:adjustRightInd w:val="0"/>
        <w:snapToGrid w:val="0"/>
        <w:spacing w:line="520" w:lineRule="exact"/>
        <w:ind w:firstLine="560" w:firstLineChars="20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1.1中标候选人的选取原则和数量见招标文件第四部分规定。</w:t>
      </w:r>
    </w:p>
    <w:p w14:paraId="1B97A62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1.2采购人授权评委会在中标候选人中直接确定中标人。</w:t>
      </w:r>
    </w:p>
    <w:p w14:paraId="0ADB127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代理机构将在“</w:t>
      </w:r>
      <w:r>
        <w:rPr>
          <w:rFonts w:hint="eastAsia" w:ascii="宋体" w:hAnsi="宋体" w:cs="宋体"/>
          <w:color w:val="auto"/>
          <w:sz w:val="28"/>
          <w:szCs w:val="28"/>
          <w:highlight w:val="none"/>
          <w:lang w:eastAsia="zh-CN"/>
        </w:rPr>
        <w:t>江苏招标采购服务平台、南通职业大学网站</w:t>
      </w:r>
      <w:r>
        <w:rPr>
          <w:rFonts w:hint="eastAsia" w:ascii="宋体" w:hAnsi="宋体" w:cs="宋体"/>
          <w:color w:val="auto"/>
          <w:sz w:val="28"/>
          <w:szCs w:val="28"/>
          <w:highlight w:val="none"/>
        </w:rPr>
        <w:t>”发布中标公告，公告期限为1个工作日。</w:t>
      </w:r>
    </w:p>
    <w:p w14:paraId="3F71CD7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1.4若有充分证据证明，中标人出现下列情况之一的，一经查实，将被取消中标资格：</w:t>
      </w:r>
    </w:p>
    <w:p w14:paraId="2033B04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1.4.1提供虚假材料谋取中标的。</w:t>
      </w:r>
    </w:p>
    <w:p w14:paraId="17CF132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1.4.2向采购人、代理机构行贿或者提供其他不正当利益的。</w:t>
      </w:r>
    </w:p>
    <w:p w14:paraId="2DCFFFF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1.4.3恶意竞争，投标总报价明显低于其自身合理成本且又无法提供证明的。</w:t>
      </w:r>
    </w:p>
    <w:p w14:paraId="265CBFF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1.4.4属于本文件规定的无效条件，但在评标过程中又未被评委会发现的。</w:t>
      </w:r>
    </w:p>
    <w:p w14:paraId="78E70EF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1.4.5与采购人或者其他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恶意串通的。</w:t>
      </w:r>
    </w:p>
    <w:p w14:paraId="002FFEE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的。</w:t>
      </w:r>
    </w:p>
    <w:p w14:paraId="7A558D1A">
      <w:pPr>
        <w:adjustRightInd w:val="0"/>
        <w:snapToGrid w:val="0"/>
        <w:spacing w:line="520" w:lineRule="exact"/>
        <w:ind w:firstLine="560" w:firstLineChars="200"/>
        <w:rPr>
          <w:rFonts w:hint="eastAsia" w:ascii="宋体" w:hAnsi="宋体" w:cs="宋体"/>
          <w:color w:val="auto"/>
          <w:sz w:val="28"/>
          <w:szCs w:val="28"/>
          <w:highlight w:val="none"/>
        </w:rPr>
      </w:pPr>
      <w:bookmarkStart w:id="99"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有下列情形之一的，视为投标人串通投标，投标无效：</w:t>
      </w:r>
    </w:p>
    <w:p w14:paraId="2A44460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1.5.1不同投标人的投标文件由同一单位或者个人编制；</w:t>
      </w:r>
    </w:p>
    <w:p w14:paraId="6E7BFD8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1.5.2不同投标人委托同一单位或者个人办理投标事宜；</w:t>
      </w:r>
    </w:p>
    <w:p w14:paraId="0432992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1.5.3不同投标人的投标文件载明的项目管理成员或者联系人员为同一人；</w:t>
      </w:r>
    </w:p>
    <w:p w14:paraId="26A94E0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1.5.4不同投标人的投标文件异常一致或者投标报价呈规律性差异；</w:t>
      </w:r>
    </w:p>
    <w:p w14:paraId="3C56CDB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1.5.5不同投标人的投标文件相互混装；</w:t>
      </w:r>
    </w:p>
    <w:p w14:paraId="0E3C7B12">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2.质询处理</w:t>
      </w:r>
      <w:bookmarkEnd w:id="99"/>
    </w:p>
    <w:p w14:paraId="0C19047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2.1提出质询的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应当是参与所质询项目采购活动的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。潜在</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依法获取其可质询的招标文件的，可以对招标文件提出质询。</w:t>
      </w:r>
    </w:p>
    <w:p w14:paraId="3D9B163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认为招标文件、采购过程和采购结果使自己的权益受到损害的，可以在知道或应知其权益受到损害之日起七个工作日内，以书面形式向代理机构或采购人提出质询。上述应知其权益受到损害之日，是指：</w:t>
      </w:r>
    </w:p>
    <w:p w14:paraId="493EDA61">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2.2.1</w:t>
      </w:r>
      <w:r>
        <w:rPr>
          <w:rFonts w:hint="eastAsia" w:ascii="宋体" w:hAnsi="宋体" w:cs="宋体"/>
          <w:color w:val="auto"/>
          <w:kern w:val="0"/>
          <w:sz w:val="28"/>
          <w:szCs w:val="28"/>
          <w:highlight w:val="none"/>
        </w:rPr>
        <w:t>对可以质询的招标文件提出质询的，为收到招标文件之日或者招标文件公告期限届满之日；</w:t>
      </w:r>
    </w:p>
    <w:p w14:paraId="233B66A7">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2.2.2</w:t>
      </w:r>
      <w:r>
        <w:rPr>
          <w:rFonts w:hint="eastAsia" w:ascii="宋体" w:hAnsi="宋体" w:cs="宋体"/>
          <w:b/>
          <w:bCs/>
          <w:color w:val="auto"/>
          <w:kern w:val="0"/>
          <w:sz w:val="28"/>
          <w:szCs w:val="28"/>
          <w:highlight w:val="none"/>
        </w:rPr>
        <w:t>对采购过程提出质询的，为各采购程序环节结束之日；</w:t>
      </w:r>
    </w:p>
    <w:p w14:paraId="3EEEE730">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其中：对评审过程中涉及的密封检查、身份核对、澄清等程序性事项，投标人如有异议的，必须当场提出。否则，均视为投标人无异议。无论是否成交，投标人事后不得再就前述事项提出任何异议或质询。</w:t>
      </w:r>
    </w:p>
    <w:p w14:paraId="5C9AA6D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2.2.3</w:t>
      </w:r>
      <w:r>
        <w:rPr>
          <w:rFonts w:hint="eastAsia" w:ascii="宋体" w:hAnsi="宋体" w:cs="宋体"/>
          <w:color w:val="auto"/>
          <w:kern w:val="0"/>
          <w:sz w:val="28"/>
          <w:szCs w:val="28"/>
          <w:highlight w:val="none"/>
        </w:rPr>
        <w:t>对中标或者成交结果提出质询的，为中标或者成交结果公告期限届满之日。</w:t>
      </w:r>
    </w:p>
    <w:p w14:paraId="2EBE7575">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投标人应当在法定质询期内一次性提出针对同一采购程序环节的质询。</w:t>
      </w:r>
    </w:p>
    <w:p w14:paraId="3F29913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2.3质询函必须按照本招标文件中《质询函范本》要求的格式和内容进行填写。</w:t>
      </w:r>
    </w:p>
    <w:p w14:paraId="4C8B93D6">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2.4对采购人、招标文件中项目需求、投标人资格条件、评标方法和评标标准、资格审查结果等应当由采购人答复的质疑，请向采购人提出，由采购人负责答复。投标人对其他事项的质疑，请向代理机构提出，由采购人或代理机构负责答复。</w:t>
      </w:r>
    </w:p>
    <w:p w14:paraId="368119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投标人提起质询采取书面形式，可以现场送达，也可以邮寄。</w:t>
      </w:r>
    </w:p>
    <w:p w14:paraId="1D6D612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质询受理联系信息：详见招标公告内容。</w:t>
      </w:r>
    </w:p>
    <w:p w14:paraId="4EBAFC0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采购人质询接收人及联系方式，见招标文件第一部分。</w:t>
      </w:r>
    </w:p>
    <w:p w14:paraId="3791DC4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2.5以下情形的质询不予受理</w:t>
      </w:r>
    </w:p>
    <w:p w14:paraId="0995946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2.5.1内容不符合上述规定的质询。</w:t>
      </w:r>
    </w:p>
    <w:p w14:paraId="2B55927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2.5.2超出采购法定期限的质询。</w:t>
      </w:r>
    </w:p>
    <w:p w14:paraId="1469EEB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2.5.3未参加招标活动的投标人或在招标活动中自身权益未受到损害的投标人所提出的质询。</w:t>
      </w:r>
    </w:p>
    <w:p w14:paraId="438BCAA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2.6投标人提出书面质询必须有理、有据，不得捏造事实、提供虚假材料进行恶意质询。否则，一经查实，</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有权依据招标的有关规定，报请采购监管部门对该投标人进行相应的行政处罚和记录该投标人的失信信息。</w:t>
      </w:r>
    </w:p>
    <w:p w14:paraId="4504F4ED">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3.中标通知书</w:t>
      </w:r>
    </w:p>
    <w:p w14:paraId="2AA8C6E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3.1中标结果确定后，采购人将向中标人发出中标通知书。中标人应在成交结果公告期满后5个工作日内到采购代理机构办理领取成交通知书手续，否则，由此产生的后果投标人自负。</w:t>
      </w:r>
    </w:p>
    <w:p w14:paraId="6C4D6E4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3.2中标通知书将是合同的一个组成部分。对采购人和中标人均具有法律效力。中标通知书发出后，采购人改变中标结果的，或者中标人放弃中标项目的，应当依法承担法律责任。</w:t>
      </w:r>
    </w:p>
    <w:p w14:paraId="33B28B16">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100" w:name="_Toc120614220"/>
      <w:bookmarkStart w:id="101" w:name="_Toc16938552"/>
      <w:bookmarkStart w:id="102" w:name="_Toc513029236"/>
      <w:bookmarkStart w:id="103" w:name="_Toc20823308"/>
      <w:r>
        <w:rPr>
          <w:rFonts w:hint="eastAsia" w:ascii="宋体" w:hAnsi="宋体" w:cs="宋体"/>
          <w:color w:val="auto"/>
          <w:sz w:val="28"/>
          <w:szCs w:val="28"/>
          <w:highlight w:val="none"/>
        </w:rPr>
        <w:t>七、授予合同</w:t>
      </w:r>
      <w:bookmarkEnd w:id="100"/>
    </w:p>
    <w:bookmarkEnd w:id="101"/>
    <w:bookmarkEnd w:id="102"/>
    <w:bookmarkEnd w:id="103"/>
    <w:p w14:paraId="0B9136BF">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104" w:name="_Toc20823309"/>
      <w:bookmarkStart w:id="105" w:name="_Toc16938553"/>
      <w:bookmarkStart w:id="106" w:name="_Toc513029237"/>
      <w:r>
        <w:rPr>
          <w:rFonts w:hint="eastAsia" w:ascii="宋体" w:hAnsi="宋体" w:eastAsia="宋体" w:cs="宋体"/>
          <w:color w:val="auto"/>
          <w:sz w:val="28"/>
          <w:szCs w:val="28"/>
          <w:highlight w:val="none"/>
        </w:rPr>
        <w:t>1.签订合同</w:t>
      </w:r>
    </w:p>
    <w:p w14:paraId="0A76F2F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中标人应当在中标通知书发出之日起</w:t>
      </w:r>
      <w:r>
        <w:rPr>
          <w:rFonts w:hint="eastAsia" w:ascii="宋体" w:hAnsi="宋体" w:cs="宋体"/>
          <w:color w:val="auto"/>
          <w:sz w:val="28"/>
          <w:szCs w:val="28"/>
          <w:highlight w:val="none"/>
          <w:lang w:val="en-US" w:eastAsia="zh-CN"/>
        </w:rPr>
        <w:t>7个</w:t>
      </w:r>
      <w:r>
        <w:rPr>
          <w:rFonts w:hint="eastAsia" w:ascii="宋体" w:hAnsi="宋体" w:cs="宋体"/>
          <w:color w:val="auto"/>
          <w:sz w:val="28"/>
          <w:szCs w:val="28"/>
          <w:highlight w:val="none"/>
        </w:rPr>
        <w:t>工作日内，按照招标文件确定的事项与采购人签订采购合同。</w:t>
      </w:r>
    </w:p>
    <w:p w14:paraId="7A5D99D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1.2招标文件、中标人的投标文件及招标过程中有关澄清、承诺文件均应作为合同附件。</w:t>
      </w:r>
    </w:p>
    <w:p w14:paraId="3FD7F7A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1.3签订合同后，中标人不得将服务进行转包。未经采购人同意，中标人也不得采用分包的形式履行合同，否则采购人有权终止合同。采购合同分包履行的，中标人就采购项目和分包项目向采购人负责，分包投标人就分包项目承担责任。转包或分包造成采购人损失的，中标人应承担相应赔偿责任。</w:t>
      </w:r>
    </w:p>
    <w:p w14:paraId="3714C459">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2.服务的追加、减少和添购。</w:t>
      </w:r>
    </w:p>
    <w:p w14:paraId="2E3726C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2.1采购合同履行中，采购人需追加与合同标的相同的服务的，在不改变合同其他条款的前提下，可以与中标人协商签订补充合同，但所有补充合同的采购金额不超过原合同金额的10%。</w:t>
      </w:r>
    </w:p>
    <w:p w14:paraId="6EADEC6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2.2采购结束后，采购人若由于各种客观原因，必须对采购项目所牵涉的服务进行适当地减少时，在双方协商一致的前提下，可以按照招标采购时的价格水平做相应的调减，并据此签订补充合同。</w:t>
      </w:r>
      <w:bookmarkEnd w:id="104"/>
      <w:bookmarkEnd w:id="105"/>
      <w:bookmarkEnd w:id="106"/>
    </w:p>
    <w:p w14:paraId="1E3B07CE">
      <w:pPr>
        <w:adjustRightInd w:val="0"/>
        <w:snapToGrid w:val="0"/>
        <w:spacing w:line="420" w:lineRule="exact"/>
        <w:ind w:firstLine="560" w:firstLineChars="200"/>
        <w:rPr>
          <w:rFonts w:hint="eastAsia" w:ascii="宋体" w:hAnsi="宋体" w:cs="宋体"/>
          <w:color w:val="auto"/>
          <w:sz w:val="28"/>
          <w:szCs w:val="28"/>
          <w:highlight w:val="none"/>
        </w:rPr>
      </w:pPr>
    </w:p>
    <w:p w14:paraId="2C84B6C5">
      <w:pPr>
        <w:spacing w:line="800" w:lineRule="exact"/>
        <w:jc w:val="center"/>
        <w:rPr>
          <w:rFonts w:hint="eastAsia"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第三部分项目需求</w:t>
      </w:r>
    </w:p>
    <w:p w14:paraId="2F8C717A">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bookmarkEnd w:id="0"/>
    <w:bookmarkEnd w:id="1"/>
    <w:bookmarkEnd w:id="2"/>
    <w:p w14:paraId="704934CE">
      <w:pPr>
        <w:keepNext w:val="0"/>
        <w:keepLines w:val="0"/>
        <w:pageBreakBefore w:val="0"/>
        <w:kinsoku/>
        <w:wordWrap/>
        <w:overflowPunct/>
        <w:topLinePunct w:val="0"/>
        <w:autoSpaceDE/>
        <w:autoSpaceDN/>
        <w:bidi w:val="0"/>
        <w:adjustRightInd/>
        <w:snapToGrid/>
        <w:spacing w:line="460" w:lineRule="exact"/>
        <w:ind w:left="561" w:hanging="562" w:hangingChars="200"/>
        <w:textAlignment w:val="auto"/>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一、采购标的清单</w:t>
      </w:r>
    </w:p>
    <w:tbl>
      <w:tblPr>
        <w:tblStyle w:val="36"/>
        <w:tblW w:w="9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
        <w:gridCol w:w="1384"/>
        <w:gridCol w:w="2808"/>
        <w:gridCol w:w="3321"/>
        <w:gridCol w:w="929"/>
      </w:tblGrid>
      <w:tr w14:paraId="38720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67" w:type="dxa"/>
            <w:tcMar>
              <w:top w:w="57" w:type="dxa"/>
              <w:left w:w="57" w:type="dxa"/>
              <w:bottom w:w="57" w:type="dxa"/>
              <w:right w:w="57" w:type="dxa"/>
            </w:tcMar>
            <w:vAlign w:val="center"/>
          </w:tcPr>
          <w:p w14:paraId="79AA1B4E">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序号</w:t>
            </w:r>
          </w:p>
        </w:tc>
        <w:tc>
          <w:tcPr>
            <w:tcW w:w="1384" w:type="dxa"/>
            <w:tcMar>
              <w:top w:w="57" w:type="dxa"/>
              <w:left w:w="57" w:type="dxa"/>
              <w:bottom w:w="57" w:type="dxa"/>
              <w:right w:w="57" w:type="dxa"/>
            </w:tcMar>
            <w:vAlign w:val="center"/>
          </w:tcPr>
          <w:p w14:paraId="44CB6381">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宋体" w:hAnsi="宋体" w:eastAsia="宋体" w:cs="宋体"/>
                <w:color w:val="auto"/>
                <w:sz w:val="28"/>
                <w:szCs w:val="28"/>
                <w:highlight w:val="none"/>
              </w:rPr>
              <w:t>产品名称</w:t>
            </w:r>
          </w:p>
        </w:tc>
        <w:tc>
          <w:tcPr>
            <w:tcW w:w="2808" w:type="dxa"/>
            <w:tcMar>
              <w:top w:w="57" w:type="dxa"/>
              <w:left w:w="57" w:type="dxa"/>
              <w:bottom w:w="57" w:type="dxa"/>
              <w:right w:w="57" w:type="dxa"/>
            </w:tcMar>
            <w:vAlign w:val="center"/>
          </w:tcPr>
          <w:p w14:paraId="16DEC0A3">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规格尺寸</w:t>
            </w:r>
          </w:p>
        </w:tc>
        <w:tc>
          <w:tcPr>
            <w:tcW w:w="3321" w:type="dxa"/>
            <w:tcMar>
              <w:top w:w="57" w:type="dxa"/>
              <w:left w:w="57" w:type="dxa"/>
              <w:bottom w:w="57" w:type="dxa"/>
              <w:right w:w="57" w:type="dxa"/>
            </w:tcMar>
            <w:vAlign w:val="center"/>
          </w:tcPr>
          <w:p w14:paraId="46E58748">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参考产品图片</w:t>
            </w:r>
          </w:p>
        </w:tc>
        <w:tc>
          <w:tcPr>
            <w:tcW w:w="929" w:type="dxa"/>
            <w:tcMar>
              <w:top w:w="57" w:type="dxa"/>
              <w:left w:w="57" w:type="dxa"/>
              <w:bottom w:w="57" w:type="dxa"/>
              <w:right w:w="57" w:type="dxa"/>
            </w:tcMar>
            <w:vAlign w:val="center"/>
          </w:tcPr>
          <w:p w14:paraId="2257115C">
            <w:pPr>
              <w:pageBreakBefore w:val="0"/>
              <w:kinsoku/>
              <w:wordWrap/>
              <w:overflowPunct/>
              <w:topLinePunct w:val="0"/>
              <w:autoSpaceDE/>
              <w:autoSpaceDN/>
              <w:bidi w:val="0"/>
              <w:adjustRightInd/>
              <w:snapToGrid/>
              <w:spacing w:line="300" w:lineRule="atLeas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数量</w:t>
            </w:r>
          </w:p>
        </w:tc>
      </w:tr>
      <w:tr w14:paraId="2B7F5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63" w:hRule="atLeast"/>
          <w:jc w:val="center"/>
        </w:trPr>
        <w:tc>
          <w:tcPr>
            <w:tcW w:w="567" w:type="dxa"/>
            <w:tcMar>
              <w:top w:w="57" w:type="dxa"/>
              <w:left w:w="57" w:type="dxa"/>
              <w:bottom w:w="57" w:type="dxa"/>
              <w:right w:w="57" w:type="dxa"/>
            </w:tcMar>
            <w:vAlign w:val="center"/>
          </w:tcPr>
          <w:p w14:paraId="1467AE54">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w:t>
            </w:r>
          </w:p>
        </w:tc>
        <w:tc>
          <w:tcPr>
            <w:tcW w:w="1384" w:type="dxa"/>
            <w:tcMar>
              <w:top w:w="57" w:type="dxa"/>
              <w:left w:w="57" w:type="dxa"/>
              <w:bottom w:w="57" w:type="dxa"/>
              <w:right w:w="57" w:type="dxa"/>
            </w:tcMar>
            <w:vAlign w:val="center"/>
          </w:tcPr>
          <w:p w14:paraId="08A59240">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lang w:val="en-US" w:eastAsia="zh-CN"/>
              </w:rPr>
            </w:pPr>
            <w:r>
              <w:rPr>
                <w:rFonts w:hint="eastAsia" w:asciiTheme="majorEastAsia" w:hAnsiTheme="majorEastAsia" w:eastAsiaTheme="majorEastAsia" w:cstheme="majorEastAsia"/>
                <w:b w:val="0"/>
                <w:bCs w:val="0"/>
                <w:color w:val="auto"/>
                <w:sz w:val="28"/>
                <w:szCs w:val="28"/>
                <w:highlight w:val="none"/>
              </w:rPr>
              <w:t>产品</w:t>
            </w:r>
            <w:r>
              <w:rPr>
                <w:rFonts w:hint="eastAsia" w:asciiTheme="majorEastAsia" w:hAnsiTheme="majorEastAsia" w:eastAsiaTheme="majorEastAsia" w:cstheme="majorEastAsia"/>
                <w:b w:val="0"/>
                <w:bCs w:val="0"/>
                <w:color w:val="auto"/>
                <w:sz w:val="28"/>
                <w:szCs w:val="28"/>
                <w:highlight w:val="none"/>
                <w:lang w:val="en-US" w:eastAsia="zh-CN"/>
              </w:rPr>
              <w:t>1</w:t>
            </w:r>
          </w:p>
          <w:p w14:paraId="5959BA7F">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lang w:eastAsia="zh-CN"/>
              </w:rPr>
            </w:pPr>
            <w:r>
              <w:rPr>
                <w:rFonts w:hint="eastAsia" w:asciiTheme="majorEastAsia" w:hAnsiTheme="majorEastAsia" w:eastAsiaTheme="majorEastAsia" w:cstheme="majorEastAsia"/>
                <w:b w:val="0"/>
                <w:bCs w:val="0"/>
                <w:color w:val="auto"/>
                <w:sz w:val="28"/>
                <w:szCs w:val="28"/>
                <w:highlight w:val="none"/>
              </w:rPr>
              <w:t>长餐桌</w:t>
            </w:r>
          </w:p>
        </w:tc>
        <w:tc>
          <w:tcPr>
            <w:tcW w:w="2808" w:type="dxa"/>
            <w:tcMar>
              <w:top w:w="57" w:type="dxa"/>
              <w:left w:w="57" w:type="dxa"/>
              <w:bottom w:w="57" w:type="dxa"/>
              <w:right w:w="57" w:type="dxa"/>
            </w:tcMar>
            <w:vAlign w:val="center"/>
          </w:tcPr>
          <w:p w14:paraId="0B76FA18">
            <w:pPr>
              <w:pageBreakBefore w:val="0"/>
              <w:widowControl/>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bidi="ar"/>
              </w:rPr>
            </w:pPr>
            <w:r>
              <w:rPr>
                <w:rFonts w:hint="eastAsia" w:asciiTheme="majorEastAsia" w:hAnsiTheme="majorEastAsia" w:eastAsiaTheme="majorEastAsia" w:cstheme="majorEastAsia"/>
                <w:color w:val="auto"/>
                <w:sz w:val="28"/>
                <w:szCs w:val="28"/>
                <w:highlight w:val="none"/>
                <w:lang w:bidi="ar"/>
              </w:rPr>
              <w:t>1400mm*700mm*750mm</w:t>
            </w:r>
          </w:p>
        </w:tc>
        <w:tc>
          <w:tcPr>
            <w:tcW w:w="3321" w:type="dxa"/>
            <w:tcMar>
              <w:top w:w="57" w:type="dxa"/>
              <w:left w:w="57" w:type="dxa"/>
              <w:bottom w:w="57" w:type="dxa"/>
              <w:right w:w="57" w:type="dxa"/>
            </w:tcMar>
            <w:vAlign w:val="center"/>
          </w:tcPr>
          <w:p w14:paraId="126BAF75">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drawing>
                <wp:inline distT="0" distB="0" distL="0" distR="0">
                  <wp:extent cx="1566545" cy="1064260"/>
                  <wp:effectExtent l="0" t="0" r="14605" b="254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8"/>
                          <a:stretch>
                            <a:fillRect/>
                          </a:stretch>
                        </pic:blipFill>
                        <pic:spPr>
                          <a:xfrm>
                            <a:off x="0" y="0"/>
                            <a:ext cx="1566545" cy="1064260"/>
                          </a:xfrm>
                          <a:prstGeom prst="rect">
                            <a:avLst/>
                          </a:prstGeom>
                          <a:noFill/>
                          <a:ln>
                            <a:noFill/>
                          </a:ln>
                        </pic:spPr>
                      </pic:pic>
                    </a:graphicData>
                  </a:graphic>
                </wp:inline>
              </w:drawing>
            </w:r>
          </w:p>
        </w:tc>
        <w:tc>
          <w:tcPr>
            <w:tcW w:w="929" w:type="dxa"/>
            <w:tcMar>
              <w:top w:w="57" w:type="dxa"/>
              <w:left w:w="57" w:type="dxa"/>
              <w:bottom w:w="57" w:type="dxa"/>
              <w:right w:w="57" w:type="dxa"/>
            </w:tcMar>
            <w:vAlign w:val="center"/>
          </w:tcPr>
          <w:p w14:paraId="3A495ED6">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2</w:t>
            </w:r>
            <w:r>
              <w:rPr>
                <w:rFonts w:hint="eastAsia" w:asciiTheme="majorEastAsia" w:hAnsiTheme="majorEastAsia" w:eastAsiaTheme="majorEastAsia" w:cstheme="majorEastAsia"/>
                <w:color w:val="auto"/>
                <w:sz w:val="28"/>
                <w:szCs w:val="28"/>
                <w:highlight w:val="none"/>
              </w:rPr>
              <w:t>40张</w:t>
            </w:r>
          </w:p>
        </w:tc>
      </w:tr>
      <w:tr w14:paraId="7DFBA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75" w:hRule="atLeast"/>
          <w:jc w:val="center"/>
        </w:trPr>
        <w:tc>
          <w:tcPr>
            <w:tcW w:w="567" w:type="dxa"/>
            <w:tcMar>
              <w:top w:w="57" w:type="dxa"/>
              <w:left w:w="57" w:type="dxa"/>
              <w:bottom w:w="57" w:type="dxa"/>
              <w:right w:w="57" w:type="dxa"/>
            </w:tcMar>
            <w:vAlign w:val="center"/>
          </w:tcPr>
          <w:p w14:paraId="2B9C4B69">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w:t>
            </w:r>
          </w:p>
        </w:tc>
        <w:tc>
          <w:tcPr>
            <w:tcW w:w="1384" w:type="dxa"/>
            <w:tcMar>
              <w:top w:w="57" w:type="dxa"/>
              <w:left w:w="57" w:type="dxa"/>
              <w:bottom w:w="57" w:type="dxa"/>
              <w:right w:w="57" w:type="dxa"/>
            </w:tcMar>
            <w:vAlign w:val="center"/>
          </w:tcPr>
          <w:p w14:paraId="52DC3B5D">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产品2</w:t>
            </w:r>
          </w:p>
          <w:p w14:paraId="00BE7B59">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椅子</w:t>
            </w:r>
          </w:p>
        </w:tc>
        <w:tc>
          <w:tcPr>
            <w:tcW w:w="2808" w:type="dxa"/>
            <w:tcMar>
              <w:top w:w="57" w:type="dxa"/>
              <w:left w:w="57" w:type="dxa"/>
              <w:bottom w:w="57" w:type="dxa"/>
              <w:right w:w="57" w:type="dxa"/>
            </w:tcMar>
            <w:vAlign w:val="center"/>
          </w:tcPr>
          <w:p w14:paraId="666DDBBB">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bidi="ar"/>
              </w:rPr>
            </w:pPr>
            <w:r>
              <w:rPr>
                <w:rFonts w:hint="eastAsia" w:asciiTheme="majorEastAsia" w:hAnsiTheme="majorEastAsia" w:eastAsiaTheme="majorEastAsia" w:cstheme="majorEastAsia"/>
                <w:color w:val="auto"/>
                <w:sz w:val="28"/>
                <w:szCs w:val="28"/>
                <w:highlight w:val="none"/>
              </w:rPr>
              <w:t>牛角椅480*430/440/780</w:t>
            </w:r>
          </w:p>
        </w:tc>
        <w:tc>
          <w:tcPr>
            <w:tcW w:w="3321" w:type="dxa"/>
            <w:tcMar>
              <w:top w:w="57" w:type="dxa"/>
              <w:left w:w="57" w:type="dxa"/>
              <w:bottom w:w="57" w:type="dxa"/>
              <w:right w:w="57" w:type="dxa"/>
            </w:tcMar>
            <w:vAlign w:val="center"/>
          </w:tcPr>
          <w:p w14:paraId="644B77A1">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drawing>
                <wp:inline distT="0" distB="0" distL="0" distR="0">
                  <wp:extent cx="1045845" cy="1299845"/>
                  <wp:effectExtent l="0" t="0" r="1905" b="1460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9"/>
                          <a:stretch>
                            <a:fillRect/>
                          </a:stretch>
                        </pic:blipFill>
                        <pic:spPr>
                          <a:xfrm>
                            <a:off x="0" y="0"/>
                            <a:ext cx="1045845" cy="1299845"/>
                          </a:xfrm>
                          <a:prstGeom prst="rect">
                            <a:avLst/>
                          </a:prstGeom>
                          <a:noFill/>
                          <a:ln>
                            <a:noFill/>
                          </a:ln>
                        </pic:spPr>
                      </pic:pic>
                    </a:graphicData>
                  </a:graphic>
                </wp:inline>
              </w:drawing>
            </w:r>
          </w:p>
        </w:tc>
        <w:tc>
          <w:tcPr>
            <w:tcW w:w="929" w:type="dxa"/>
            <w:tcMar>
              <w:top w:w="57" w:type="dxa"/>
              <w:left w:w="57" w:type="dxa"/>
              <w:bottom w:w="57" w:type="dxa"/>
              <w:right w:w="57" w:type="dxa"/>
            </w:tcMar>
            <w:vAlign w:val="center"/>
          </w:tcPr>
          <w:p w14:paraId="743EAC45">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bidi="ar"/>
              </w:rPr>
            </w:pPr>
            <w:r>
              <w:rPr>
                <w:rFonts w:hint="eastAsia" w:asciiTheme="majorEastAsia" w:hAnsiTheme="majorEastAsia" w:eastAsiaTheme="majorEastAsia" w:cstheme="majorEastAsia"/>
                <w:color w:val="auto"/>
                <w:sz w:val="28"/>
                <w:szCs w:val="28"/>
                <w:highlight w:val="none"/>
                <w:lang w:val="en-US" w:eastAsia="zh-CN" w:bidi="ar"/>
              </w:rPr>
              <w:t>960</w:t>
            </w:r>
            <w:r>
              <w:rPr>
                <w:rFonts w:hint="eastAsia" w:asciiTheme="majorEastAsia" w:hAnsiTheme="majorEastAsia" w:eastAsiaTheme="majorEastAsia" w:cstheme="majorEastAsia"/>
                <w:color w:val="auto"/>
                <w:sz w:val="28"/>
                <w:szCs w:val="28"/>
                <w:highlight w:val="none"/>
                <w:lang w:bidi="ar"/>
              </w:rPr>
              <w:t>张</w:t>
            </w:r>
          </w:p>
        </w:tc>
      </w:tr>
      <w:tr w14:paraId="63AA4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60" w:hRule="atLeast"/>
          <w:jc w:val="center"/>
        </w:trPr>
        <w:tc>
          <w:tcPr>
            <w:tcW w:w="567" w:type="dxa"/>
            <w:tcMar>
              <w:top w:w="57" w:type="dxa"/>
              <w:left w:w="57" w:type="dxa"/>
              <w:bottom w:w="57" w:type="dxa"/>
              <w:right w:w="57" w:type="dxa"/>
            </w:tcMar>
            <w:vAlign w:val="center"/>
          </w:tcPr>
          <w:p w14:paraId="26C1918F">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w:t>
            </w:r>
          </w:p>
        </w:tc>
        <w:tc>
          <w:tcPr>
            <w:tcW w:w="1384" w:type="dxa"/>
            <w:tcMar>
              <w:top w:w="57" w:type="dxa"/>
              <w:left w:w="57" w:type="dxa"/>
              <w:bottom w:w="57" w:type="dxa"/>
              <w:right w:w="57" w:type="dxa"/>
            </w:tcMar>
            <w:vAlign w:val="center"/>
          </w:tcPr>
          <w:p w14:paraId="37901BAE">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产品3</w:t>
            </w:r>
          </w:p>
          <w:p w14:paraId="3DD63B00">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lang w:val="en-US" w:eastAsia="zh-CN" w:bidi="ar"/>
              </w:rPr>
              <w:t>圆</w:t>
            </w:r>
            <w:r>
              <w:rPr>
                <w:rFonts w:hint="eastAsia" w:asciiTheme="majorEastAsia" w:hAnsiTheme="majorEastAsia" w:eastAsiaTheme="majorEastAsia" w:cstheme="majorEastAsia"/>
                <w:b w:val="0"/>
                <w:bCs w:val="0"/>
                <w:color w:val="auto"/>
                <w:sz w:val="28"/>
                <w:szCs w:val="28"/>
                <w:highlight w:val="none"/>
                <w:lang w:bidi="ar"/>
              </w:rPr>
              <w:t>餐桌</w:t>
            </w:r>
          </w:p>
        </w:tc>
        <w:tc>
          <w:tcPr>
            <w:tcW w:w="2808" w:type="dxa"/>
            <w:tcMar>
              <w:top w:w="57" w:type="dxa"/>
              <w:left w:w="57" w:type="dxa"/>
              <w:bottom w:w="57" w:type="dxa"/>
              <w:right w:w="57" w:type="dxa"/>
            </w:tcMar>
            <w:vAlign w:val="center"/>
          </w:tcPr>
          <w:p w14:paraId="3C8A0D19">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bidi="ar"/>
              </w:rPr>
              <w:t>φ</w:t>
            </w:r>
            <w:r>
              <w:rPr>
                <w:rFonts w:hint="eastAsia" w:asciiTheme="majorEastAsia" w:hAnsiTheme="majorEastAsia" w:eastAsiaTheme="majorEastAsia" w:cstheme="majorEastAsia"/>
                <w:color w:val="auto"/>
                <w:sz w:val="28"/>
                <w:szCs w:val="28"/>
                <w:highlight w:val="none"/>
                <w:lang w:bidi="ar"/>
              </w:rPr>
              <w:t>1</w:t>
            </w:r>
            <w:r>
              <w:rPr>
                <w:rFonts w:hint="eastAsia" w:asciiTheme="majorEastAsia" w:hAnsiTheme="majorEastAsia" w:eastAsiaTheme="majorEastAsia" w:cstheme="majorEastAsia"/>
                <w:color w:val="auto"/>
                <w:sz w:val="28"/>
                <w:szCs w:val="28"/>
                <w:highlight w:val="none"/>
                <w:lang w:val="en-US" w:eastAsia="zh-CN" w:bidi="ar"/>
              </w:rPr>
              <w:t>8</w:t>
            </w:r>
            <w:r>
              <w:rPr>
                <w:rFonts w:hint="eastAsia" w:asciiTheme="majorEastAsia" w:hAnsiTheme="majorEastAsia" w:eastAsiaTheme="majorEastAsia" w:cstheme="majorEastAsia"/>
                <w:color w:val="auto"/>
                <w:sz w:val="28"/>
                <w:szCs w:val="28"/>
                <w:highlight w:val="none"/>
                <w:lang w:bidi="ar"/>
              </w:rPr>
              <w:t>00*750</w:t>
            </w:r>
          </w:p>
        </w:tc>
        <w:tc>
          <w:tcPr>
            <w:tcW w:w="3321" w:type="dxa"/>
            <w:tcMar>
              <w:top w:w="57" w:type="dxa"/>
              <w:left w:w="57" w:type="dxa"/>
              <w:bottom w:w="57" w:type="dxa"/>
              <w:right w:w="57" w:type="dxa"/>
            </w:tcMar>
            <w:vAlign w:val="center"/>
          </w:tcPr>
          <w:p w14:paraId="2FF0D176">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drawing>
                <wp:inline distT="0" distB="0" distL="114300" distR="114300">
                  <wp:extent cx="1562735" cy="1709420"/>
                  <wp:effectExtent l="0" t="0" r="18415" b="5080"/>
                  <wp:docPr id="7" name="图片 7" descr="d1b9adf75060505be44e4da790be9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1b9adf75060505be44e4da790be9219"/>
                          <pic:cNvPicPr>
                            <a:picLocks noChangeAspect="1"/>
                          </pic:cNvPicPr>
                        </pic:nvPicPr>
                        <pic:blipFill>
                          <a:blip r:embed="rId10"/>
                          <a:stretch>
                            <a:fillRect/>
                          </a:stretch>
                        </pic:blipFill>
                        <pic:spPr>
                          <a:xfrm>
                            <a:off x="0" y="0"/>
                            <a:ext cx="1562735" cy="1709420"/>
                          </a:xfrm>
                          <a:prstGeom prst="rect">
                            <a:avLst/>
                          </a:prstGeom>
                        </pic:spPr>
                      </pic:pic>
                    </a:graphicData>
                  </a:graphic>
                </wp:inline>
              </w:drawing>
            </w:r>
          </w:p>
        </w:tc>
        <w:tc>
          <w:tcPr>
            <w:tcW w:w="929" w:type="dxa"/>
            <w:tcMar>
              <w:top w:w="57" w:type="dxa"/>
              <w:left w:w="57" w:type="dxa"/>
              <w:bottom w:w="57" w:type="dxa"/>
              <w:right w:w="57" w:type="dxa"/>
            </w:tcMar>
            <w:vAlign w:val="center"/>
          </w:tcPr>
          <w:p w14:paraId="27A5B740">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80张</w:t>
            </w:r>
          </w:p>
        </w:tc>
      </w:tr>
      <w:tr w14:paraId="7FCD7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9" w:hRule="atLeast"/>
          <w:jc w:val="center"/>
        </w:trPr>
        <w:tc>
          <w:tcPr>
            <w:tcW w:w="567" w:type="dxa"/>
            <w:tcMar>
              <w:top w:w="57" w:type="dxa"/>
              <w:left w:w="57" w:type="dxa"/>
              <w:bottom w:w="57" w:type="dxa"/>
              <w:right w:w="57" w:type="dxa"/>
            </w:tcMar>
            <w:vAlign w:val="center"/>
          </w:tcPr>
          <w:p w14:paraId="4C3AE512">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w:t>
            </w:r>
          </w:p>
        </w:tc>
        <w:tc>
          <w:tcPr>
            <w:tcW w:w="1384" w:type="dxa"/>
            <w:tcMar>
              <w:top w:w="57" w:type="dxa"/>
              <w:left w:w="57" w:type="dxa"/>
              <w:bottom w:w="57" w:type="dxa"/>
              <w:right w:w="57" w:type="dxa"/>
            </w:tcMar>
            <w:vAlign w:val="center"/>
          </w:tcPr>
          <w:p w14:paraId="5F890F95">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产品4</w:t>
            </w:r>
          </w:p>
          <w:p w14:paraId="607D9AD7">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椅子</w:t>
            </w:r>
          </w:p>
        </w:tc>
        <w:tc>
          <w:tcPr>
            <w:tcW w:w="2808" w:type="dxa"/>
            <w:tcMar>
              <w:top w:w="57" w:type="dxa"/>
              <w:left w:w="57" w:type="dxa"/>
              <w:bottom w:w="57" w:type="dxa"/>
              <w:right w:w="57" w:type="dxa"/>
            </w:tcMar>
            <w:vAlign w:val="center"/>
          </w:tcPr>
          <w:p w14:paraId="7675EA02">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410*430*430/900</w:t>
            </w:r>
          </w:p>
        </w:tc>
        <w:tc>
          <w:tcPr>
            <w:tcW w:w="3321" w:type="dxa"/>
            <w:tcMar>
              <w:top w:w="57" w:type="dxa"/>
              <w:left w:w="57" w:type="dxa"/>
              <w:bottom w:w="57" w:type="dxa"/>
              <w:right w:w="57" w:type="dxa"/>
            </w:tcMar>
            <w:vAlign w:val="center"/>
          </w:tcPr>
          <w:p w14:paraId="6EFA73EC">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drawing>
                <wp:inline distT="0" distB="0" distL="114300" distR="114300">
                  <wp:extent cx="935990" cy="1334135"/>
                  <wp:effectExtent l="0" t="0" r="0" b="1206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1"/>
                          <a:stretch>
                            <a:fillRect/>
                          </a:stretch>
                        </pic:blipFill>
                        <pic:spPr>
                          <a:xfrm>
                            <a:off x="0" y="0"/>
                            <a:ext cx="935990" cy="1334135"/>
                          </a:xfrm>
                          <a:prstGeom prst="rect">
                            <a:avLst/>
                          </a:prstGeom>
                          <a:noFill/>
                          <a:ln>
                            <a:noFill/>
                          </a:ln>
                        </pic:spPr>
                      </pic:pic>
                    </a:graphicData>
                  </a:graphic>
                </wp:inline>
              </w:drawing>
            </w:r>
          </w:p>
        </w:tc>
        <w:tc>
          <w:tcPr>
            <w:tcW w:w="929" w:type="dxa"/>
            <w:tcMar>
              <w:top w:w="57" w:type="dxa"/>
              <w:left w:w="57" w:type="dxa"/>
              <w:bottom w:w="57" w:type="dxa"/>
              <w:right w:w="57" w:type="dxa"/>
            </w:tcMar>
            <w:vAlign w:val="center"/>
          </w:tcPr>
          <w:p w14:paraId="71D34E58">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64</w:t>
            </w:r>
            <w:r>
              <w:rPr>
                <w:rFonts w:hint="eastAsia" w:asciiTheme="majorEastAsia" w:hAnsiTheme="majorEastAsia" w:eastAsiaTheme="majorEastAsia" w:cstheme="majorEastAsia"/>
                <w:color w:val="auto"/>
                <w:sz w:val="28"/>
                <w:szCs w:val="28"/>
                <w:highlight w:val="none"/>
              </w:rPr>
              <w:t>0张</w:t>
            </w:r>
          </w:p>
        </w:tc>
      </w:tr>
      <w:tr w14:paraId="1D6DC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9" w:hRule="atLeast"/>
          <w:jc w:val="center"/>
        </w:trPr>
        <w:tc>
          <w:tcPr>
            <w:tcW w:w="567" w:type="dxa"/>
            <w:tcMar>
              <w:top w:w="57" w:type="dxa"/>
              <w:left w:w="57" w:type="dxa"/>
              <w:bottom w:w="57" w:type="dxa"/>
              <w:right w:w="57" w:type="dxa"/>
            </w:tcMar>
            <w:vAlign w:val="center"/>
          </w:tcPr>
          <w:p w14:paraId="691D2AEC">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5</w:t>
            </w:r>
          </w:p>
        </w:tc>
        <w:tc>
          <w:tcPr>
            <w:tcW w:w="1384" w:type="dxa"/>
            <w:tcMar>
              <w:top w:w="57" w:type="dxa"/>
              <w:left w:w="57" w:type="dxa"/>
              <w:bottom w:w="57" w:type="dxa"/>
              <w:right w:w="57" w:type="dxa"/>
            </w:tcMar>
            <w:vAlign w:val="center"/>
          </w:tcPr>
          <w:p w14:paraId="296EA82F">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lang w:val="en-US" w:eastAsia="zh-CN"/>
              </w:rPr>
            </w:pPr>
            <w:r>
              <w:rPr>
                <w:rFonts w:hint="eastAsia" w:asciiTheme="majorEastAsia" w:hAnsiTheme="majorEastAsia" w:eastAsiaTheme="majorEastAsia" w:cstheme="majorEastAsia"/>
                <w:b w:val="0"/>
                <w:bCs w:val="0"/>
                <w:color w:val="auto"/>
                <w:sz w:val="28"/>
                <w:szCs w:val="28"/>
                <w:highlight w:val="none"/>
              </w:rPr>
              <w:t>产品</w:t>
            </w:r>
            <w:r>
              <w:rPr>
                <w:rFonts w:hint="eastAsia" w:asciiTheme="majorEastAsia" w:hAnsiTheme="majorEastAsia" w:eastAsiaTheme="majorEastAsia" w:cstheme="majorEastAsia"/>
                <w:b w:val="0"/>
                <w:bCs w:val="0"/>
                <w:color w:val="auto"/>
                <w:sz w:val="28"/>
                <w:szCs w:val="28"/>
                <w:highlight w:val="none"/>
                <w:lang w:val="en-US" w:eastAsia="zh-CN"/>
              </w:rPr>
              <w:t>5</w:t>
            </w:r>
          </w:p>
          <w:p w14:paraId="717A7779">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b w:val="0"/>
                <w:bCs w:val="0"/>
                <w:color w:val="auto"/>
                <w:sz w:val="28"/>
                <w:szCs w:val="28"/>
                <w:highlight w:val="none"/>
                <w:lang w:val="en-US" w:eastAsia="zh-CN"/>
              </w:rPr>
            </w:pPr>
            <w:r>
              <w:rPr>
                <w:rFonts w:hint="eastAsia" w:asciiTheme="majorEastAsia" w:hAnsiTheme="majorEastAsia" w:eastAsiaTheme="majorEastAsia" w:cstheme="majorEastAsia"/>
                <w:b w:val="0"/>
                <w:bCs w:val="0"/>
                <w:color w:val="auto"/>
                <w:sz w:val="28"/>
                <w:szCs w:val="28"/>
                <w:highlight w:val="none"/>
                <w:lang w:val="en-US" w:eastAsia="zh-CN"/>
              </w:rPr>
              <w:t>钢化玻璃</w:t>
            </w:r>
          </w:p>
        </w:tc>
        <w:tc>
          <w:tcPr>
            <w:tcW w:w="2808" w:type="dxa"/>
            <w:tcMar>
              <w:top w:w="57" w:type="dxa"/>
              <w:left w:w="57" w:type="dxa"/>
              <w:bottom w:w="57" w:type="dxa"/>
              <w:right w:w="57" w:type="dxa"/>
            </w:tcMar>
            <w:vAlign w:val="center"/>
          </w:tcPr>
          <w:p w14:paraId="1D2B5152">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bidi="ar"/>
              </w:rPr>
              <w:t>φ</w:t>
            </w:r>
            <w:r>
              <w:rPr>
                <w:rFonts w:hint="eastAsia" w:asciiTheme="majorEastAsia" w:hAnsiTheme="majorEastAsia" w:eastAsiaTheme="majorEastAsia" w:cstheme="majorEastAsia"/>
                <w:color w:val="auto"/>
                <w:sz w:val="28"/>
                <w:szCs w:val="28"/>
                <w:highlight w:val="none"/>
                <w:lang w:bidi="ar"/>
              </w:rPr>
              <w:t>1</w:t>
            </w:r>
            <w:r>
              <w:rPr>
                <w:rFonts w:hint="eastAsia" w:asciiTheme="majorEastAsia" w:hAnsiTheme="majorEastAsia" w:eastAsiaTheme="majorEastAsia" w:cstheme="majorEastAsia"/>
                <w:color w:val="auto"/>
                <w:sz w:val="28"/>
                <w:szCs w:val="28"/>
                <w:highlight w:val="none"/>
                <w:lang w:val="en-US" w:eastAsia="zh-CN" w:bidi="ar"/>
              </w:rPr>
              <w:t>8</w:t>
            </w:r>
            <w:r>
              <w:rPr>
                <w:rFonts w:hint="eastAsia" w:asciiTheme="majorEastAsia" w:hAnsiTheme="majorEastAsia" w:eastAsiaTheme="majorEastAsia" w:cstheme="majorEastAsia"/>
                <w:color w:val="auto"/>
                <w:sz w:val="28"/>
                <w:szCs w:val="28"/>
                <w:highlight w:val="none"/>
                <w:lang w:bidi="ar"/>
              </w:rPr>
              <w:t>00</w:t>
            </w:r>
          </w:p>
        </w:tc>
        <w:tc>
          <w:tcPr>
            <w:tcW w:w="3321" w:type="dxa"/>
            <w:tcMar>
              <w:top w:w="57" w:type="dxa"/>
              <w:left w:w="57" w:type="dxa"/>
              <w:bottom w:w="57" w:type="dxa"/>
              <w:right w:w="57" w:type="dxa"/>
            </w:tcMar>
            <w:vAlign w:val="center"/>
          </w:tcPr>
          <w:p w14:paraId="7897EB8F">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与圆桌面大小匹配</w:t>
            </w:r>
            <w:r>
              <w:rPr>
                <w:rFonts w:hint="eastAsia" w:asciiTheme="majorEastAsia" w:hAnsiTheme="majorEastAsia" w:eastAsiaTheme="majorEastAsia" w:cstheme="majorEastAsia"/>
                <w:color w:val="auto"/>
                <w:sz w:val="28"/>
                <w:szCs w:val="28"/>
                <w:highlight w:val="none"/>
              </w:rPr>
              <w:t>钢化玻璃，厚度</w:t>
            </w:r>
            <w:r>
              <w:rPr>
                <w:rFonts w:hint="eastAsia" w:asciiTheme="majorEastAsia" w:hAnsiTheme="majorEastAsia" w:eastAsiaTheme="majorEastAsia" w:cstheme="majorEastAsia"/>
                <w:color w:val="auto"/>
                <w:sz w:val="28"/>
                <w:szCs w:val="28"/>
                <w:highlight w:val="none"/>
                <w:lang w:val="en-US" w:eastAsia="zh-CN"/>
              </w:rPr>
              <w:t>8</w:t>
            </w:r>
            <w:r>
              <w:rPr>
                <w:rFonts w:hint="eastAsia" w:asciiTheme="majorEastAsia" w:hAnsiTheme="majorEastAsia" w:eastAsiaTheme="majorEastAsia" w:cstheme="majorEastAsia"/>
                <w:color w:val="auto"/>
                <w:sz w:val="28"/>
                <w:szCs w:val="28"/>
                <w:highlight w:val="none"/>
              </w:rPr>
              <w:t>mm</w:t>
            </w:r>
          </w:p>
        </w:tc>
        <w:tc>
          <w:tcPr>
            <w:tcW w:w="929" w:type="dxa"/>
            <w:tcMar>
              <w:top w:w="57" w:type="dxa"/>
              <w:left w:w="57" w:type="dxa"/>
              <w:bottom w:w="57" w:type="dxa"/>
              <w:right w:w="57" w:type="dxa"/>
            </w:tcMar>
            <w:vAlign w:val="center"/>
          </w:tcPr>
          <w:p w14:paraId="22EF09B0">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80张</w:t>
            </w:r>
          </w:p>
        </w:tc>
      </w:tr>
      <w:tr w14:paraId="417A6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6" w:hRule="atLeast"/>
          <w:jc w:val="center"/>
        </w:trPr>
        <w:tc>
          <w:tcPr>
            <w:tcW w:w="9009" w:type="dxa"/>
            <w:gridSpan w:val="5"/>
            <w:tcMar>
              <w:top w:w="57" w:type="dxa"/>
              <w:left w:w="57" w:type="dxa"/>
              <w:bottom w:w="57" w:type="dxa"/>
              <w:right w:w="57" w:type="dxa"/>
            </w:tcMar>
            <w:vAlign w:val="center"/>
          </w:tcPr>
          <w:p w14:paraId="1A1F5022">
            <w:pPr>
              <w:pageBreakBefore w:val="0"/>
              <w:kinsoku/>
              <w:wordWrap/>
              <w:overflowPunct/>
              <w:topLinePunct w:val="0"/>
              <w:autoSpaceDE/>
              <w:autoSpaceDN/>
              <w:bidi w:val="0"/>
              <w:adjustRightInd/>
              <w:snapToGrid/>
              <w:spacing w:line="300" w:lineRule="atLeas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说明：以上图片为参考图片，可对产品进行优化，不低于参数要求</w:t>
            </w:r>
          </w:p>
        </w:tc>
      </w:tr>
    </w:tbl>
    <w:p w14:paraId="737D5C3D">
      <w:pPr>
        <w:keepNext w:val="0"/>
        <w:keepLines w:val="0"/>
        <w:pageBreakBefore w:val="0"/>
        <w:widowControl w:val="0"/>
        <w:kinsoku/>
        <w:wordWrap/>
        <w:overflowPunct/>
        <w:topLinePunct w:val="0"/>
        <w:autoSpaceDE/>
        <w:autoSpaceDN/>
        <w:bidi w:val="0"/>
        <w:adjustRightInd/>
        <w:snapToGrid/>
        <w:spacing w:line="460" w:lineRule="exact"/>
        <w:ind w:left="0" w:firstLine="562" w:firstLineChars="200"/>
        <w:textAlignment w:val="auto"/>
        <w:rPr>
          <w:rFonts w:hint="eastAsia" w:asciiTheme="majorEastAsia" w:hAnsiTheme="majorEastAsia" w:eastAsiaTheme="majorEastAsia" w:cstheme="majorEastAsia"/>
          <w:b/>
          <w:color w:val="auto"/>
          <w:sz w:val="28"/>
          <w:szCs w:val="28"/>
          <w:highlight w:val="none"/>
          <w:lang w:val="en-US" w:eastAsia="zh-CN"/>
        </w:rPr>
      </w:pPr>
      <w:r>
        <w:rPr>
          <w:rFonts w:hint="eastAsia" w:asciiTheme="majorEastAsia" w:hAnsiTheme="majorEastAsia" w:eastAsiaTheme="majorEastAsia" w:cstheme="majorEastAsia"/>
          <w:b/>
          <w:color w:val="auto"/>
          <w:sz w:val="28"/>
          <w:szCs w:val="28"/>
          <w:highlight w:val="none"/>
        </w:rPr>
        <w:t>二、技术要求</w:t>
      </w:r>
    </w:p>
    <w:p w14:paraId="3130F846">
      <w:pPr>
        <w:keepNext w:val="0"/>
        <w:keepLines w:val="0"/>
        <w:pageBreakBefore w:val="0"/>
        <w:widowControl w:val="0"/>
        <w:kinsoku/>
        <w:wordWrap/>
        <w:overflowPunct/>
        <w:topLinePunct w:val="0"/>
        <w:autoSpaceDE/>
        <w:autoSpaceDN/>
        <w:bidi w:val="0"/>
        <w:adjustRightInd/>
        <w:snapToGrid/>
        <w:spacing w:line="460" w:lineRule="exact"/>
        <w:ind w:left="0" w:firstLine="562" w:firstLineChars="200"/>
        <w:textAlignment w:val="auto"/>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（一）采购标的需实现的功能或者目标，以及为落实政府采购政策需满足的要求；</w:t>
      </w:r>
    </w:p>
    <w:p w14:paraId="5F3A5F8A">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采购人需为钟秀校区新建食堂配置就餐所需的实木餐桌椅，具体数量为产品1长餐桌</w:t>
      </w:r>
      <w:r>
        <w:rPr>
          <w:rFonts w:hint="eastAsia" w:asciiTheme="majorEastAsia" w:hAnsiTheme="majorEastAsia" w:eastAsiaTheme="majorEastAsia" w:cstheme="majorEastAsia"/>
          <w:bCs/>
          <w:color w:val="auto"/>
          <w:sz w:val="28"/>
          <w:szCs w:val="28"/>
          <w:highlight w:val="none"/>
          <w:lang w:val="en-US" w:eastAsia="zh-CN"/>
        </w:rPr>
        <w:t>240</w:t>
      </w:r>
      <w:r>
        <w:rPr>
          <w:rFonts w:hint="eastAsia" w:asciiTheme="majorEastAsia" w:hAnsiTheme="majorEastAsia" w:eastAsiaTheme="majorEastAsia" w:cstheme="majorEastAsia"/>
          <w:bCs/>
          <w:color w:val="auto"/>
          <w:sz w:val="28"/>
          <w:szCs w:val="28"/>
          <w:highlight w:val="none"/>
        </w:rPr>
        <w:t>张，产品2椅子（牛角椅）</w:t>
      </w:r>
      <w:r>
        <w:rPr>
          <w:rFonts w:hint="eastAsia" w:asciiTheme="majorEastAsia" w:hAnsiTheme="majorEastAsia" w:eastAsiaTheme="majorEastAsia" w:cstheme="majorEastAsia"/>
          <w:bCs/>
          <w:color w:val="auto"/>
          <w:sz w:val="28"/>
          <w:szCs w:val="28"/>
          <w:highlight w:val="none"/>
          <w:lang w:val="en-US" w:eastAsia="zh-CN"/>
        </w:rPr>
        <w:t>9</w:t>
      </w:r>
      <w:r>
        <w:rPr>
          <w:rFonts w:hint="eastAsia" w:asciiTheme="majorEastAsia" w:hAnsiTheme="majorEastAsia" w:eastAsiaTheme="majorEastAsia" w:cstheme="majorEastAsia"/>
          <w:bCs/>
          <w:color w:val="auto"/>
          <w:sz w:val="28"/>
          <w:szCs w:val="28"/>
          <w:highlight w:val="none"/>
        </w:rPr>
        <w:t>60张，产品3</w:t>
      </w:r>
      <w:r>
        <w:rPr>
          <w:rFonts w:hint="eastAsia" w:asciiTheme="majorEastAsia" w:hAnsiTheme="majorEastAsia" w:eastAsiaTheme="majorEastAsia" w:cstheme="majorEastAsia"/>
          <w:bCs/>
          <w:color w:val="auto"/>
          <w:sz w:val="28"/>
          <w:szCs w:val="28"/>
          <w:highlight w:val="none"/>
          <w:lang w:val="en-US" w:eastAsia="zh-CN"/>
        </w:rPr>
        <w:t>圆</w:t>
      </w:r>
      <w:r>
        <w:rPr>
          <w:rFonts w:hint="eastAsia" w:asciiTheme="majorEastAsia" w:hAnsiTheme="majorEastAsia" w:eastAsiaTheme="majorEastAsia" w:cstheme="majorEastAsia"/>
          <w:bCs/>
          <w:color w:val="auto"/>
          <w:sz w:val="28"/>
          <w:szCs w:val="28"/>
          <w:highlight w:val="none"/>
        </w:rPr>
        <w:t>餐桌80张，产品4椅子</w:t>
      </w:r>
      <w:r>
        <w:rPr>
          <w:rFonts w:hint="eastAsia" w:asciiTheme="majorEastAsia" w:hAnsiTheme="majorEastAsia" w:eastAsiaTheme="majorEastAsia" w:cstheme="majorEastAsia"/>
          <w:bCs/>
          <w:color w:val="auto"/>
          <w:sz w:val="28"/>
          <w:szCs w:val="28"/>
          <w:highlight w:val="none"/>
          <w:lang w:val="en-US" w:eastAsia="zh-CN"/>
        </w:rPr>
        <w:t>64</w:t>
      </w:r>
      <w:r>
        <w:rPr>
          <w:rFonts w:hint="eastAsia" w:asciiTheme="majorEastAsia" w:hAnsiTheme="majorEastAsia" w:eastAsiaTheme="majorEastAsia" w:cstheme="majorEastAsia"/>
          <w:bCs/>
          <w:color w:val="auto"/>
          <w:sz w:val="28"/>
          <w:szCs w:val="28"/>
          <w:highlight w:val="none"/>
        </w:rPr>
        <w:t>0张，产品5</w:t>
      </w:r>
      <w:r>
        <w:rPr>
          <w:rFonts w:hint="eastAsia" w:asciiTheme="majorEastAsia" w:hAnsiTheme="majorEastAsia" w:eastAsiaTheme="majorEastAsia" w:cstheme="majorEastAsia"/>
          <w:bCs/>
          <w:color w:val="auto"/>
          <w:sz w:val="28"/>
          <w:szCs w:val="28"/>
          <w:highlight w:val="none"/>
          <w:lang w:val="en-US" w:eastAsia="zh-CN"/>
        </w:rPr>
        <w:t>与</w:t>
      </w:r>
      <w:r>
        <w:rPr>
          <w:rFonts w:hint="eastAsia" w:asciiTheme="majorEastAsia" w:hAnsiTheme="majorEastAsia" w:eastAsiaTheme="majorEastAsia" w:cstheme="majorEastAsia"/>
          <w:bCs/>
          <w:color w:val="auto"/>
          <w:sz w:val="28"/>
          <w:szCs w:val="28"/>
          <w:highlight w:val="none"/>
        </w:rPr>
        <w:t>圆餐桌</w:t>
      </w:r>
      <w:r>
        <w:rPr>
          <w:rFonts w:hint="eastAsia" w:asciiTheme="majorEastAsia" w:hAnsiTheme="majorEastAsia" w:eastAsiaTheme="majorEastAsia" w:cstheme="majorEastAsia"/>
          <w:bCs/>
          <w:color w:val="auto"/>
          <w:sz w:val="28"/>
          <w:szCs w:val="28"/>
          <w:highlight w:val="none"/>
          <w:lang w:val="en-US" w:eastAsia="zh-CN"/>
        </w:rPr>
        <w:t>匹配的钢化玻璃8</w:t>
      </w:r>
      <w:r>
        <w:rPr>
          <w:rFonts w:hint="eastAsia" w:asciiTheme="majorEastAsia" w:hAnsiTheme="majorEastAsia" w:eastAsiaTheme="majorEastAsia" w:cstheme="majorEastAsia"/>
          <w:bCs/>
          <w:color w:val="auto"/>
          <w:sz w:val="28"/>
          <w:szCs w:val="28"/>
          <w:highlight w:val="none"/>
        </w:rPr>
        <w:t>0张。</w:t>
      </w:r>
    </w:p>
    <w:p w14:paraId="284D5138">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本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p>
    <w:p w14:paraId="104765A9">
      <w:pPr>
        <w:keepNext w:val="0"/>
        <w:keepLines w:val="0"/>
        <w:pageBreakBefore w:val="0"/>
        <w:widowControl w:val="0"/>
        <w:kinsoku/>
        <w:wordWrap/>
        <w:overflowPunct/>
        <w:topLinePunct w:val="0"/>
        <w:autoSpaceDE/>
        <w:autoSpaceDN/>
        <w:bidi w:val="0"/>
        <w:adjustRightInd/>
        <w:snapToGrid/>
        <w:spacing w:line="460" w:lineRule="exact"/>
        <w:ind w:left="0" w:firstLine="562" w:firstLineChars="200"/>
        <w:textAlignment w:val="auto"/>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（二）采购标的需执行的国家相关标准、行业标准、地方标准或者其他标准、规范；</w:t>
      </w:r>
    </w:p>
    <w:p w14:paraId="57B7B036">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1.符合但不限于下面列出的关于实木类家具安全、试验和检测的最新要求，实木类家具搬运、家具安装等相关最新标准。如：</w:t>
      </w:r>
    </w:p>
    <w:p w14:paraId="6838E17D">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GB/T24821-2024《餐桌餐椅》国家标准</w:t>
      </w:r>
    </w:p>
    <w:p w14:paraId="3EAF56C5">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GB/T10357.1-2024《家具力学性能试验第1部分桌类强度和耐久性》</w:t>
      </w:r>
    </w:p>
    <w:p w14:paraId="5BFF2D0C">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GB/T10357.3-2025《家具力学性能试验第3部分椅凳类强度和耐久性》</w:t>
      </w:r>
    </w:p>
    <w:p w14:paraId="4D382BBF">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GB28008-2024《家具结构安全技术规范》</w:t>
      </w:r>
    </w:p>
    <w:p w14:paraId="2516228A">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GB18584-2024《家具中有害物质限量》</w:t>
      </w:r>
    </w:p>
    <w:p w14:paraId="764246F7">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GB/T3324-2024《木家具通用技术条件》</w:t>
      </w:r>
    </w:p>
    <w:p w14:paraId="326FFA7D">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GB17927—2024《家具阻燃性能安全技术规范》</w:t>
      </w:r>
    </w:p>
    <w:p w14:paraId="62CC9C12">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GB/T35607-2024《绿色产品评价家具》</w:t>
      </w:r>
    </w:p>
    <w:p w14:paraId="7E1CD5DA">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GB/T28202-2020《家具工业术语》</w:t>
      </w:r>
    </w:p>
    <w:p w14:paraId="375297A4">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GB/T32445-2015《家具用材料分类》</w:t>
      </w:r>
    </w:p>
    <w:p w14:paraId="0AC70498">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QB/T3658-1999《木家具公差与配合》</w:t>
      </w:r>
    </w:p>
    <w:p w14:paraId="781CFD97">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GB/T4893.1-9《家具表面漆膜理化性能试验》系列国家标准</w:t>
      </w:r>
    </w:p>
    <w:p w14:paraId="7A593A53">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GB/T1927《无疵小试样木材物理力学性质试验方法》系列国家标准的全部21个文件</w:t>
      </w:r>
    </w:p>
    <w:p w14:paraId="5F5797F7">
      <w:pPr>
        <w:keepNext w:val="0"/>
        <w:keepLines w:val="0"/>
        <w:pageBreakBefore w:val="0"/>
        <w:widowControl w:val="0"/>
        <w:kinsoku/>
        <w:wordWrap/>
        <w:overflowPunct/>
        <w:topLinePunct w:val="0"/>
        <w:autoSpaceDE/>
        <w:autoSpaceDN/>
        <w:bidi w:val="0"/>
        <w:adjustRightInd/>
        <w:snapToGrid/>
        <w:spacing w:line="460" w:lineRule="exact"/>
        <w:ind w:left="559" w:leftChars="266" w:firstLine="0" w:firstLineChars="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
          <w:bCs w:val="0"/>
          <w:color w:val="auto"/>
          <w:sz w:val="28"/>
          <w:szCs w:val="28"/>
          <w:highlight w:val="none"/>
          <w:lang w:eastAsia="zh-CN"/>
        </w:rPr>
        <w:t>GB 30981.2—2025《涂料中有害物质限量 第 2 部分：工业涂料》</w:t>
      </w:r>
      <w:r>
        <w:rPr>
          <w:rFonts w:hint="eastAsia" w:asciiTheme="majorEastAsia" w:hAnsiTheme="majorEastAsia" w:eastAsiaTheme="majorEastAsia" w:cstheme="majorEastAsia"/>
          <w:bCs/>
          <w:color w:val="auto"/>
          <w:sz w:val="28"/>
          <w:szCs w:val="28"/>
          <w:highlight w:val="none"/>
        </w:rPr>
        <w:t>GB/T18883-2022《室内空气质量标准》等。</w:t>
      </w:r>
    </w:p>
    <w:p w14:paraId="304CED98">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lang w:val="en-US" w:eastAsia="zh-CN"/>
        </w:rPr>
        <w:t>2</w:t>
      </w:r>
      <w:r>
        <w:rPr>
          <w:rFonts w:hint="eastAsia" w:asciiTheme="majorEastAsia" w:hAnsiTheme="majorEastAsia" w:eastAsiaTheme="majorEastAsia" w:cstheme="majorEastAsia"/>
          <w:bCs/>
          <w:color w:val="auto"/>
          <w:sz w:val="28"/>
          <w:szCs w:val="28"/>
          <w:highlight w:val="none"/>
        </w:rPr>
        <w:t>.满足其他国家相关标准、行业标准、地方标准或者其他标准、规范；</w:t>
      </w:r>
    </w:p>
    <w:p w14:paraId="5EBEFE4B">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lang w:val="en-US" w:eastAsia="zh-CN"/>
        </w:rPr>
        <w:t>3</w:t>
      </w:r>
      <w:r>
        <w:rPr>
          <w:rFonts w:hint="eastAsia" w:asciiTheme="majorEastAsia" w:hAnsiTheme="majorEastAsia" w:eastAsiaTheme="majorEastAsia" w:cstheme="majorEastAsia"/>
          <w:bCs/>
          <w:color w:val="auto"/>
          <w:sz w:val="28"/>
          <w:szCs w:val="28"/>
          <w:highlight w:val="none"/>
        </w:rPr>
        <w:t>.符合采购文件项目需求。</w:t>
      </w:r>
    </w:p>
    <w:p w14:paraId="59A5735F">
      <w:pPr>
        <w:keepNext w:val="0"/>
        <w:keepLines w:val="0"/>
        <w:pageBreakBefore w:val="0"/>
        <w:widowControl w:val="0"/>
        <w:kinsoku/>
        <w:wordWrap/>
        <w:overflowPunct/>
        <w:topLinePunct w:val="0"/>
        <w:autoSpaceDE/>
        <w:autoSpaceDN/>
        <w:bidi w:val="0"/>
        <w:adjustRightInd/>
        <w:snapToGrid/>
        <w:spacing w:line="460" w:lineRule="exact"/>
        <w:ind w:left="0" w:firstLine="562" w:firstLineChars="200"/>
        <w:textAlignment w:val="auto"/>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（三）采购标的需满足的质量、安全、技术规格、物理特性等要求；</w:t>
      </w:r>
    </w:p>
    <w:p w14:paraId="7DB04832">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1.投标人可以先到现场踏勘以充分了解工地位置、道路、储存空间、装卸限制及任何其它足以影响投标报价的情况，任何因忽视或误解工地情况而导致的索赔或供货期延长申请将不获批准，由此发生的任何费用由投标人自理。</w:t>
      </w:r>
    </w:p>
    <w:p w14:paraId="52552955">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踏勘时间：本公告发布之日起7日内（8:30-11:00,14:30-17:00），踏勘地点：南通职业大学钟秀校区</w:t>
      </w:r>
      <w:r>
        <w:rPr>
          <w:rFonts w:hint="eastAsia" w:asciiTheme="majorEastAsia" w:hAnsiTheme="majorEastAsia" w:eastAsiaTheme="majorEastAsia" w:cstheme="majorEastAsia"/>
          <w:bCs/>
          <w:color w:val="auto"/>
          <w:sz w:val="28"/>
          <w:szCs w:val="28"/>
          <w:highlight w:val="none"/>
          <w:lang w:val="en-US" w:eastAsia="zh-CN"/>
        </w:rPr>
        <w:t>食缘汇</w:t>
      </w:r>
      <w:r>
        <w:rPr>
          <w:rFonts w:hint="eastAsia" w:asciiTheme="majorEastAsia" w:hAnsiTheme="majorEastAsia" w:eastAsiaTheme="majorEastAsia" w:cstheme="majorEastAsia"/>
          <w:bCs/>
          <w:color w:val="auto"/>
          <w:sz w:val="28"/>
          <w:szCs w:val="28"/>
          <w:highlight w:val="none"/>
        </w:rPr>
        <w:t>食堂，踏勘联系人：</w:t>
      </w:r>
      <w:r>
        <w:rPr>
          <w:rFonts w:hint="eastAsia" w:asciiTheme="majorEastAsia" w:hAnsiTheme="majorEastAsia" w:eastAsiaTheme="majorEastAsia" w:cstheme="majorEastAsia"/>
          <w:bCs/>
          <w:color w:val="auto"/>
          <w:sz w:val="28"/>
          <w:szCs w:val="28"/>
          <w:highlight w:val="none"/>
          <w:lang w:val="en-US" w:eastAsia="zh-CN"/>
        </w:rPr>
        <w:t>宋</w:t>
      </w:r>
      <w:r>
        <w:rPr>
          <w:rFonts w:hint="eastAsia" w:asciiTheme="majorEastAsia" w:hAnsiTheme="majorEastAsia" w:eastAsiaTheme="majorEastAsia" w:cstheme="majorEastAsia"/>
          <w:bCs/>
          <w:color w:val="auto"/>
          <w:sz w:val="28"/>
          <w:szCs w:val="28"/>
          <w:highlight w:val="none"/>
        </w:rPr>
        <w:t>老师（</w:t>
      </w:r>
      <w:r>
        <w:rPr>
          <w:rFonts w:hint="eastAsia" w:asciiTheme="majorEastAsia" w:hAnsiTheme="majorEastAsia" w:eastAsiaTheme="majorEastAsia" w:cstheme="majorEastAsia"/>
          <w:bCs/>
          <w:color w:val="auto"/>
          <w:sz w:val="28"/>
          <w:szCs w:val="28"/>
          <w:highlight w:val="none"/>
          <w:lang w:val="en-US" w:eastAsia="zh-CN"/>
        </w:rPr>
        <w:t>13515207337</w:t>
      </w:r>
      <w:r>
        <w:rPr>
          <w:rFonts w:hint="eastAsia" w:asciiTheme="majorEastAsia" w:hAnsiTheme="majorEastAsia" w:eastAsiaTheme="majorEastAsia" w:cstheme="majorEastAsia"/>
          <w:bCs/>
          <w:color w:val="auto"/>
          <w:sz w:val="28"/>
          <w:szCs w:val="28"/>
          <w:highlight w:val="none"/>
        </w:rPr>
        <w:t>）。</w:t>
      </w:r>
    </w:p>
    <w:p w14:paraId="33D2CE59">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2.投标人应采取必要的安全措施保证货物的运输及安装的安全，并承担货物的运输及安装过程中产生的风险。</w:t>
      </w:r>
    </w:p>
    <w:p w14:paraId="09D41F07">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3.投标人所投产品必须从厂家生产完毕后在现场安装，不得在施工现场制作。</w:t>
      </w:r>
    </w:p>
    <w:p w14:paraId="7E713871">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4.投标人提供的所有货物必须满足招标文件要求，须与分项报价明细表注明的内容相符，否则投标人承担违约责任。货物到达现场后，需报采购人同意后方可安装，对于将不合格的货物使用到本项目，一切损失及后果由投标人自行承担。</w:t>
      </w:r>
    </w:p>
    <w:p w14:paraId="58E51DD8">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5.项目技术参数及产品标准等。</w:t>
      </w:r>
    </w:p>
    <w:tbl>
      <w:tblPr>
        <w:tblStyle w:val="36"/>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1134"/>
        <w:gridCol w:w="1100"/>
        <w:gridCol w:w="7726"/>
      </w:tblGrid>
      <w:tr w14:paraId="3E34C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jc w:val="center"/>
        </w:trPr>
        <w:tc>
          <w:tcPr>
            <w:tcW w:w="1134" w:type="dxa"/>
            <w:tcMar>
              <w:top w:w="57" w:type="dxa"/>
              <w:left w:w="57" w:type="dxa"/>
              <w:bottom w:w="57" w:type="dxa"/>
              <w:right w:w="57" w:type="dxa"/>
            </w:tcMar>
            <w:vAlign w:val="center"/>
          </w:tcPr>
          <w:p w14:paraId="34689B1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序号</w:t>
            </w:r>
          </w:p>
        </w:tc>
        <w:tc>
          <w:tcPr>
            <w:tcW w:w="1100" w:type="dxa"/>
            <w:tcMar>
              <w:top w:w="57" w:type="dxa"/>
              <w:left w:w="57" w:type="dxa"/>
              <w:bottom w:w="57" w:type="dxa"/>
              <w:right w:w="57" w:type="dxa"/>
            </w:tcMar>
            <w:vAlign w:val="center"/>
          </w:tcPr>
          <w:p w14:paraId="0A970F6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类别</w:t>
            </w:r>
          </w:p>
        </w:tc>
        <w:tc>
          <w:tcPr>
            <w:tcW w:w="7726" w:type="dxa"/>
            <w:tcMar>
              <w:top w:w="57" w:type="dxa"/>
              <w:left w:w="57" w:type="dxa"/>
              <w:bottom w:w="57" w:type="dxa"/>
              <w:right w:w="57" w:type="dxa"/>
            </w:tcMar>
            <w:vAlign w:val="center"/>
          </w:tcPr>
          <w:p w14:paraId="18FA387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技术参数要求</w:t>
            </w:r>
          </w:p>
        </w:tc>
      </w:tr>
      <w:tr w14:paraId="0FDFB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90" w:hRule="atLeast"/>
          <w:jc w:val="center"/>
        </w:trPr>
        <w:tc>
          <w:tcPr>
            <w:tcW w:w="1134" w:type="dxa"/>
            <w:tcMar>
              <w:top w:w="57" w:type="dxa"/>
              <w:left w:w="57" w:type="dxa"/>
              <w:bottom w:w="57" w:type="dxa"/>
              <w:right w:w="57" w:type="dxa"/>
            </w:tcMar>
            <w:vAlign w:val="center"/>
          </w:tcPr>
          <w:p w14:paraId="17B09CE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产品1</w:t>
            </w:r>
          </w:p>
        </w:tc>
        <w:tc>
          <w:tcPr>
            <w:tcW w:w="1100" w:type="dxa"/>
            <w:tcMar>
              <w:top w:w="57" w:type="dxa"/>
              <w:left w:w="57" w:type="dxa"/>
              <w:bottom w:w="57" w:type="dxa"/>
              <w:right w:w="57" w:type="dxa"/>
            </w:tcMar>
            <w:vAlign w:val="center"/>
          </w:tcPr>
          <w:p w14:paraId="2C75428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长餐桌</w:t>
            </w:r>
          </w:p>
        </w:tc>
        <w:tc>
          <w:tcPr>
            <w:tcW w:w="7726" w:type="dxa"/>
            <w:tcMar>
              <w:top w:w="57" w:type="dxa"/>
              <w:left w:w="57" w:type="dxa"/>
              <w:bottom w:w="57" w:type="dxa"/>
              <w:right w:w="57" w:type="dxa"/>
            </w:tcMar>
            <w:vAlign w:val="top"/>
          </w:tcPr>
          <w:p w14:paraId="0B475200">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kern w:val="2"/>
                <w:sz w:val="28"/>
                <w:szCs w:val="28"/>
                <w:highlight w:val="none"/>
                <w:lang w:val="en-US" w:eastAsia="zh-CN" w:bidi="ar-SA"/>
              </w:rPr>
              <w:t>1、</w:t>
            </w:r>
            <w:r>
              <w:rPr>
                <w:rFonts w:hint="eastAsia" w:asciiTheme="majorEastAsia" w:hAnsiTheme="majorEastAsia" w:eastAsiaTheme="majorEastAsia" w:cstheme="majorEastAsia"/>
                <w:color w:val="auto"/>
                <w:sz w:val="28"/>
                <w:szCs w:val="28"/>
                <w:highlight w:val="none"/>
              </w:rPr>
              <w:t>规格：1400mm*700mm*750mm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p>
          <w:p w14:paraId="021B95F3">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kern w:val="2"/>
                <w:sz w:val="28"/>
                <w:szCs w:val="28"/>
                <w:highlight w:val="none"/>
                <w:lang w:val="en-US" w:eastAsia="zh-CN" w:bidi="ar-SA"/>
              </w:rPr>
              <w:t>2、</w:t>
            </w:r>
            <w:r>
              <w:rPr>
                <w:rFonts w:hint="eastAsia" w:asciiTheme="majorEastAsia" w:hAnsiTheme="majorEastAsia" w:eastAsiaTheme="majorEastAsia" w:cstheme="majorEastAsia"/>
                <w:color w:val="auto"/>
                <w:sz w:val="28"/>
                <w:szCs w:val="28"/>
                <w:highlight w:val="none"/>
              </w:rPr>
              <w:t>基材：采用优质白蜡木榫卯结构制作。</w:t>
            </w:r>
          </w:p>
          <w:p w14:paraId="025659D6">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kern w:val="2"/>
                <w:sz w:val="28"/>
                <w:szCs w:val="28"/>
                <w:highlight w:val="none"/>
                <w:lang w:val="en-US" w:eastAsia="zh-CN" w:bidi="ar-SA"/>
              </w:rPr>
              <w:t>3、</w:t>
            </w:r>
            <w:r>
              <w:rPr>
                <w:rFonts w:hint="eastAsia" w:asciiTheme="majorEastAsia" w:hAnsiTheme="majorEastAsia" w:eastAsiaTheme="majorEastAsia" w:cstheme="majorEastAsia"/>
                <w:color w:val="auto"/>
                <w:sz w:val="28"/>
                <w:szCs w:val="28"/>
                <w:highlight w:val="none"/>
              </w:rPr>
              <w:t>长餐桌整体材料均为实木白蜡木。面板厚度30mm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；采用白蜡木直拼（杜绝指接板拼接），边角圆润打磨，不伤手；桌腿尺寸65*65mm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整木</w:t>
            </w:r>
            <w:r>
              <w:rPr>
                <w:rFonts w:hint="eastAsia" w:asciiTheme="majorEastAsia" w:hAnsiTheme="majorEastAsia" w:eastAsiaTheme="majorEastAsia" w:cstheme="majorEastAsia"/>
                <w:color w:val="auto"/>
                <w:sz w:val="28"/>
                <w:szCs w:val="28"/>
                <w:highlight w:val="none"/>
              </w:rPr>
              <w:t>，牙板采用25*100mm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，桌下拉档及加固斜档50*30mm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。横梁为榫卯结构拼接，桌脚为方形桌腿，桌脚于横梁采用榫卯结构+螺丝等五金件进行连接。</w:t>
            </w:r>
          </w:p>
          <w:p w14:paraId="05B72C62">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kern w:val="2"/>
                <w:sz w:val="28"/>
                <w:szCs w:val="28"/>
                <w:highlight w:val="none"/>
                <w:lang w:val="en-US" w:eastAsia="zh-CN" w:bidi="ar-SA"/>
              </w:rPr>
              <w:t>4、</w:t>
            </w:r>
            <w:r>
              <w:rPr>
                <w:rFonts w:hint="eastAsia" w:asciiTheme="majorEastAsia" w:hAnsiTheme="majorEastAsia" w:eastAsiaTheme="majorEastAsia" w:cstheme="majorEastAsia"/>
                <w:color w:val="auto"/>
                <w:sz w:val="28"/>
                <w:szCs w:val="28"/>
                <w:highlight w:val="none"/>
              </w:rPr>
              <w:t>基材需经过防虫、防腐化、防蛀、耐酸碱、烘干等化学处理，强度高，不变形，比重合理，木材干燥度、握钉力、膨胀系数、甲醛释放量等各项指标均优于国家标准（木材甲醛释放量≤0.25mg/L，总挥发有机化合物≤100ug/m³）。</w:t>
            </w:r>
          </w:p>
          <w:p w14:paraId="65781A0F">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kern w:val="2"/>
                <w:sz w:val="28"/>
                <w:szCs w:val="28"/>
                <w:highlight w:val="none"/>
                <w:lang w:val="en-US" w:eastAsia="zh-CN" w:bidi="ar-SA"/>
              </w:rPr>
              <w:t>5、</w:t>
            </w:r>
            <w:r>
              <w:rPr>
                <w:rFonts w:hint="eastAsia" w:asciiTheme="majorEastAsia" w:hAnsiTheme="majorEastAsia" w:eastAsiaTheme="majorEastAsia" w:cstheme="majorEastAsia"/>
                <w:color w:val="auto"/>
                <w:sz w:val="28"/>
                <w:szCs w:val="28"/>
                <w:highlight w:val="none"/>
              </w:rPr>
              <w:t>油漆：采用环保UV底漆及水性面漆涂饰，三底两面工艺，全部满刮透明腻子，表面纹理清晰无颗粒，无气泡，无渣点，颜色均匀。漆面色泽美观、木纹纹理清晰、耐磨、耐腐蚀、耐油、耐湿热。颜色为木材本色。</w:t>
            </w:r>
          </w:p>
          <w:p w14:paraId="049AD4A2">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rPr>
              <w:t>油漆原料“uv油漆（底漆）”</w:t>
            </w:r>
            <w:r>
              <w:rPr>
                <w:rFonts w:hint="eastAsia" w:asciiTheme="majorEastAsia" w:hAnsiTheme="majorEastAsia" w:eastAsiaTheme="majorEastAsia" w:cstheme="majorEastAsia"/>
                <w:b/>
                <w:bCs/>
                <w:color w:val="auto"/>
                <w:sz w:val="28"/>
                <w:szCs w:val="28"/>
                <w:highlight w:val="none"/>
              </w:rPr>
              <w:t>符合</w:t>
            </w:r>
            <w:r>
              <w:rPr>
                <w:rFonts w:hint="eastAsia" w:asciiTheme="majorEastAsia" w:hAnsiTheme="majorEastAsia" w:eastAsiaTheme="majorEastAsia" w:cstheme="majorEastAsia"/>
                <w:b/>
                <w:bCs/>
                <w:color w:val="auto"/>
                <w:sz w:val="28"/>
                <w:szCs w:val="28"/>
                <w:highlight w:val="none"/>
                <w:lang w:eastAsia="zh-CN"/>
              </w:rPr>
              <w:t>GB 30981.2—2025</w:t>
            </w:r>
            <w:r>
              <w:rPr>
                <w:rFonts w:hint="eastAsia" w:asciiTheme="majorEastAsia" w:hAnsiTheme="majorEastAsia" w:eastAsiaTheme="majorEastAsia" w:cstheme="majorEastAsia"/>
                <w:b/>
                <w:bCs/>
                <w:color w:val="auto"/>
                <w:sz w:val="28"/>
                <w:szCs w:val="28"/>
                <w:highlight w:val="none"/>
              </w:rPr>
              <w:t>：VOC 含量、总重金属（铅、汞）</w:t>
            </w:r>
            <w:r>
              <w:rPr>
                <w:rFonts w:hint="eastAsia" w:asciiTheme="majorEastAsia" w:hAnsiTheme="majorEastAsia" w:eastAsiaTheme="majorEastAsia" w:cstheme="majorEastAsia"/>
                <w:color w:val="auto"/>
                <w:sz w:val="28"/>
                <w:szCs w:val="28"/>
                <w:highlight w:val="none"/>
              </w:rPr>
              <w:t>、</w:t>
            </w:r>
            <w:r>
              <w:rPr>
                <w:rFonts w:hint="eastAsia" w:asciiTheme="majorEastAsia" w:hAnsiTheme="majorEastAsia" w:eastAsiaTheme="majorEastAsia" w:cstheme="majorEastAsia"/>
                <w:b/>
                <w:bCs/>
                <w:color w:val="auto"/>
                <w:sz w:val="28"/>
                <w:szCs w:val="28"/>
                <w:highlight w:val="none"/>
              </w:rPr>
              <w:t>可溶性元素（铅、镉、铬、汞、锑、砷、钡、硒）</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color w:val="auto"/>
                <w:sz w:val="28"/>
                <w:szCs w:val="28"/>
                <w:highlight w:val="none"/>
                <w:lang w:eastAsia="zh-CN"/>
              </w:rPr>
              <w:t>。</w:t>
            </w:r>
          </w:p>
          <w:p w14:paraId="5F99A97E">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rPr>
              <w:t>油漆原料“uv油漆（面漆）”</w:t>
            </w:r>
            <w:r>
              <w:rPr>
                <w:rFonts w:hint="eastAsia" w:asciiTheme="majorEastAsia" w:hAnsiTheme="majorEastAsia" w:eastAsiaTheme="majorEastAsia" w:cstheme="majorEastAsia"/>
                <w:b/>
                <w:bCs/>
                <w:color w:val="auto"/>
                <w:sz w:val="28"/>
                <w:szCs w:val="28"/>
                <w:highlight w:val="none"/>
              </w:rPr>
              <w:t>符合</w:t>
            </w:r>
            <w:r>
              <w:rPr>
                <w:rFonts w:hint="eastAsia" w:asciiTheme="majorEastAsia" w:hAnsiTheme="majorEastAsia" w:eastAsiaTheme="majorEastAsia" w:cstheme="majorEastAsia"/>
                <w:b/>
                <w:bCs/>
                <w:color w:val="auto"/>
                <w:sz w:val="28"/>
                <w:szCs w:val="28"/>
                <w:highlight w:val="none"/>
                <w:lang w:eastAsia="zh-CN"/>
              </w:rPr>
              <w:t>GB 30981.2—2025</w:t>
            </w:r>
            <w:r>
              <w:rPr>
                <w:rFonts w:hint="eastAsia" w:asciiTheme="majorEastAsia" w:hAnsiTheme="majorEastAsia" w:eastAsiaTheme="majorEastAsia" w:cstheme="majorEastAsia"/>
                <w:b/>
                <w:bCs/>
                <w:color w:val="auto"/>
                <w:sz w:val="28"/>
                <w:szCs w:val="28"/>
                <w:highlight w:val="none"/>
              </w:rPr>
              <w:t>：VOC 含量、总重金属（铅、汞）</w:t>
            </w:r>
            <w:r>
              <w:rPr>
                <w:rFonts w:hint="eastAsia" w:asciiTheme="majorEastAsia" w:hAnsiTheme="majorEastAsia" w:eastAsiaTheme="majorEastAsia" w:cstheme="majorEastAsia"/>
                <w:color w:val="auto"/>
                <w:sz w:val="28"/>
                <w:szCs w:val="28"/>
                <w:highlight w:val="none"/>
              </w:rPr>
              <w:t>、</w:t>
            </w:r>
            <w:r>
              <w:rPr>
                <w:rFonts w:hint="eastAsia" w:asciiTheme="majorEastAsia" w:hAnsiTheme="majorEastAsia" w:eastAsiaTheme="majorEastAsia" w:cstheme="majorEastAsia"/>
                <w:b/>
                <w:bCs/>
                <w:color w:val="auto"/>
                <w:sz w:val="28"/>
                <w:szCs w:val="28"/>
                <w:highlight w:val="none"/>
              </w:rPr>
              <w:t>可溶性元素（铅、镉、铬、汞、锑、砷、钡、硒）</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乙二醇醚及醚酯总和HG/T3950-2007：金黄色葡萄球菌；抗细菌性能≥99.9%；GB/T36488-2018：多环芳烃未检出；GB/T23989-2009：耐溶剂擦拭性；GB/T30648.1-2014耐液体性≥100h；HG/T3655-2024在容器中状态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lang w:eastAsia="zh-CN"/>
              </w:rPr>
              <w:t>。</w:t>
            </w:r>
          </w:p>
          <w:p w14:paraId="54C80FD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6、五金配件：采用连接件、紧固件、螺丝等五金件进行连接，五金件连接紧密，无杂音，无松动。防锈处理，安全性、耐用性佳。</w:t>
            </w:r>
          </w:p>
        </w:tc>
      </w:tr>
      <w:tr w14:paraId="09B8D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90" w:hRule="atLeast"/>
          <w:jc w:val="center"/>
        </w:trPr>
        <w:tc>
          <w:tcPr>
            <w:tcW w:w="1134" w:type="dxa"/>
            <w:tcMar>
              <w:top w:w="57" w:type="dxa"/>
              <w:left w:w="57" w:type="dxa"/>
              <w:bottom w:w="57" w:type="dxa"/>
              <w:right w:w="57" w:type="dxa"/>
            </w:tcMar>
            <w:vAlign w:val="center"/>
          </w:tcPr>
          <w:p w14:paraId="14D3EE7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产品2</w:t>
            </w:r>
          </w:p>
        </w:tc>
        <w:tc>
          <w:tcPr>
            <w:tcW w:w="1100" w:type="dxa"/>
            <w:tcMar>
              <w:top w:w="57" w:type="dxa"/>
              <w:left w:w="57" w:type="dxa"/>
              <w:bottom w:w="57" w:type="dxa"/>
              <w:right w:w="57" w:type="dxa"/>
            </w:tcMar>
            <w:vAlign w:val="center"/>
          </w:tcPr>
          <w:p w14:paraId="7803365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椅子</w:t>
            </w:r>
          </w:p>
        </w:tc>
        <w:tc>
          <w:tcPr>
            <w:tcW w:w="7726" w:type="dxa"/>
            <w:tcMar>
              <w:top w:w="57" w:type="dxa"/>
              <w:left w:w="57" w:type="dxa"/>
              <w:bottom w:w="57" w:type="dxa"/>
              <w:right w:w="57" w:type="dxa"/>
            </w:tcMar>
            <w:vAlign w:val="center"/>
          </w:tcPr>
          <w:p w14:paraId="1F717307">
            <w:pPr>
              <w:keepNext w:val="0"/>
              <w:keepLines w:val="0"/>
              <w:pageBreakBefore w:val="0"/>
              <w:widowControl w:val="0"/>
              <w:numPr>
                <w:ilvl w:val="0"/>
                <w:numId w:val="2"/>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规格</w:t>
            </w:r>
            <w:r>
              <w:rPr>
                <w:rFonts w:hint="eastAsia" w:asciiTheme="majorEastAsia" w:hAnsiTheme="majorEastAsia" w:eastAsiaTheme="majorEastAsia" w:cstheme="majorEastAsia"/>
                <w:color w:val="auto"/>
                <w:sz w:val="28"/>
                <w:szCs w:val="28"/>
                <w:highlight w:val="none"/>
              </w:rPr>
              <w:t>：480*430/440/780mm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p>
          <w:p w14:paraId="5931892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2、基材：采用优质白蜡木榫卯结构制作。</w:t>
            </w:r>
          </w:p>
          <w:p w14:paraId="4C1FBD6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3、椅子整体材料均为实木白蜡木。坐板厚度20mm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3mm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；四周倒圆角设计；椅腿必须为整木，不可有断接。坐板、靠背与人体接触面不可有金属配件外露。</w:t>
            </w:r>
          </w:p>
          <w:p w14:paraId="3AE09CD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基材需经过防虫、防腐化、防蛀、耐酸碱、烘干等化学处理，强度高，不变形，比重合理，木材干燥度、握钉力、膨胀系数、甲醛释放量等各项指标均优于国家标准（木材甲醛释放量≤0.25mg/L，总挥发有机化合物≤100ug/m³）。</w:t>
            </w:r>
          </w:p>
          <w:p w14:paraId="41F5875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5、油漆：采用环保UV底漆及水性面漆涂饰，三底两面工艺，全部满刮透明腻子，表面纹理清晰无颗粒，无气泡，无渣点，颜色均匀。漆面色泽美观、木纹纹理清晰、耐磨、耐腐蚀、耐油、耐湿热。颜色为木材本色。</w:t>
            </w:r>
          </w:p>
          <w:p w14:paraId="45EB139C">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color w:val="auto"/>
                <w:sz w:val="28"/>
                <w:szCs w:val="28"/>
                <w:highlight w:val="none"/>
              </w:rPr>
              <w:t>油漆原料“uv油漆（底漆）”</w:t>
            </w:r>
            <w:r>
              <w:rPr>
                <w:rFonts w:hint="eastAsia" w:asciiTheme="majorEastAsia" w:hAnsiTheme="majorEastAsia" w:eastAsiaTheme="majorEastAsia" w:cstheme="majorEastAsia"/>
                <w:b/>
                <w:bCs/>
                <w:color w:val="auto"/>
                <w:sz w:val="28"/>
                <w:szCs w:val="28"/>
                <w:highlight w:val="none"/>
              </w:rPr>
              <w:t>符合</w:t>
            </w:r>
            <w:r>
              <w:rPr>
                <w:rFonts w:hint="eastAsia" w:asciiTheme="majorEastAsia" w:hAnsiTheme="majorEastAsia" w:eastAsiaTheme="majorEastAsia" w:cstheme="majorEastAsia"/>
                <w:b/>
                <w:bCs/>
                <w:color w:val="auto"/>
                <w:sz w:val="28"/>
                <w:szCs w:val="28"/>
                <w:highlight w:val="none"/>
                <w:lang w:eastAsia="zh-CN"/>
              </w:rPr>
              <w:t>GB 30981.2—2025</w:t>
            </w:r>
            <w:r>
              <w:rPr>
                <w:rFonts w:hint="eastAsia" w:asciiTheme="majorEastAsia" w:hAnsiTheme="majorEastAsia" w:eastAsiaTheme="majorEastAsia" w:cstheme="majorEastAsia"/>
                <w:b/>
                <w:bCs/>
                <w:color w:val="auto"/>
                <w:sz w:val="28"/>
                <w:szCs w:val="28"/>
                <w:highlight w:val="none"/>
              </w:rPr>
              <w:t>：VOC 含量、总重金属（铅、汞）</w:t>
            </w:r>
            <w:r>
              <w:rPr>
                <w:rFonts w:hint="eastAsia" w:asciiTheme="majorEastAsia" w:hAnsiTheme="majorEastAsia" w:eastAsiaTheme="majorEastAsia" w:cstheme="majorEastAsia"/>
                <w:color w:val="auto"/>
                <w:sz w:val="28"/>
                <w:szCs w:val="28"/>
                <w:highlight w:val="none"/>
              </w:rPr>
              <w:t>、</w:t>
            </w:r>
            <w:r>
              <w:rPr>
                <w:rFonts w:hint="eastAsia" w:asciiTheme="majorEastAsia" w:hAnsiTheme="majorEastAsia" w:eastAsiaTheme="majorEastAsia" w:cstheme="majorEastAsia"/>
                <w:b/>
                <w:bCs/>
                <w:color w:val="auto"/>
                <w:sz w:val="28"/>
                <w:szCs w:val="28"/>
                <w:highlight w:val="none"/>
              </w:rPr>
              <w:t>可溶性元素（铅、镉、铬、汞、锑、砷、钡、硒）</w:t>
            </w:r>
            <w:r>
              <w:rPr>
                <w:rFonts w:hint="eastAsia" w:asciiTheme="majorEastAsia" w:hAnsiTheme="majorEastAsia" w:eastAsiaTheme="majorEastAsia" w:cstheme="majorEastAsia"/>
                <w:b/>
                <w:bCs/>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lang w:eastAsia="zh-CN"/>
              </w:rPr>
              <w:t>。</w:t>
            </w:r>
          </w:p>
          <w:p w14:paraId="5C82C9B6">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rPr>
              <w:t>油漆原料“uv油漆（面漆）”</w:t>
            </w:r>
            <w:r>
              <w:rPr>
                <w:rFonts w:hint="eastAsia" w:asciiTheme="majorEastAsia" w:hAnsiTheme="majorEastAsia" w:eastAsiaTheme="majorEastAsia" w:cstheme="majorEastAsia"/>
                <w:b/>
                <w:bCs/>
                <w:color w:val="auto"/>
                <w:sz w:val="28"/>
                <w:szCs w:val="28"/>
                <w:highlight w:val="none"/>
              </w:rPr>
              <w:t>符合</w:t>
            </w:r>
            <w:r>
              <w:rPr>
                <w:rFonts w:hint="eastAsia" w:asciiTheme="majorEastAsia" w:hAnsiTheme="majorEastAsia" w:eastAsiaTheme="majorEastAsia" w:cstheme="majorEastAsia"/>
                <w:b/>
                <w:bCs/>
                <w:color w:val="auto"/>
                <w:sz w:val="28"/>
                <w:szCs w:val="28"/>
                <w:highlight w:val="none"/>
                <w:lang w:eastAsia="zh-CN"/>
              </w:rPr>
              <w:t>GB 30981.2—2025</w:t>
            </w:r>
            <w:r>
              <w:rPr>
                <w:rFonts w:hint="eastAsia" w:asciiTheme="majorEastAsia" w:hAnsiTheme="majorEastAsia" w:eastAsiaTheme="majorEastAsia" w:cstheme="majorEastAsia"/>
                <w:b/>
                <w:bCs/>
                <w:color w:val="auto"/>
                <w:sz w:val="28"/>
                <w:szCs w:val="28"/>
                <w:highlight w:val="none"/>
              </w:rPr>
              <w:t>：VOC 含量、总重金属（铅、汞）</w:t>
            </w:r>
            <w:r>
              <w:rPr>
                <w:rFonts w:hint="eastAsia" w:asciiTheme="majorEastAsia" w:hAnsiTheme="majorEastAsia" w:eastAsiaTheme="majorEastAsia" w:cstheme="majorEastAsia"/>
                <w:color w:val="auto"/>
                <w:sz w:val="28"/>
                <w:szCs w:val="28"/>
                <w:highlight w:val="none"/>
              </w:rPr>
              <w:t>、</w:t>
            </w:r>
            <w:r>
              <w:rPr>
                <w:rFonts w:hint="eastAsia" w:asciiTheme="majorEastAsia" w:hAnsiTheme="majorEastAsia" w:eastAsiaTheme="majorEastAsia" w:cstheme="majorEastAsia"/>
                <w:b/>
                <w:bCs/>
                <w:color w:val="auto"/>
                <w:sz w:val="28"/>
                <w:szCs w:val="28"/>
                <w:highlight w:val="none"/>
              </w:rPr>
              <w:t>可溶性元素（铅、镉、铬、汞、锑、砷、钡、硒）</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乙二醇醚及醚酯总和HG/T3950-2007：金黄色葡萄球菌；抗细菌性能≥99.9%；GB/T36488-2018：多环芳烃未检出；GB/T23989-2009：耐溶剂擦拭性；GB/T30648.1-2014耐液体性≥100h；HG/T3655-2024在容器中状态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lang w:eastAsia="zh-CN"/>
              </w:rPr>
              <w:t>。</w:t>
            </w:r>
          </w:p>
          <w:p w14:paraId="663F36E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6、五金配件：采用连接件、紧固件、螺丝等五金件进行连接，五金件连接紧密，无杂音，无松动。防锈处理，安全性、耐用性佳。</w:t>
            </w:r>
          </w:p>
        </w:tc>
      </w:tr>
      <w:tr w14:paraId="304DD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0" w:hRule="atLeast"/>
          <w:jc w:val="center"/>
        </w:trPr>
        <w:tc>
          <w:tcPr>
            <w:tcW w:w="1134" w:type="dxa"/>
            <w:tcMar>
              <w:top w:w="57" w:type="dxa"/>
              <w:left w:w="57" w:type="dxa"/>
              <w:bottom w:w="57" w:type="dxa"/>
              <w:right w:w="57" w:type="dxa"/>
            </w:tcMar>
            <w:vAlign w:val="center"/>
          </w:tcPr>
          <w:p w14:paraId="347D14C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rPr>
              <w:t>产品</w:t>
            </w:r>
            <w:r>
              <w:rPr>
                <w:rFonts w:hint="eastAsia" w:asciiTheme="majorEastAsia" w:hAnsiTheme="majorEastAsia" w:eastAsiaTheme="majorEastAsia" w:cstheme="majorEastAsia"/>
                <w:color w:val="auto"/>
                <w:sz w:val="28"/>
                <w:szCs w:val="28"/>
                <w:highlight w:val="none"/>
                <w:lang w:val="en-US" w:eastAsia="zh-CN"/>
              </w:rPr>
              <w:t>3</w:t>
            </w:r>
          </w:p>
        </w:tc>
        <w:tc>
          <w:tcPr>
            <w:tcW w:w="1100" w:type="dxa"/>
            <w:tcMar>
              <w:top w:w="57" w:type="dxa"/>
              <w:left w:w="57" w:type="dxa"/>
              <w:bottom w:w="57" w:type="dxa"/>
              <w:right w:w="57" w:type="dxa"/>
            </w:tcMar>
            <w:vAlign w:val="center"/>
          </w:tcPr>
          <w:p w14:paraId="2F8C9EB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圆餐桌</w:t>
            </w:r>
          </w:p>
        </w:tc>
        <w:tc>
          <w:tcPr>
            <w:tcW w:w="7726" w:type="dxa"/>
            <w:tcMar>
              <w:top w:w="57" w:type="dxa"/>
              <w:left w:w="57" w:type="dxa"/>
              <w:bottom w:w="57" w:type="dxa"/>
              <w:right w:w="57" w:type="dxa"/>
            </w:tcMar>
            <w:vAlign w:val="top"/>
          </w:tcPr>
          <w:p w14:paraId="5A592555">
            <w:pPr>
              <w:keepNext w:val="0"/>
              <w:keepLines w:val="0"/>
              <w:pageBreakBefore w:val="0"/>
              <w:widowControl w:val="0"/>
              <w:numPr>
                <w:ilvl w:val="0"/>
                <w:numId w:val="3"/>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rPr>
              <w:t>规格</w:t>
            </w:r>
            <w:r>
              <w:rPr>
                <w:rFonts w:hint="eastAsia" w:asciiTheme="majorEastAsia" w:hAnsiTheme="majorEastAsia" w:eastAsiaTheme="majorEastAsia" w:cstheme="majorEastAsia"/>
                <w:color w:val="auto"/>
                <w:sz w:val="28"/>
                <w:szCs w:val="28"/>
                <w:highlight w:val="none"/>
              </w:rPr>
              <w:t>：φ</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rPr>
              <w:t>800*750mm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p>
          <w:p w14:paraId="4279520F">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2、基材：采用优质白蜡木榫卯结构制作。</w:t>
            </w:r>
          </w:p>
          <w:p w14:paraId="703D153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3、圆餐桌整体材料均为实木白蜡木。面板厚度30mm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，采用白蜡木直拼（杜绝指接板拼接），边角圆润打磨，不伤手；桌腿尺寸为65*65mm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，桌架</w:t>
            </w:r>
            <w:r>
              <w:rPr>
                <w:rFonts w:hint="eastAsia" w:asciiTheme="majorEastAsia" w:hAnsiTheme="majorEastAsia" w:eastAsiaTheme="majorEastAsia" w:cstheme="majorEastAsia"/>
                <w:color w:val="auto"/>
                <w:sz w:val="28"/>
                <w:szCs w:val="28"/>
                <w:highlight w:val="none"/>
                <w:lang w:val="en-US" w:eastAsia="zh-CN"/>
              </w:rPr>
              <w:t>造型如图所示，可优化</w:t>
            </w:r>
            <w:r>
              <w:rPr>
                <w:rFonts w:hint="eastAsia" w:asciiTheme="majorEastAsia" w:hAnsiTheme="majorEastAsia" w:eastAsiaTheme="majorEastAsia" w:cstheme="majorEastAsia"/>
                <w:color w:val="auto"/>
                <w:sz w:val="28"/>
                <w:szCs w:val="28"/>
                <w:highlight w:val="none"/>
              </w:rPr>
              <w:t>，稳固其美观，采用榫卯结构+螺丝等五金件进行连接。</w:t>
            </w:r>
          </w:p>
          <w:p w14:paraId="1CDEBA2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基材需经过防虫、防腐化、防蛀、耐酸碱、烘干等化学处理，强度高，不变形，比重合理，木材干燥度、握钉力、膨胀系数、甲醛释放量等各项指标均优于国家标准（木材甲醛释放量≤0.25mg/L，总挥发有机化合物≤100ug/m³）。</w:t>
            </w:r>
          </w:p>
          <w:p w14:paraId="11FAD64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5、油漆：采用环保UV底漆及水性面漆涂饰，三底两面工艺，全部满刮透明腻子，表面纹理清晰无颗粒，无气泡，无渣点，颜色均匀。漆面色泽美观、木纹纹理清晰、耐磨、耐腐蚀、耐油、耐湿热。</w:t>
            </w:r>
          </w:p>
          <w:p w14:paraId="548FE5F5">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rPr>
              <w:t>油漆原料“uv油漆（底漆）”</w:t>
            </w:r>
            <w:r>
              <w:rPr>
                <w:rFonts w:hint="eastAsia" w:asciiTheme="majorEastAsia" w:hAnsiTheme="majorEastAsia" w:eastAsiaTheme="majorEastAsia" w:cstheme="majorEastAsia"/>
                <w:b/>
                <w:bCs/>
                <w:color w:val="auto"/>
                <w:sz w:val="28"/>
                <w:szCs w:val="28"/>
                <w:highlight w:val="none"/>
              </w:rPr>
              <w:t>符合</w:t>
            </w:r>
            <w:r>
              <w:rPr>
                <w:rFonts w:hint="eastAsia" w:asciiTheme="majorEastAsia" w:hAnsiTheme="majorEastAsia" w:eastAsiaTheme="majorEastAsia" w:cstheme="majorEastAsia"/>
                <w:b/>
                <w:bCs/>
                <w:color w:val="auto"/>
                <w:sz w:val="28"/>
                <w:szCs w:val="28"/>
                <w:highlight w:val="none"/>
                <w:lang w:eastAsia="zh-CN"/>
              </w:rPr>
              <w:t>GB 30981.2—2025</w:t>
            </w:r>
            <w:r>
              <w:rPr>
                <w:rFonts w:hint="eastAsia" w:asciiTheme="majorEastAsia" w:hAnsiTheme="majorEastAsia" w:eastAsiaTheme="majorEastAsia" w:cstheme="majorEastAsia"/>
                <w:b/>
                <w:bCs/>
                <w:color w:val="auto"/>
                <w:sz w:val="28"/>
                <w:szCs w:val="28"/>
                <w:highlight w:val="none"/>
              </w:rPr>
              <w:t>：VOC 含量、总重金属（铅、汞）</w:t>
            </w:r>
            <w:r>
              <w:rPr>
                <w:rFonts w:hint="eastAsia" w:asciiTheme="majorEastAsia" w:hAnsiTheme="majorEastAsia" w:eastAsiaTheme="majorEastAsia" w:cstheme="majorEastAsia"/>
                <w:color w:val="auto"/>
                <w:sz w:val="28"/>
                <w:szCs w:val="28"/>
                <w:highlight w:val="none"/>
              </w:rPr>
              <w:t>、</w:t>
            </w:r>
            <w:r>
              <w:rPr>
                <w:rFonts w:hint="eastAsia" w:asciiTheme="majorEastAsia" w:hAnsiTheme="majorEastAsia" w:eastAsiaTheme="majorEastAsia" w:cstheme="majorEastAsia"/>
                <w:b/>
                <w:bCs/>
                <w:color w:val="auto"/>
                <w:sz w:val="28"/>
                <w:szCs w:val="28"/>
                <w:highlight w:val="none"/>
              </w:rPr>
              <w:t>可溶性元素（铅、镉、铬、汞、锑、砷、钡、硒）</w:t>
            </w:r>
            <w:r>
              <w:rPr>
                <w:rFonts w:hint="eastAsia" w:asciiTheme="majorEastAsia" w:hAnsiTheme="majorEastAsia" w:eastAsiaTheme="majorEastAsia" w:cstheme="majorEastAsia"/>
                <w:b/>
                <w:bCs/>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lang w:eastAsia="zh-CN"/>
              </w:rPr>
              <w:t>。</w:t>
            </w:r>
          </w:p>
          <w:p w14:paraId="11AFD0A9">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30"/>
                <w:szCs w:val="30"/>
                <w:highlight w:val="none"/>
                <w:lang w:eastAsia="zh-CN"/>
              </w:rPr>
            </w:pPr>
            <w:r>
              <w:rPr>
                <w:rFonts w:hint="eastAsia" w:asciiTheme="majorEastAsia" w:hAnsiTheme="majorEastAsia" w:eastAsiaTheme="majorEastAsia" w:cstheme="majorEastAsia"/>
                <w:color w:val="auto"/>
                <w:sz w:val="28"/>
                <w:szCs w:val="28"/>
                <w:highlight w:val="none"/>
              </w:rPr>
              <w:t>油漆原料“uv油漆（面漆）”</w:t>
            </w:r>
            <w:r>
              <w:rPr>
                <w:rFonts w:hint="eastAsia" w:asciiTheme="majorEastAsia" w:hAnsiTheme="majorEastAsia" w:eastAsiaTheme="majorEastAsia" w:cstheme="majorEastAsia"/>
                <w:b/>
                <w:bCs/>
                <w:color w:val="auto"/>
                <w:sz w:val="28"/>
                <w:szCs w:val="28"/>
                <w:highlight w:val="none"/>
              </w:rPr>
              <w:t>符合</w:t>
            </w:r>
            <w:r>
              <w:rPr>
                <w:rFonts w:hint="eastAsia" w:asciiTheme="majorEastAsia" w:hAnsiTheme="majorEastAsia" w:eastAsiaTheme="majorEastAsia" w:cstheme="majorEastAsia"/>
                <w:b/>
                <w:bCs/>
                <w:color w:val="auto"/>
                <w:sz w:val="28"/>
                <w:szCs w:val="28"/>
                <w:highlight w:val="none"/>
                <w:lang w:eastAsia="zh-CN"/>
              </w:rPr>
              <w:t>GB 30981.2—2025</w:t>
            </w:r>
            <w:r>
              <w:rPr>
                <w:rFonts w:hint="eastAsia" w:asciiTheme="majorEastAsia" w:hAnsiTheme="majorEastAsia" w:eastAsiaTheme="majorEastAsia" w:cstheme="majorEastAsia"/>
                <w:b/>
                <w:bCs/>
                <w:color w:val="auto"/>
                <w:sz w:val="28"/>
                <w:szCs w:val="28"/>
                <w:highlight w:val="none"/>
              </w:rPr>
              <w:t>：VOC 含量、总重金属（铅、汞）</w:t>
            </w:r>
            <w:r>
              <w:rPr>
                <w:rFonts w:hint="eastAsia" w:asciiTheme="majorEastAsia" w:hAnsiTheme="majorEastAsia" w:eastAsiaTheme="majorEastAsia" w:cstheme="majorEastAsia"/>
                <w:color w:val="auto"/>
                <w:sz w:val="28"/>
                <w:szCs w:val="28"/>
                <w:highlight w:val="none"/>
              </w:rPr>
              <w:t>、</w:t>
            </w:r>
            <w:r>
              <w:rPr>
                <w:rFonts w:hint="eastAsia" w:asciiTheme="majorEastAsia" w:hAnsiTheme="majorEastAsia" w:eastAsiaTheme="majorEastAsia" w:cstheme="majorEastAsia"/>
                <w:b/>
                <w:bCs/>
                <w:color w:val="auto"/>
                <w:sz w:val="28"/>
                <w:szCs w:val="28"/>
                <w:highlight w:val="none"/>
              </w:rPr>
              <w:t>可溶性元素（铅、镉、铬、汞、锑、砷、钡、硒）</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乙二醇醚及醚酯总和HG/T3950-2007：金黄色葡萄球菌；抗细菌性能≥99.9%；GB/T36488-2018：多环芳烃未检出；GB/T23989-2009：耐溶剂擦拭性；GB/T30648.1-2014耐液体性≥100h；HG/T3655-2024在容器中状态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b/>
                <w:bCs/>
                <w:color w:val="auto"/>
                <w:sz w:val="28"/>
                <w:szCs w:val="28"/>
                <w:highlight w:val="none"/>
                <w:lang w:eastAsia="zh-CN"/>
              </w:rPr>
              <w:t>。</w:t>
            </w:r>
          </w:p>
          <w:p w14:paraId="024A8A9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6、五金配件：采用连接件、紧固件、螺丝等五金件进行连接，五金件连接紧密，无杂音，无松动。防锈处理，安全性、耐用性佳。</w:t>
            </w:r>
          </w:p>
        </w:tc>
      </w:tr>
      <w:tr w14:paraId="65236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196" w:hRule="atLeast"/>
          <w:jc w:val="center"/>
        </w:trPr>
        <w:tc>
          <w:tcPr>
            <w:tcW w:w="1134" w:type="dxa"/>
            <w:tcMar>
              <w:top w:w="57" w:type="dxa"/>
              <w:left w:w="57" w:type="dxa"/>
              <w:bottom w:w="57" w:type="dxa"/>
              <w:right w:w="57" w:type="dxa"/>
            </w:tcMar>
            <w:vAlign w:val="center"/>
          </w:tcPr>
          <w:p w14:paraId="705C3B6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rPr>
              <w:t>产品</w:t>
            </w:r>
            <w:r>
              <w:rPr>
                <w:rFonts w:hint="eastAsia" w:asciiTheme="majorEastAsia" w:hAnsiTheme="majorEastAsia" w:eastAsiaTheme="majorEastAsia" w:cstheme="majorEastAsia"/>
                <w:color w:val="auto"/>
                <w:sz w:val="28"/>
                <w:szCs w:val="28"/>
                <w:highlight w:val="none"/>
                <w:lang w:val="en-US" w:eastAsia="zh-CN"/>
              </w:rPr>
              <w:t>4</w:t>
            </w:r>
          </w:p>
        </w:tc>
        <w:tc>
          <w:tcPr>
            <w:tcW w:w="1100" w:type="dxa"/>
            <w:tcMar>
              <w:top w:w="57" w:type="dxa"/>
              <w:left w:w="57" w:type="dxa"/>
              <w:bottom w:w="57" w:type="dxa"/>
              <w:right w:w="57" w:type="dxa"/>
            </w:tcMar>
            <w:vAlign w:val="center"/>
          </w:tcPr>
          <w:p w14:paraId="1E8EA68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高背</w:t>
            </w:r>
            <w:r>
              <w:rPr>
                <w:rFonts w:hint="eastAsia" w:asciiTheme="majorEastAsia" w:hAnsiTheme="majorEastAsia" w:eastAsiaTheme="majorEastAsia" w:cstheme="majorEastAsia"/>
                <w:color w:val="auto"/>
                <w:sz w:val="28"/>
                <w:szCs w:val="28"/>
                <w:highlight w:val="none"/>
              </w:rPr>
              <w:t>椅子</w:t>
            </w:r>
          </w:p>
        </w:tc>
        <w:tc>
          <w:tcPr>
            <w:tcW w:w="7726" w:type="dxa"/>
            <w:tcMar>
              <w:top w:w="57" w:type="dxa"/>
              <w:left w:w="57" w:type="dxa"/>
              <w:bottom w:w="57" w:type="dxa"/>
              <w:right w:w="57" w:type="dxa"/>
            </w:tcMar>
            <w:vAlign w:val="top"/>
          </w:tcPr>
          <w:p w14:paraId="3160DADA">
            <w:pPr>
              <w:keepNext w:val="0"/>
              <w:keepLines w:val="0"/>
              <w:pageBreakBefore w:val="0"/>
              <w:widowControl w:val="0"/>
              <w:numPr>
                <w:ilvl w:val="0"/>
                <w:numId w:val="4"/>
              </w:numPr>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lang w:val="en-US" w:eastAsia="zh-CN"/>
              </w:rPr>
              <w:t>规格</w:t>
            </w:r>
            <w:r>
              <w:rPr>
                <w:rFonts w:hint="eastAsia" w:asciiTheme="majorEastAsia" w:hAnsiTheme="majorEastAsia" w:eastAsiaTheme="majorEastAsia" w:cstheme="majorEastAsia"/>
                <w:color w:val="auto"/>
                <w:sz w:val="28"/>
                <w:szCs w:val="28"/>
                <w:highlight w:val="none"/>
              </w:rPr>
              <w:t>：410*430*430/900</w:t>
            </w:r>
            <w:r>
              <w:rPr>
                <w:rFonts w:hint="eastAsia" w:asciiTheme="majorEastAsia" w:hAnsiTheme="majorEastAsia" w:eastAsiaTheme="majorEastAsia" w:cstheme="majorEastAsia"/>
                <w:color w:val="auto"/>
                <w:sz w:val="28"/>
                <w:szCs w:val="28"/>
                <w:highlight w:val="none"/>
                <w:lang w:val="en-US" w:eastAsia="zh-CN"/>
              </w:rPr>
              <w:t>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5mm</w:t>
            </w:r>
            <w:r>
              <w:rPr>
                <w:rFonts w:hint="eastAsia" w:asciiTheme="majorEastAsia" w:hAnsiTheme="majorEastAsia" w:eastAsiaTheme="majorEastAsia" w:cstheme="majorEastAsia"/>
                <w:color w:val="auto"/>
                <w:sz w:val="28"/>
                <w:szCs w:val="28"/>
                <w:highlight w:val="none"/>
                <w:lang w:eastAsia="zh-CN"/>
              </w:rPr>
              <w:t>）</w:t>
            </w:r>
          </w:p>
          <w:p w14:paraId="6190CE8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2、基材：采用优质白蜡木榫卯结构制作。</w:t>
            </w:r>
          </w:p>
          <w:p w14:paraId="55D1408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3、椅子整体材料均为实木白蜡木。坐板厚度20mm</w:t>
            </w:r>
            <w:r>
              <w:rPr>
                <w:rFonts w:hint="eastAsia" w:asciiTheme="majorEastAsia" w:hAnsiTheme="majorEastAsia" w:eastAsiaTheme="majorEastAsia" w:cstheme="majorEastAsia"/>
                <w:color w:val="auto"/>
                <w:sz w:val="28"/>
                <w:szCs w:val="28"/>
                <w:highlight w:val="none"/>
                <w:lang w:eastAsia="zh-CN"/>
              </w:rPr>
              <w:t>（正偏离≤</w:t>
            </w:r>
            <w:r>
              <w:rPr>
                <w:rFonts w:hint="eastAsia" w:asciiTheme="majorEastAsia" w:hAnsiTheme="majorEastAsia" w:eastAsiaTheme="majorEastAsia" w:cstheme="majorEastAsia"/>
                <w:color w:val="auto"/>
                <w:sz w:val="28"/>
                <w:szCs w:val="28"/>
                <w:highlight w:val="none"/>
                <w:lang w:val="en-US" w:eastAsia="zh-CN"/>
              </w:rPr>
              <w:t>3mm</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；四周倒圆角设计；椅腿必须为整木，不可有断接。坐板、靠背与人体接触面不可有金属配件外露。</w:t>
            </w:r>
          </w:p>
          <w:p w14:paraId="7439BDE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基材需经过防虫、防腐化、防蛀、耐酸碱、烘干等化学处理，强度高，不变形，比重合理，木材干燥度、握钉力、膨胀系数、甲醛释放量等各项指标均优于国家标准（木材甲醛释放量≤0.25mg/L，总挥发有机化合物≤100ug/m³）。</w:t>
            </w:r>
          </w:p>
          <w:p w14:paraId="26BC1C8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5、油漆：采用环保UV底漆及水性面漆涂饰，三底两面工艺，全部满刮透明腻子，表面纹理清晰无颗粒，无气泡，无渣点，颜色均匀。漆面色泽美观、木纹纹理清晰、耐磨、耐腐蚀、耐油、耐湿热。</w:t>
            </w:r>
          </w:p>
          <w:p w14:paraId="105F5CD3">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rPr>
              <w:t>油漆原料“uv油漆（底漆）”</w:t>
            </w:r>
            <w:r>
              <w:rPr>
                <w:rFonts w:hint="eastAsia" w:asciiTheme="majorEastAsia" w:hAnsiTheme="majorEastAsia" w:eastAsiaTheme="majorEastAsia" w:cstheme="majorEastAsia"/>
                <w:b/>
                <w:bCs/>
                <w:color w:val="auto"/>
                <w:sz w:val="28"/>
                <w:szCs w:val="28"/>
                <w:highlight w:val="none"/>
              </w:rPr>
              <w:t>符合</w:t>
            </w:r>
            <w:r>
              <w:rPr>
                <w:rFonts w:hint="eastAsia" w:asciiTheme="majorEastAsia" w:hAnsiTheme="majorEastAsia" w:eastAsiaTheme="majorEastAsia" w:cstheme="majorEastAsia"/>
                <w:b/>
                <w:bCs/>
                <w:color w:val="auto"/>
                <w:sz w:val="28"/>
                <w:szCs w:val="28"/>
                <w:highlight w:val="none"/>
                <w:lang w:eastAsia="zh-CN"/>
              </w:rPr>
              <w:t>GB 30981.2—2025</w:t>
            </w:r>
            <w:r>
              <w:rPr>
                <w:rFonts w:hint="eastAsia" w:asciiTheme="majorEastAsia" w:hAnsiTheme="majorEastAsia" w:eastAsiaTheme="majorEastAsia" w:cstheme="majorEastAsia"/>
                <w:b/>
                <w:bCs/>
                <w:color w:val="auto"/>
                <w:sz w:val="28"/>
                <w:szCs w:val="28"/>
                <w:highlight w:val="none"/>
              </w:rPr>
              <w:t>：VOC 含量、总重金属（铅、汞）</w:t>
            </w:r>
            <w:r>
              <w:rPr>
                <w:rFonts w:hint="eastAsia" w:asciiTheme="majorEastAsia" w:hAnsiTheme="majorEastAsia" w:eastAsiaTheme="majorEastAsia" w:cstheme="majorEastAsia"/>
                <w:color w:val="auto"/>
                <w:sz w:val="28"/>
                <w:szCs w:val="28"/>
                <w:highlight w:val="none"/>
              </w:rPr>
              <w:t>、</w:t>
            </w:r>
            <w:r>
              <w:rPr>
                <w:rFonts w:hint="eastAsia" w:asciiTheme="majorEastAsia" w:hAnsiTheme="majorEastAsia" w:eastAsiaTheme="majorEastAsia" w:cstheme="majorEastAsia"/>
                <w:b/>
                <w:bCs/>
                <w:color w:val="auto"/>
                <w:sz w:val="28"/>
                <w:szCs w:val="28"/>
                <w:highlight w:val="none"/>
              </w:rPr>
              <w:t>可溶性元素（铅、镉、铬、汞、锑、砷、钡、硒）</w:t>
            </w:r>
            <w:r>
              <w:rPr>
                <w:rFonts w:hint="eastAsia" w:asciiTheme="majorEastAsia" w:hAnsiTheme="majorEastAsia" w:eastAsiaTheme="majorEastAsia" w:cstheme="majorEastAsia"/>
                <w:b/>
                <w:bCs/>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color w:val="auto"/>
                <w:sz w:val="28"/>
                <w:szCs w:val="28"/>
                <w:highlight w:val="none"/>
                <w:lang w:eastAsia="zh-CN"/>
              </w:rPr>
              <w:t>。</w:t>
            </w:r>
          </w:p>
          <w:p w14:paraId="27E5487A">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rPr>
              <w:t>油漆原料“uv油漆（面漆）”</w:t>
            </w:r>
            <w:r>
              <w:rPr>
                <w:rFonts w:hint="eastAsia" w:asciiTheme="majorEastAsia" w:hAnsiTheme="majorEastAsia" w:eastAsiaTheme="majorEastAsia" w:cstheme="majorEastAsia"/>
                <w:b/>
                <w:bCs/>
                <w:color w:val="auto"/>
                <w:sz w:val="28"/>
                <w:szCs w:val="28"/>
                <w:highlight w:val="none"/>
              </w:rPr>
              <w:t>符合</w:t>
            </w:r>
            <w:r>
              <w:rPr>
                <w:rFonts w:hint="eastAsia" w:asciiTheme="majorEastAsia" w:hAnsiTheme="majorEastAsia" w:eastAsiaTheme="majorEastAsia" w:cstheme="majorEastAsia"/>
                <w:b/>
                <w:bCs/>
                <w:color w:val="auto"/>
                <w:sz w:val="28"/>
                <w:szCs w:val="28"/>
                <w:highlight w:val="none"/>
                <w:lang w:eastAsia="zh-CN"/>
              </w:rPr>
              <w:t>GB 30981.2—2025</w:t>
            </w:r>
            <w:r>
              <w:rPr>
                <w:rFonts w:hint="eastAsia" w:asciiTheme="majorEastAsia" w:hAnsiTheme="majorEastAsia" w:eastAsiaTheme="majorEastAsia" w:cstheme="majorEastAsia"/>
                <w:b/>
                <w:bCs/>
                <w:color w:val="auto"/>
                <w:sz w:val="28"/>
                <w:szCs w:val="28"/>
                <w:highlight w:val="none"/>
              </w:rPr>
              <w:t>：VOC 含量、总重金属（铅、汞）</w:t>
            </w:r>
            <w:r>
              <w:rPr>
                <w:rFonts w:hint="eastAsia" w:asciiTheme="majorEastAsia" w:hAnsiTheme="majorEastAsia" w:eastAsiaTheme="majorEastAsia" w:cstheme="majorEastAsia"/>
                <w:color w:val="auto"/>
                <w:sz w:val="28"/>
                <w:szCs w:val="28"/>
                <w:highlight w:val="none"/>
              </w:rPr>
              <w:t>、</w:t>
            </w:r>
            <w:r>
              <w:rPr>
                <w:rFonts w:hint="eastAsia" w:asciiTheme="majorEastAsia" w:hAnsiTheme="majorEastAsia" w:eastAsiaTheme="majorEastAsia" w:cstheme="majorEastAsia"/>
                <w:b/>
                <w:bCs/>
                <w:color w:val="auto"/>
                <w:sz w:val="28"/>
                <w:szCs w:val="28"/>
                <w:highlight w:val="none"/>
              </w:rPr>
              <w:t>可溶性元素（铅、镉、铬、汞、锑、砷、钡、硒）</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rPr>
              <w:t>乙二醇醚及醚酯总和HG/T3950-2007：金黄色葡萄球菌；抗细菌性能≥99.9%；GB/T36488-2018：多环芳烃未检出；GB/T23989-2009：耐溶剂擦拭性；GB/T30648.1-2014耐液体性≥100h；HG/T3655-2024在容器中状态</w:t>
            </w:r>
            <w:r>
              <w:rPr>
                <w:rFonts w:hint="eastAsia" w:asciiTheme="majorEastAsia" w:hAnsiTheme="majorEastAsia" w:eastAsiaTheme="majorEastAsia" w:cstheme="majorEastAsia"/>
                <w:color w:val="auto"/>
                <w:sz w:val="28"/>
                <w:szCs w:val="28"/>
                <w:highlight w:val="none"/>
                <w:lang w:eastAsia="zh-CN"/>
              </w:rPr>
              <w:t>。</w:t>
            </w:r>
          </w:p>
          <w:p w14:paraId="1C82A23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6、五金配件：采用连接件、紧固件、螺丝等五金件进行连接，五金件连接紧密，无杂音，无松动。防锈处理，安全性、耐用性佳。</w:t>
            </w:r>
          </w:p>
        </w:tc>
      </w:tr>
      <w:tr w14:paraId="78A6E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196" w:hRule="atLeast"/>
          <w:jc w:val="center"/>
        </w:trPr>
        <w:tc>
          <w:tcPr>
            <w:tcW w:w="1134" w:type="dxa"/>
            <w:tcMar>
              <w:top w:w="57" w:type="dxa"/>
              <w:left w:w="57" w:type="dxa"/>
              <w:bottom w:w="57" w:type="dxa"/>
              <w:right w:w="57" w:type="dxa"/>
            </w:tcMar>
            <w:vAlign w:val="center"/>
          </w:tcPr>
          <w:p w14:paraId="1DFDD27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产品5</w:t>
            </w:r>
          </w:p>
        </w:tc>
        <w:tc>
          <w:tcPr>
            <w:tcW w:w="1100" w:type="dxa"/>
            <w:tcMar>
              <w:top w:w="57" w:type="dxa"/>
              <w:left w:w="57" w:type="dxa"/>
              <w:bottom w:w="57" w:type="dxa"/>
              <w:right w:w="57" w:type="dxa"/>
            </w:tcMar>
            <w:vAlign w:val="center"/>
          </w:tcPr>
          <w:p w14:paraId="6EF9331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钢化玻璃</w:t>
            </w:r>
          </w:p>
        </w:tc>
        <w:tc>
          <w:tcPr>
            <w:tcW w:w="7726" w:type="dxa"/>
            <w:tcMar>
              <w:top w:w="57" w:type="dxa"/>
              <w:left w:w="57" w:type="dxa"/>
              <w:bottom w:w="57" w:type="dxa"/>
              <w:right w:w="57" w:type="dxa"/>
            </w:tcMar>
            <w:vAlign w:val="top"/>
          </w:tcPr>
          <w:p w14:paraId="608D69C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1.规格：φ1800mm*厚度8mm（直径负偏离≤2mm）</w:t>
            </w:r>
          </w:p>
          <w:p w14:paraId="57BBCBD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2.</w:t>
            </w:r>
            <w:r>
              <w:rPr>
                <w:rFonts w:hint="eastAsia" w:asciiTheme="majorEastAsia" w:hAnsiTheme="majorEastAsia" w:eastAsiaTheme="majorEastAsia" w:cstheme="majorEastAsia"/>
                <w:color w:val="auto"/>
                <w:sz w:val="28"/>
                <w:szCs w:val="28"/>
                <w:highlight w:val="none"/>
              </w:rPr>
              <w:t>符合GB/T15763.2-2025</w:t>
            </w:r>
            <w:r>
              <w:rPr>
                <w:rFonts w:hint="eastAsia" w:asciiTheme="majorEastAsia" w:hAnsiTheme="majorEastAsia" w:eastAsiaTheme="majorEastAsia" w:cstheme="majorEastAsia"/>
                <w:color w:val="auto"/>
                <w:sz w:val="28"/>
                <w:szCs w:val="28"/>
                <w:highlight w:val="none"/>
                <w:lang w:val="en-US" w:eastAsia="zh-CN"/>
              </w:rPr>
              <w:t>执行标准。</w:t>
            </w:r>
          </w:p>
          <w:p w14:paraId="6062057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3.抗物理冲击防爆耐磨，耐高温，防油耐污，高清透亮，防磕碰边缘鸭嘴边处理工艺，打磨光滑不伤手，玻璃表面有国家3C安全认证标识。</w:t>
            </w:r>
          </w:p>
          <w:p w14:paraId="2C4FDE9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val="en-US" w:eastAsia="zh-CN"/>
              </w:rPr>
              <w:t>4.</w:t>
            </w:r>
            <w:r>
              <w:rPr>
                <w:rFonts w:hint="eastAsia" w:asciiTheme="majorEastAsia" w:hAnsiTheme="majorEastAsia" w:eastAsiaTheme="majorEastAsia" w:cstheme="majorEastAsia"/>
                <w:color w:val="auto"/>
                <w:sz w:val="28"/>
                <w:szCs w:val="28"/>
                <w:highlight w:val="none"/>
              </w:rPr>
              <w:t>钢化玻璃的外观</w:t>
            </w:r>
            <w:r>
              <w:rPr>
                <w:rFonts w:hint="eastAsia" w:asciiTheme="majorEastAsia" w:hAnsiTheme="majorEastAsia" w:eastAsiaTheme="majorEastAsia" w:cstheme="majorEastAsia"/>
                <w:color w:val="auto"/>
                <w:sz w:val="28"/>
                <w:szCs w:val="28"/>
                <w:highlight w:val="none"/>
                <w:lang w:val="en-US" w:eastAsia="zh-CN"/>
              </w:rPr>
              <w:t>无</w:t>
            </w:r>
            <w:r>
              <w:rPr>
                <w:rFonts w:hint="eastAsia" w:asciiTheme="majorEastAsia" w:hAnsiTheme="majorEastAsia" w:eastAsiaTheme="majorEastAsia" w:cstheme="majorEastAsia"/>
                <w:color w:val="auto"/>
                <w:sz w:val="28"/>
                <w:szCs w:val="28"/>
                <w:highlight w:val="none"/>
              </w:rPr>
              <w:t>气泡、杂质、线道、点状缺陷、划伤及裂纹等</w:t>
            </w:r>
            <w:r>
              <w:rPr>
                <w:rFonts w:hint="eastAsia" w:asciiTheme="majorEastAsia" w:hAnsiTheme="majorEastAsia" w:eastAsiaTheme="majorEastAsia" w:cstheme="majorEastAsia"/>
                <w:color w:val="auto"/>
                <w:sz w:val="28"/>
                <w:szCs w:val="28"/>
                <w:highlight w:val="none"/>
                <w:lang w:eastAsia="zh-CN"/>
              </w:rPr>
              <w:t>。</w:t>
            </w:r>
          </w:p>
          <w:p w14:paraId="18B6280A">
            <w:pPr>
              <w:keepNext w:val="0"/>
              <w:keepLines w:val="0"/>
              <w:pageBreakBefore w:val="0"/>
              <w:widowControl w:val="0"/>
              <w:kinsoku/>
              <w:wordWrap/>
              <w:overflowPunct/>
              <w:topLinePunct w:val="0"/>
              <w:autoSpaceDE/>
              <w:autoSpaceDN/>
              <w:bidi w:val="0"/>
              <w:adjustRightInd/>
              <w:snapToGrid/>
              <w:spacing w:line="320" w:lineRule="exact"/>
              <w:ind w:firstLine="420"/>
              <w:textAlignment w:val="auto"/>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b/>
                <w:bCs/>
                <w:color w:val="auto"/>
                <w:sz w:val="28"/>
                <w:szCs w:val="28"/>
                <w:highlight w:val="none"/>
              </w:rPr>
              <w:t>（</w:t>
            </w:r>
            <w:r>
              <w:rPr>
                <w:rFonts w:hint="eastAsia" w:asciiTheme="majorEastAsia" w:hAnsiTheme="majorEastAsia" w:eastAsiaTheme="majorEastAsia" w:cstheme="majorEastAsia"/>
                <w:b/>
                <w:bCs/>
                <w:color w:val="auto"/>
                <w:sz w:val="28"/>
                <w:szCs w:val="28"/>
                <w:highlight w:val="none"/>
                <w:lang w:eastAsia="zh-CN"/>
              </w:rPr>
              <w:t>投标人须提供2022年1月1日以来具有权威机构认证出具的检测报告。）</w:t>
            </w:r>
          </w:p>
        </w:tc>
      </w:tr>
    </w:tbl>
    <w:p w14:paraId="647F85A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注：</w:t>
      </w:r>
    </w:p>
    <w:p w14:paraId="22C5696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Theme="majorEastAsia" w:hAnsiTheme="majorEastAsia" w:eastAsiaTheme="majorEastAsia" w:cstheme="majorEastAsia"/>
          <w:b/>
          <w:bCs/>
          <w:color w:val="auto"/>
          <w:sz w:val="28"/>
          <w:szCs w:val="28"/>
          <w:highlight w:val="none"/>
          <w:lang w:val="en-US" w:eastAsia="zh-CN"/>
        </w:rPr>
      </w:pPr>
      <w:r>
        <w:rPr>
          <w:rFonts w:hint="eastAsia" w:asciiTheme="majorEastAsia" w:hAnsiTheme="majorEastAsia" w:eastAsiaTheme="majorEastAsia" w:cstheme="majorEastAsia"/>
          <w:b/>
          <w:bCs/>
          <w:color w:val="auto"/>
          <w:kern w:val="2"/>
          <w:sz w:val="28"/>
          <w:szCs w:val="28"/>
          <w:highlight w:val="none"/>
          <w:lang w:val="en-US" w:eastAsia="zh-CN" w:bidi="ar-SA"/>
        </w:rPr>
        <w:t>1.以上涉及到“</w:t>
      </w:r>
      <w:r>
        <w:rPr>
          <w:rFonts w:hint="eastAsia" w:asciiTheme="majorEastAsia" w:hAnsiTheme="majorEastAsia" w:eastAsiaTheme="majorEastAsia" w:cstheme="majorEastAsia"/>
          <w:b/>
          <w:bCs/>
          <w:color w:val="auto"/>
          <w:sz w:val="28"/>
          <w:szCs w:val="28"/>
          <w:highlight w:val="none"/>
          <w:lang w:val="en-US" w:eastAsia="zh-CN"/>
        </w:rPr>
        <w:t>权威机构</w:t>
      </w:r>
      <w:r>
        <w:rPr>
          <w:rFonts w:hint="eastAsia" w:asciiTheme="majorEastAsia" w:hAnsiTheme="majorEastAsia" w:eastAsiaTheme="majorEastAsia" w:cstheme="majorEastAsia"/>
          <w:b/>
          <w:bCs/>
          <w:color w:val="auto"/>
          <w:sz w:val="28"/>
          <w:szCs w:val="28"/>
          <w:highlight w:val="none"/>
        </w:rPr>
        <w:t>认证出具的检测报告</w:t>
      </w:r>
      <w:r>
        <w:rPr>
          <w:rFonts w:hint="eastAsia" w:asciiTheme="majorEastAsia" w:hAnsiTheme="majorEastAsia" w:eastAsiaTheme="majorEastAsia" w:cstheme="majorEastAsia"/>
          <w:b/>
          <w:bCs/>
          <w:color w:val="auto"/>
          <w:sz w:val="28"/>
          <w:szCs w:val="28"/>
          <w:highlight w:val="none"/>
          <w:lang w:eastAsia="zh-CN"/>
        </w:rPr>
        <w:t>”</w:t>
      </w:r>
      <w:r>
        <w:rPr>
          <w:rFonts w:hint="eastAsia" w:asciiTheme="majorEastAsia" w:hAnsiTheme="majorEastAsia" w:eastAsiaTheme="majorEastAsia" w:cstheme="majorEastAsia"/>
          <w:b/>
          <w:bCs/>
          <w:color w:val="auto"/>
          <w:sz w:val="28"/>
          <w:szCs w:val="28"/>
          <w:highlight w:val="none"/>
          <w:lang w:val="en-US" w:eastAsia="zh-CN"/>
        </w:rPr>
        <w:t>是指具有CMA或CNAS认证的检测机构出具的检测报告。</w:t>
      </w:r>
    </w:p>
    <w:p w14:paraId="6CBD0BE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kern w:val="2"/>
          <w:sz w:val="28"/>
          <w:szCs w:val="28"/>
          <w:highlight w:val="none"/>
          <w:lang w:val="en-US" w:eastAsia="zh-CN" w:bidi="ar-SA"/>
        </w:rPr>
        <w:t>2.</w:t>
      </w:r>
      <w:r>
        <w:rPr>
          <w:rFonts w:hint="eastAsia" w:ascii="宋体" w:hAnsi="宋体" w:eastAsia="宋体" w:cs="宋体"/>
          <w:b/>
          <w:color w:val="auto"/>
          <w:sz w:val="28"/>
          <w:szCs w:val="28"/>
          <w:highlight w:val="none"/>
        </w:rPr>
        <w:t>中标供应商与采购人签订合同后一周内提供</w:t>
      </w:r>
      <w:r>
        <w:rPr>
          <w:rFonts w:hint="eastAsia" w:ascii="宋体" w:hAnsi="宋体" w:eastAsia="宋体" w:cs="宋体"/>
          <w:b/>
          <w:color w:val="auto"/>
          <w:sz w:val="28"/>
          <w:szCs w:val="28"/>
          <w:highlight w:val="none"/>
          <w:lang w:eastAsia="zh-CN"/>
        </w:rPr>
        <w:t>符合采购人实质性需求的样品或</w:t>
      </w:r>
      <w:r>
        <w:rPr>
          <w:rFonts w:hint="eastAsia" w:ascii="宋体" w:hAnsi="宋体" w:eastAsia="宋体" w:cs="宋体"/>
          <w:b/>
          <w:color w:val="auto"/>
          <w:sz w:val="28"/>
          <w:szCs w:val="28"/>
          <w:highlight w:val="none"/>
        </w:rPr>
        <w:t>经过优化设计的样品（同时提供优化说明），待采购人确认。</w:t>
      </w:r>
    </w:p>
    <w:p w14:paraId="5DFE738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cs="宋体"/>
          <w:b/>
          <w:color w:val="auto"/>
          <w:sz w:val="28"/>
          <w:szCs w:val="28"/>
          <w:highlight w:val="none"/>
          <w:lang w:val="en-US" w:eastAsia="zh-CN"/>
        </w:rPr>
        <w:t>3</w:t>
      </w:r>
      <w:r>
        <w:rPr>
          <w:rFonts w:hint="eastAsia" w:ascii="宋体" w:hAnsi="宋体" w:eastAsia="宋体" w:cs="宋体"/>
          <w:b/>
          <w:color w:val="auto"/>
          <w:sz w:val="28"/>
          <w:szCs w:val="28"/>
          <w:highlight w:val="none"/>
          <w:lang w:val="en-US" w:eastAsia="zh-CN"/>
        </w:rPr>
        <w:t>.投标人所投</w:t>
      </w:r>
      <w:r>
        <w:rPr>
          <w:rFonts w:hint="eastAsia" w:ascii="宋体" w:hAnsi="宋体" w:eastAsia="宋体" w:cs="宋体"/>
          <w:b/>
          <w:color w:val="auto"/>
          <w:sz w:val="28"/>
          <w:szCs w:val="28"/>
          <w:highlight w:val="none"/>
        </w:rPr>
        <w:t>产品的技术标准按国家标准执行，但在采购文件中有特别要求的，须按采购文件中规定的要求执行。</w:t>
      </w:r>
    </w:p>
    <w:p w14:paraId="28DC2F2F">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三、商务要求</w:t>
      </w:r>
    </w:p>
    <w:p w14:paraId="22154C7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商务要求是指取得采购标的的时间、地点、财务和服务要求，包括交付（实施）的时间（期限）和地点（范围），付款条件（进度和方法），包装和运输，售后服务，保险等。</w:t>
      </w:r>
    </w:p>
    <w:p w14:paraId="1C23F381">
      <w:pPr>
        <w:keepNext w:val="0"/>
        <w:keepLines w:val="0"/>
        <w:pageBreakBefore w:val="0"/>
        <w:widowControl w:val="0"/>
        <w:tabs>
          <w:tab w:val="left" w:pos="0"/>
        </w:tabs>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（一）采购标的数量、采购项目交付或者实施的时间和地点</w:t>
      </w:r>
    </w:p>
    <w:p w14:paraId="10DF9CDC">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1.采购标的清单及数量：详细内容见第</w:t>
      </w:r>
      <w:r>
        <w:rPr>
          <w:rFonts w:hint="eastAsia" w:ascii="宋体" w:hAnsi="宋体" w:cs="宋体"/>
          <w:bCs/>
          <w:color w:val="auto"/>
          <w:sz w:val="28"/>
          <w:szCs w:val="28"/>
          <w:highlight w:val="none"/>
          <w:lang w:val="en-US" w:eastAsia="zh-CN"/>
        </w:rPr>
        <w:t>三部分项目</w:t>
      </w:r>
      <w:r>
        <w:rPr>
          <w:rFonts w:hint="eastAsia" w:ascii="宋体" w:hAnsi="宋体" w:eastAsia="宋体" w:cs="宋体"/>
          <w:bCs/>
          <w:color w:val="auto"/>
          <w:sz w:val="28"/>
          <w:szCs w:val="28"/>
          <w:highlight w:val="none"/>
        </w:rPr>
        <w:t>需求</w:t>
      </w:r>
    </w:p>
    <w:p w14:paraId="7B5E5132">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2.交货期（服务时间）</w:t>
      </w:r>
    </w:p>
    <w:p w14:paraId="11B0068F">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投标人须在签订合同前，与采购人明确生产和安装节点进度。</w:t>
      </w:r>
    </w:p>
    <w:p w14:paraId="49879AEF">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具体要求如下：</w:t>
      </w:r>
    </w:p>
    <w:p w14:paraId="6ECDE8E8">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（1）合同签订后</w:t>
      </w:r>
      <w:r>
        <w:rPr>
          <w:rFonts w:hint="eastAsia" w:ascii="宋体" w:hAnsi="宋体" w:cs="宋体"/>
          <w:color w:val="auto"/>
          <w:sz w:val="28"/>
          <w:szCs w:val="28"/>
          <w:highlight w:val="none"/>
          <w:u w:val="single"/>
          <w:lang w:val="en-US" w:eastAsia="zh-CN"/>
        </w:rPr>
        <w:t>40日历天</w:t>
      </w:r>
      <w:r>
        <w:rPr>
          <w:rFonts w:hint="eastAsia" w:ascii="宋体" w:hAnsi="宋体" w:eastAsia="宋体" w:cs="宋体"/>
          <w:color w:val="auto"/>
          <w:sz w:val="28"/>
          <w:szCs w:val="28"/>
          <w:highlight w:val="none"/>
        </w:rPr>
        <w:t>内完成供货并安装至指定位置</w:t>
      </w:r>
    </w:p>
    <w:p w14:paraId="250E4DBF">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eastAsia="zh-CN"/>
        </w:rPr>
        <w:t>2</w:t>
      </w:r>
      <w:r>
        <w:rPr>
          <w:rFonts w:hint="eastAsia" w:ascii="宋体" w:hAnsi="宋体" w:eastAsia="宋体" w:cs="宋体"/>
          <w:bCs/>
          <w:color w:val="auto"/>
          <w:sz w:val="28"/>
          <w:szCs w:val="28"/>
          <w:highlight w:val="none"/>
        </w:rPr>
        <w:t>）以上日期只可提前，不可延后。如有延后，将适用相关违约责任条款。</w:t>
      </w:r>
    </w:p>
    <w:p w14:paraId="1BE7FC81">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3.交货（服务）地点：南通职业大学钟秀校区指定地点。</w:t>
      </w:r>
    </w:p>
    <w:p w14:paraId="42E86862">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kern w:val="2"/>
          <w:sz w:val="28"/>
          <w:szCs w:val="28"/>
          <w:highlight w:val="none"/>
          <w:lang w:val="en-US" w:eastAsia="zh-CN" w:bidi="ar-SA"/>
        </w:rPr>
        <w:t>（二）</w:t>
      </w:r>
      <w:r>
        <w:rPr>
          <w:rFonts w:hint="eastAsia" w:ascii="宋体" w:hAnsi="宋体" w:eastAsia="宋体" w:cs="宋体"/>
          <w:b/>
          <w:bCs/>
          <w:color w:val="auto"/>
          <w:sz w:val="28"/>
          <w:szCs w:val="28"/>
          <w:highlight w:val="none"/>
        </w:rPr>
        <w:t>采购标的需满足的服务标准、期限、效率等要求</w:t>
      </w:r>
    </w:p>
    <w:p w14:paraId="7F52419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按照采购文件要求，在规定时间内签订合同、供货并安装到位，确保可正常使用。</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在项目生产安装调试中必须严格遵守相关的法规、规范和现场施工单位的规定，督促现场施工人员规范操作，采取严格有力的安全防护措施，做好安全防护工作，确保施工安装的人身安全，相关专业技术岗位必须持证上岗。</w:t>
      </w:r>
    </w:p>
    <w:p w14:paraId="3E778FF2">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在严格遵守参数规格的基础上，可对产品进行优化设计。低于参数要求的，适用相关违约责任条款（违约责任条款的具体规定详见采购文件）。</w:t>
      </w:r>
    </w:p>
    <w:p w14:paraId="1393B69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须制定详细的项目实施方案。方案中至少应包含资金安排、生产设备情况、原材料准备和用料明细、生产技术工艺、</w:t>
      </w:r>
      <w:r>
        <w:rPr>
          <w:rFonts w:hint="eastAsia" w:ascii="宋体" w:hAnsi="宋体" w:eastAsia="宋体" w:cs="宋体"/>
          <w:color w:val="auto"/>
          <w:sz w:val="28"/>
          <w:szCs w:val="28"/>
          <w:highlight w:val="none"/>
          <w:lang w:eastAsia="zh-CN"/>
        </w:rPr>
        <w:t>产品优化、</w:t>
      </w:r>
      <w:r>
        <w:rPr>
          <w:rFonts w:hint="eastAsia" w:ascii="宋体" w:hAnsi="宋体" w:eastAsia="宋体" w:cs="宋体"/>
          <w:color w:val="auto"/>
          <w:sz w:val="28"/>
          <w:szCs w:val="28"/>
          <w:highlight w:val="none"/>
        </w:rPr>
        <w:t>生产过程控制、生产进度安排、供货安装承诺、验货方案、应急预案等。</w:t>
      </w:r>
    </w:p>
    <w:p w14:paraId="22A0372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制定详细的售后服务保障方案。方案中至少应包含售后服务承诺及保修细则、服务质量保证标准、售后服务人员和工具配备、现场服务措施、故障解决能力、应急服务响应方案、优惠条件承诺及服务体系说明。在验收交付使用后</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须定期派人员跟踪服务，及时处理使用过程中出现的问题。免费质保期限（自交货并验收合格之日起计）为5年，在免费质保期内，每年派人免费维保产品至少一次。免费质保期内主要配件和部件发生非人为原因引起的损坏，供应商应及时提供免费更换或修理。</w:t>
      </w:r>
    </w:p>
    <w:p w14:paraId="409679E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4.为保证采购人权益，</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须接受采购人的生产过程监控监督。</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须完全响应采购人的合理要求，无法提供相关材料或有不符合相关要求的，将适用相关违约责任条款。过程监控监督方法和内容包括但不限于：</w:t>
      </w:r>
    </w:p>
    <w:p w14:paraId="3C11B9A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（1）现场查看原材料进货合同和发票（</w:t>
      </w:r>
      <w:r>
        <w:rPr>
          <w:rFonts w:hint="eastAsia" w:ascii="宋体" w:hAnsi="宋体" w:cs="宋体"/>
          <w:bCs/>
          <w:color w:val="auto"/>
          <w:sz w:val="28"/>
          <w:szCs w:val="28"/>
          <w:highlight w:val="none"/>
          <w:lang w:eastAsia="zh-CN"/>
        </w:rPr>
        <w:t>中标人</w:t>
      </w:r>
      <w:r>
        <w:rPr>
          <w:rFonts w:hint="eastAsia" w:ascii="宋体" w:hAnsi="宋体" w:eastAsia="宋体" w:cs="宋体"/>
          <w:color w:val="auto"/>
          <w:sz w:val="28"/>
          <w:szCs w:val="28"/>
          <w:highlight w:val="none"/>
        </w:rPr>
        <w:t>须提供原材料相应证明材料，材料包括但不限于原材料采购证明，生产单、下料单等）；</w:t>
      </w:r>
    </w:p>
    <w:p w14:paraId="5E6D7E4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（2）现场查看产品加工工艺及质量是否符合采购文件要求；</w:t>
      </w:r>
    </w:p>
    <w:p w14:paraId="3E63057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（3）抽检产品原材料或成品，</w:t>
      </w:r>
      <w:r>
        <w:rPr>
          <w:rFonts w:hint="eastAsia" w:ascii="宋体" w:hAnsi="宋体" w:cs="宋体"/>
          <w:bCs/>
          <w:color w:val="auto"/>
          <w:sz w:val="28"/>
          <w:szCs w:val="28"/>
          <w:highlight w:val="none"/>
          <w:lang w:eastAsia="zh-CN"/>
        </w:rPr>
        <w:t>中标人</w:t>
      </w:r>
      <w:r>
        <w:rPr>
          <w:rFonts w:hint="eastAsia" w:ascii="宋体" w:hAnsi="宋体" w:eastAsia="宋体" w:cs="宋体"/>
          <w:color w:val="auto"/>
          <w:sz w:val="28"/>
          <w:szCs w:val="28"/>
          <w:highlight w:val="none"/>
        </w:rPr>
        <w:t>须根据要求提供相应检验检测报告作为依据（具体要求参见采购标的验收标准）；</w:t>
      </w:r>
    </w:p>
    <w:p w14:paraId="7817E20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（4）确认生产进度安排，督促完成生产、供货和安装计划（</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须提供的证明材料包括但不限于投标响应文件中的生产进度表，原材料、人员、设备调度保障情况等）；</w:t>
      </w:r>
    </w:p>
    <w:p w14:paraId="34934A2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在发货前须通知采购人进行预验收。预验收由采购人组织不少于3名专业技术人员进行，预验收标准参考采购标的验收标准的部分条款。</w:t>
      </w:r>
    </w:p>
    <w:p w14:paraId="1857ECE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须在</w:t>
      </w:r>
      <w:r>
        <w:rPr>
          <w:rFonts w:hint="eastAsia" w:ascii="宋体" w:hAnsi="宋体" w:eastAsia="宋体" w:cs="宋体"/>
          <w:color w:val="auto"/>
          <w:sz w:val="28"/>
          <w:szCs w:val="28"/>
          <w:highlight w:val="none"/>
          <w:lang w:val="en-US" w:eastAsia="zh-CN"/>
        </w:rPr>
        <w:t>规定时间内</w:t>
      </w:r>
      <w:r>
        <w:rPr>
          <w:rFonts w:hint="eastAsia" w:ascii="宋体" w:hAnsi="宋体" w:eastAsia="宋体" w:cs="宋体"/>
          <w:color w:val="auto"/>
          <w:sz w:val="28"/>
          <w:szCs w:val="28"/>
          <w:highlight w:val="none"/>
        </w:rPr>
        <w:t>供货并安装到位，提供该产品符合标的验收标准的原材料和成品抽样检验检测报告（含封底及封面）。</w:t>
      </w:r>
    </w:p>
    <w:p w14:paraId="212819D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6.报价要求：按招标文件附件格式（投标分项报价表）要求，对所有产品分别报价。报价包括不限于满足本项目采购需求中生产制作、包装运输、安装调试等费用，以及税费等完成本项目可能发生的所有费用。</w:t>
      </w:r>
    </w:p>
    <w:p w14:paraId="176D0074">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（三）采购标的的验收标准；</w:t>
      </w:r>
    </w:p>
    <w:p w14:paraId="323D844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bCs/>
          <w:color w:val="auto"/>
          <w:sz w:val="28"/>
          <w:szCs w:val="28"/>
          <w:highlight w:val="none"/>
          <w:lang w:val="en-US" w:eastAsia="zh-CN"/>
        </w:rPr>
        <w:t>中标人</w:t>
      </w:r>
      <w:r>
        <w:rPr>
          <w:rFonts w:hint="eastAsia" w:ascii="宋体" w:hAnsi="宋体" w:eastAsia="宋体" w:cs="宋体"/>
          <w:bCs/>
          <w:color w:val="auto"/>
          <w:sz w:val="28"/>
          <w:szCs w:val="28"/>
          <w:highlight w:val="none"/>
        </w:rPr>
        <w:t>完成供货后，</w:t>
      </w:r>
      <w:r>
        <w:rPr>
          <w:rFonts w:hint="eastAsia" w:ascii="宋体" w:hAnsi="宋体" w:eastAsia="宋体" w:cs="宋体"/>
          <w:color w:val="auto"/>
          <w:sz w:val="28"/>
          <w:szCs w:val="28"/>
          <w:highlight w:val="none"/>
        </w:rPr>
        <w:t>采购人按认可的样品进行验收。</w:t>
      </w:r>
    </w:p>
    <w:p w14:paraId="08B70CC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所投产品应按国家相关标准或行业标准进行设计和制造。须提供证明所提供货物与采购文件的要求相一致的文件（可以但不限于手册、图纸、图文资料和数据等）。</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为生产相应批次产品所使用的原材料及产品须符合国家环保要求。</w:t>
      </w:r>
    </w:p>
    <w:p w14:paraId="4F5E96E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须完整提供该项目产品的物料清单（至少包括木材、油漆、金属配件）、材料产地证明、供货合同、发票及技术说明文件等原始材料复印件并加盖公章，否则适用相关违约责任条款。</w:t>
      </w:r>
    </w:p>
    <w:p w14:paraId="7D1BD19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还须提供拥有（自有或者租赁均可）的大型生产设备清单及证明文件。</w:t>
      </w:r>
    </w:p>
    <w:p w14:paraId="7840A55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cs="宋体"/>
          <w:bCs/>
          <w:color w:val="auto"/>
          <w:sz w:val="28"/>
          <w:szCs w:val="28"/>
          <w:highlight w:val="none"/>
          <w:lang w:val="en-US" w:eastAsia="zh-CN"/>
        </w:rPr>
        <w:t>中标人</w:t>
      </w:r>
      <w:r>
        <w:rPr>
          <w:rFonts w:hint="eastAsia" w:ascii="宋体" w:hAnsi="宋体" w:eastAsia="宋体" w:cs="宋体"/>
          <w:bCs/>
          <w:color w:val="auto"/>
          <w:sz w:val="28"/>
          <w:szCs w:val="28"/>
          <w:highlight w:val="none"/>
        </w:rPr>
        <w:t>在所投产品</w:t>
      </w:r>
      <w:r>
        <w:rPr>
          <w:rFonts w:hint="eastAsia" w:ascii="宋体" w:hAnsi="宋体" w:eastAsia="宋体" w:cs="宋体"/>
          <w:color w:val="auto"/>
          <w:sz w:val="28"/>
          <w:szCs w:val="28"/>
          <w:highlight w:val="none"/>
        </w:rPr>
        <w:t>安装完毕后，须委托具有相关资质的权威检测机构进行一次室内环境空气质量检验检测，确保产品环保质量达到国家有关标准。室内环境空气质量检验检测项目中应至少含“甲醛”“苯类”“TVOC”等。所产生的的费用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承担。</w:t>
      </w:r>
    </w:p>
    <w:p w14:paraId="13F4C0D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5.在接到</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以书面形式提出的验收申请后，采购人在15个工作日内组织相关专业技术人员进行验收，必要时可以邀请质检等权威部门参与验收。验收以市级及以上质检部门出具的符合采购要求的抽样检验检测报告（含封底及封面）作为依据。</w:t>
      </w:r>
    </w:p>
    <w:p w14:paraId="684DA4C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6.采购人在验收时，至少随机抽取1件成品，根据采购文件要求对抽检产品由市级及以上质检部门进行检验检测。若检测合格，即视为通过验收的抽样检测环节。</w:t>
      </w:r>
    </w:p>
    <w:p w14:paraId="492A04C2">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（1）若抽检的某个成品检测不合格，</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须在约定的供货周期内调拨合格产品，对该产品进行更换，且费用由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负责，同时启用相关违约责任条款。</w:t>
      </w:r>
    </w:p>
    <w:p w14:paraId="6CF73A4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更换合格产品后10个工作日内，采购人再次随机对不合格产品扩大抽取范围与数量（含更换后产品），随机抽取不少于2件进行破坏性送检。如检测仍不符合要求，</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需继续更换，继续启用相关违约责任条款。</w:t>
      </w:r>
    </w:p>
    <w:p w14:paraId="38D466D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（3）进行破坏性检验检测的产品，</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必须负责免费补齐，并送至采购人指定地点。</w:t>
      </w:r>
    </w:p>
    <w:p w14:paraId="2A8BABF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（4）不论检测是否合格，验收过程中产生的相关费用和抽检样品均由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承担。</w:t>
      </w:r>
    </w:p>
    <w:p w14:paraId="69C2A7C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7.关于抽样检验检测报告的要求。</w:t>
      </w:r>
    </w:p>
    <w:p w14:paraId="472F1BE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须提供抽样检验检测报告的场景：</w:t>
      </w:r>
    </w:p>
    <w:p w14:paraId="5F119DB5">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7.1.1原材料抽检报告。采购人在进行过程监控监督时，可以要求</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提供；</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在完成供货并安装到位后，15天内必须提供该产品符合标的验收标准的原材料和成品抽样检验检测报告</w:t>
      </w:r>
      <w:r>
        <w:rPr>
          <w:rFonts w:hint="eastAsia" w:ascii="宋体" w:hAnsi="宋体" w:eastAsia="宋体" w:cs="宋体"/>
          <w:color w:val="auto"/>
          <w:sz w:val="28"/>
          <w:szCs w:val="28"/>
          <w:highlight w:val="none"/>
          <w:lang w:eastAsia="zh-CN"/>
        </w:rPr>
        <w:t>。</w:t>
      </w:r>
    </w:p>
    <w:p w14:paraId="5210960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7.1.2成品抽检报告。采购人在进行过程监控监督时，可以要求</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提供；</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在完成供货并安装到位后，15天内必须提供产品符合标的验收标准的成品抽样检验检测报告；采购人进行验收抽检时，由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协助提供相关产品符合标的验收标准的成品抽样检验检测报告，报告须实施检测的质检部门出具。</w:t>
      </w:r>
    </w:p>
    <w:p w14:paraId="6FF9823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以上送检的原材料须与所使用在产品上的一致。</w:t>
      </w:r>
    </w:p>
    <w:p w14:paraId="4457FC6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7.3</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所投产品成品的抽样检验检测报告（检验检测结果须符合采购文件有关要求）。</w:t>
      </w:r>
    </w:p>
    <w:p w14:paraId="1846D38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品抽样检验检测报告的各项指标须至少包含但不限于：主要尺寸及偏差，形状和位置公差，木材含水率，外观要求，表面理化性能要求，金属配件耐腐蚀性要求，力学性能要求，安全性能要求，有害物质含量等。</w:t>
      </w:r>
    </w:p>
    <w:p w14:paraId="1AD81B3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7.4抽样检验检测报告须为产品的原材料及成品（抽检样品必须由采购人现场确认）的检验检测报告；报告须由市级及以上质检部门出具（报告具有CMA认证标识并加盖检验检测专用章）；报告上须体现“抽样”字样；委托检测单位须与</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或制造商名称一致。报告不满足以上要求或报告内容不全的，项目不得验收。因检验检测所产生的费用由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承担。</w:t>
      </w:r>
    </w:p>
    <w:p w14:paraId="336D266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7.5检验检测报告结果须符合相关国家标准（按就高原则选用相关标准）的要求。</w:t>
      </w:r>
    </w:p>
    <w:p w14:paraId="0F2D122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8.验收合格，采购人出具验收报告，作为支付货款的依据。验收不合格，适用相关违约责任条款。</w:t>
      </w:r>
    </w:p>
    <w:p w14:paraId="55756D2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9.采购方对</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进行过程监控监督，如需对原材料或成品进行抽检时，适用以上验收标准，所产生的费用由</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承担。</w:t>
      </w:r>
    </w:p>
    <w:p w14:paraId="53211B03">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（四）采购标的的其他技术、服务等要求；</w:t>
      </w:r>
    </w:p>
    <w:p w14:paraId="1C65648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应安排具有相应专业技能和经验的技术工人进行现场安装调试等所有事项，并做好相关安全、文明施工措施，承担整个供货安装及质保和售后服务期间的所有安全责任。</w:t>
      </w:r>
    </w:p>
    <w:p w14:paraId="58E5C77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须自交货并验收合格之日起，提供不少于5年的免费质量保证期。</w:t>
      </w:r>
    </w:p>
    <w:p w14:paraId="02D58F0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（1）对达不到质量要求的，</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须包退、包换，所发生的费用及损失全部由</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自行承担。</w:t>
      </w:r>
    </w:p>
    <w:p w14:paraId="555E19F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（2）质保期内，</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须配备充足的主辅料，对非人为原因造成的质量问题，进行无偿质量维修和预防性维护。</w:t>
      </w:r>
    </w:p>
    <w:p w14:paraId="348488F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（3）质保期内，</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接到采购方产品出现问题的通知后，除不可抗力和采购方责任外，须提供售后服务2小时内响应，12小时内到达现场进行处理，24小时不能解决问题（完成维修维保）的，必须提供相应产品给予替代使用，否则采购人将自行采取必要的措施，由此产生的风险和费用由</w:t>
      </w:r>
      <w:r>
        <w:rPr>
          <w:rFonts w:hint="eastAsia" w:ascii="宋体" w:hAnsi="宋体" w:eastAsia="宋体" w:cs="宋体"/>
          <w:bCs/>
          <w:color w:val="auto"/>
          <w:sz w:val="28"/>
          <w:szCs w:val="28"/>
          <w:highlight w:val="none"/>
        </w:rPr>
        <w:t>投标人</w:t>
      </w:r>
      <w:r>
        <w:rPr>
          <w:rFonts w:hint="eastAsia" w:ascii="宋体" w:hAnsi="宋体" w:eastAsia="宋体" w:cs="宋体"/>
          <w:color w:val="auto"/>
          <w:sz w:val="28"/>
          <w:szCs w:val="28"/>
          <w:highlight w:val="none"/>
        </w:rPr>
        <w:t>承担。</w:t>
      </w:r>
    </w:p>
    <w:p w14:paraId="730464A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（4）质保期外，</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接到采购方关于产品问题的通知后，24小时内到达现场进行处理，维修费用按照成本费收取。</w:t>
      </w:r>
    </w:p>
    <w:p w14:paraId="38FB677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（5）重大问题或其他无法迅速解决的问题，应在一周内解决或提出明确解决方案，否则</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应赔偿</w:t>
      </w:r>
      <w:r>
        <w:rPr>
          <w:rFonts w:hint="eastAsia" w:ascii="宋体" w:hAnsi="宋体" w:cs="宋体"/>
          <w:color w:val="auto"/>
          <w:sz w:val="28"/>
          <w:szCs w:val="28"/>
          <w:highlight w:val="none"/>
          <w:lang w:val="en-US" w:eastAsia="zh-CN"/>
        </w:rPr>
        <w:t>采购人</w:t>
      </w:r>
      <w:r>
        <w:rPr>
          <w:rFonts w:hint="eastAsia" w:ascii="宋体" w:hAnsi="宋体" w:eastAsia="宋体" w:cs="宋体"/>
          <w:color w:val="auto"/>
          <w:sz w:val="28"/>
          <w:szCs w:val="28"/>
          <w:highlight w:val="none"/>
        </w:rPr>
        <w:t>相应损失。</w:t>
      </w:r>
    </w:p>
    <w:p w14:paraId="50D621B8">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（五）付款方式</w:t>
      </w:r>
    </w:p>
    <w:p w14:paraId="03177D7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.本项目通过采购人验收（验收方式详见招标文件）后，凭验收报告和</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开具的正规发票，在30个工作日内付清</w:t>
      </w:r>
      <w:r>
        <w:rPr>
          <w:rFonts w:hint="eastAsia" w:ascii="宋体" w:hAnsi="宋体" w:cs="宋体"/>
          <w:color w:val="auto"/>
          <w:sz w:val="28"/>
          <w:szCs w:val="28"/>
          <w:highlight w:val="none"/>
          <w:lang w:eastAsia="zh-CN"/>
        </w:rPr>
        <w:t>全部</w:t>
      </w:r>
      <w:r>
        <w:rPr>
          <w:rFonts w:hint="eastAsia" w:ascii="宋体" w:hAnsi="宋体" w:eastAsia="宋体" w:cs="宋体"/>
          <w:color w:val="auto"/>
          <w:sz w:val="28"/>
          <w:szCs w:val="28"/>
          <w:highlight w:val="none"/>
        </w:rPr>
        <w:t>货款。</w:t>
      </w:r>
    </w:p>
    <w:p w14:paraId="1B95F56A">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（六）履约保证金</w:t>
      </w:r>
    </w:p>
    <w:p w14:paraId="2212071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6.1本项目</w:t>
      </w:r>
      <w:r>
        <w:rPr>
          <w:rFonts w:hint="eastAsia" w:ascii="宋体" w:hAnsi="宋体" w:cs="宋体"/>
          <w:color w:val="auto"/>
          <w:sz w:val="28"/>
          <w:szCs w:val="28"/>
          <w:highlight w:val="none"/>
          <w:lang w:val="en-US" w:eastAsia="zh-CN"/>
        </w:rPr>
        <w:t>中标</w:t>
      </w:r>
      <w:r>
        <w:rPr>
          <w:rFonts w:hint="eastAsia" w:ascii="宋体" w:hAnsi="宋体" w:eastAsia="宋体" w:cs="宋体"/>
          <w:color w:val="auto"/>
          <w:sz w:val="28"/>
          <w:szCs w:val="28"/>
          <w:highlight w:val="none"/>
        </w:rPr>
        <w:t>后的履约保证金为项目</w:t>
      </w:r>
      <w:r>
        <w:rPr>
          <w:rFonts w:hint="eastAsia" w:ascii="宋体" w:hAnsi="宋体" w:cs="宋体"/>
          <w:color w:val="auto"/>
          <w:sz w:val="28"/>
          <w:szCs w:val="28"/>
          <w:highlight w:val="none"/>
          <w:lang w:val="en-US" w:eastAsia="zh-CN"/>
        </w:rPr>
        <w:t>中标</w:t>
      </w:r>
      <w:r>
        <w:rPr>
          <w:rFonts w:hint="eastAsia" w:ascii="宋体" w:hAnsi="宋体" w:eastAsia="宋体" w:cs="宋体"/>
          <w:color w:val="auto"/>
          <w:sz w:val="28"/>
          <w:szCs w:val="28"/>
          <w:highlight w:val="none"/>
        </w:rPr>
        <w:t>价的10%，</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的履约保证金须在</w:t>
      </w:r>
      <w:r>
        <w:rPr>
          <w:rFonts w:hint="eastAsia" w:ascii="宋体" w:hAnsi="宋体" w:cs="宋体"/>
          <w:color w:val="auto"/>
          <w:sz w:val="28"/>
          <w:szCs w:val="28"/>
          <w:highlight w:val="none"/>
          <w:lang w:val="en-US" w:eastAsia="zh-CN"/>
        </w:rPr>
        <w:t>中标</w:t>
      </w:r>
      <w:r>
        <w:rPr>
          <w:rFonts w:hint="eastAsia" w:ascii="宋体" w:hAnsi="宋体" w:eastAsia="宋体" w:cs="宋体"/>
          <w:color w:val="auto"/>
          <w:sz w:val="28"/>
          <w:szCs w:val="28"/>
          <w:highlight w:val="none"/>
        </w:rPr>
        <w:t>通知书发出之日起至合同签订前汇入采购单位账户（应当以数字人民币、支票、汇票或者金融机构、担保机构出具的保函等非现金形式提交），</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凭</w:t>
      </w:r>
      <w:r>
        <w:rPr>
          <w:rFonts w:hint="eastAsia" w:ascii="宋体" w:hAnsi="宋体" w:cs="宋体"/>
          <w:color w:val="auto"/>
          <w:sz w:val="28"/>
          <w:szCs w:val="28"/>
          <w:highlight w:val="none"/>
          <w:lang w:val="en-US" w:eastAsia="zh-CN"/>
        </w:rPr>
        <w:t>中标</w:t>
      </w:r>
      <w:r>
        <w:rPr>
          <w:rFonts w:hint="eastAsia" w:ascii="宋体" w:hAnsi="宋体" w:eastAsia="宋体" w:cs="宋体"/>
          <w:color w:val="auto"/>
          <w:sz w:val="28"/>
          <w:szCs w:val="28"/>
          <w:highlight w:val="none"/>
        </w:rPr>
        <w:t>通知书与采购单位签订合同。</w:t>
      </w:r>
      <w:r>
        <w:rPr>
          <w:rFonts w:hint="eastAsia" w:ascii="宋体" w:hAnsi="宋体" w:eastAsia="宋体" w:cs="宋体"/>
          <w:color w:val="auto"/>
          <w:sz w:val="28"/>
          <w:szCs w:val="28"/>
          <w:highlight w:val="none"/>
          <w:lang w:val="en-US" w:eastAsia="zh-CN"/>
        </w:rPr>
        <w:t>超期或未有协商、则视为拒绝签订合同。</w:t>
      </w:r>
    </w:p>
    <w:p w14:paraId="3B216B2E">
      <w:pPr>
        <w:keepNext w:val="0"/>
        <w:keepLines w:val="0"/>
        <w:pageBreakBefore w:val="0"/>
        <w:widowControl w:val="0"/>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全部履约合同义务，经采购单位验收合格无质量、进度等问题的，采购人在验收合格后30日内全额退还履约保证金（无息）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采购人若逾期退还履约保证金的，按照逾期部分的每日0.05%支付违约金。</w:t>
      </w:r>
    </w:p>
    <w:p w14:paraId="6165F0A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6.3发生以下情况的，履约保证金不予退还或部分退还：</w:t>
      </w:r>
    </w:p>
    <w:p w14:paraId="3A2011A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a.签订合同后，</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不履行合同义务的，采购单位有权全额扣除履约保证金，全额不予退还，同时采购单位亦有权终止合同，</w:t>
      </w:r>
      <w:r>
        <w:rPr>
          <w:rFonts w:hint="eastAsia" w:ascii="宋体" w:hAnsi="宋体" w:cs="宋体"/>
          <w:color w:val="auto"/>
          <w:sz w:val="28"/>
          <w:szCs w:val="28"/>
          <w:highlight w:val="none"/>
          <w:lang w:val="en-US" w:eastAsia="zh-CN"/>
        </w:rPr>
        <w:t>中标人</w:t>
      </w:r>
      <w:r>
        <w:rPr>
          <w:rFonts w:hint="eastAsia" w:ascii="宋体" w:hAnsi="宋体" w:eastAsia="宋体" w:cs="宋体"/>
          <w:color w:val="auto"/>
          <w:sz w:val="28"/>
          <w:szCs w:val="28"/>
          <w:highlight w:val="none"/>
        </w:rPr>
        <w:t>还须承担相应的法律赔偿责任。</w:t>
      </w:r>
    </w:p>
    <w:p w14:paraId="3CF9D36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在履约过程中发生违约行为，给采购单位造成损失的，采购单位有权在投标人缴纳的履约保证金中予以扣款，以弥补采购单位经济损失，不足的部分</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另外补齐。</w:t>
      </w:r>
    </w:p>
    <w:p w14:paraId="131A0F9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5187FFD2">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（七）违约责任条款</w:t>
      </w:r>
    </w:p>
    <w:p w14:paraId="536DE3F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因故不能按期供货安装的，按合同总价0.05%/天的标准累计加算违约金直至完成供货安装（违约金从货款中扣除）。采购人原因或不可抗力的因素影响除外。</w:t>
      </w:r>
    </w:p>
    <w:p w14:paraId="270F4B5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低于招标文件参数或技术标准供货的，投标人须恢复为不低于合同规定的参数或技术标准，同时支付给采购人该批次货款20%的违约金（违约金从货款中扣除）。</w:t>
      </w:r>
    </w:p>
    <w:p w14:paraId="0A52C37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未按规定和承诺提供售后服务的，采购人有权没收全部在押履约保证金。</w:t>
      </w:r>
    </w:p>
    <w:p w14:paraId="79456A4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在采购人过程监控监督时发生违约行为的，投标人须付给采购人相应的违约金（违约金从货款中扣除）：</w:t>
      </w:r>
    </w:p>
    <w:p w14:paraId="6146B6B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1</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未严格按照规格尺寸参数和工艺要求加工产品或产品质量达不到相关参数要求的，应按合同总价款的5%向采购人承担违约责任并在规定期限内完成整改，否则按合同总价款20%的标准继续承担违约责任。</w:t>
      </w:r>
    </w:p>
    <w:p w14:paraId="1C5632F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中标人生产、供货、安装进度逾期的，每逾期一日，按合同总价款0.05%向采购人支付违约金；违约金累计最高不超过合同总价10%。逾期超过10日，采购人有权单方解除合同，没收履约保证金，并要求中标人另行赔偿全部损失。</w:t>
      </w:r>
    </w:p>
    <w:p w14:paraId="3A9B92F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质保期内因产品自身质量缺陷引发安全事故，中标人须免费更换全部涉事产品，并全额赔偿采购人、使用人全部人身、财产损失，同时按以下标准支付单次违约金：</w:t>
      </w:r>
    </w:p>
    <w:p w14:paraId="00724BF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140" w:lef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一般事故（仅产品损坏、无人员受伤、无财产损失）：单次违约金10000元；</w:t>
      </w:r>
    </w:p>
    <w:p w14:paraId="48BD32A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140" w:leftChars="0"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较重事故（造成物品损毁、轻微擦伤，无住院治疗）：单次违约金30000元；</w:t>
      </w:r>
    </w:p>
    <w:p w14:paraId="509C2C6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140" w:lef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重大事故（造成人员骨折、住院、大额财产损失）：单次违约金50000元；</w:t>
      </w:r>
    </w:p>
    <w:p w14:paraId="603AA51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14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若同一批次产品连续发生2起及以上安全事故，采购人有权没收全部履约保证金、终止质保服务并追究全部损失。</w:t>
      </w:r>
    </w:p>
    <w:p w14:paraId="3D12AF2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.采购方除</w:t>
      </w:r>
      <w:r>
        <w:rPr>
          <w:rFonts w:hint="eastAsia" w:ascii="宋体" w:hAnsi="宋体" w:cs="宋体"/>
          <w:bCs/>
          <w:color w:val="auto"/>
          <w:sz w:val="28"/>
          <w:szCs w:val="28"/>
          <w:highlight w:val="none"/>
          <w:lang w:val="en-US" w:eastAsia="zh-CN"/>
        </w:rPr>
        <w:t>中标人</w:t>
      </w:r>
      <w:r>
        <w:rPr>
          <w:rFonts w:hint="eastAsia" w:ascii="宋体" w:hAnsi="宋体" w:eastAsia="宋体" w:cs="宋体"/>
          <w:color w:val="auto"/>
          <w:sz w:val="28"/>
          <w:szCs w:val="28"/>
          <w:highlight w:val="none"/>
        </w:rPr>
        <w:t>低于参数、技术标准供货或不可抗力因素外，要求退货或不接受货物的，需赔偿投标人相应损失（以实际发生额为准）。</w:t>
      </w:r>
    </w:p>
    <w:p w14:paraId="1F0DFBF8">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（八）非单一产品采购项目，采购标的中的核心产品。</w:t>
      </w:r>
    </w:p>
    <w:p w14:paraId="52E9555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本项目核心产品</w:t>
      </w:r>
      <w:r>
        <w:rPr>
          <w:rFonts w:hint="eastAsia" w:ascii="宋体" w:hAnsi="宋体" w:cs="宋体"/>
          <w:b w:val="0"/>
          <w:bCs w:val="0"/>
          <w:color w:val="auto"/>
          <w:sz w:val="28"/>
          <w:szCs w:val="28"/>
          <w:highlight w:val="none"/>
          <w:lang w:val="en-US" w:eastAsia="zh-CN"/>
        </w:rPr>
        <w:t>、主要标的</w:t>
      </w:r>
      <w:r>
        <w:rPr>
          <w:rFonts w:hint="eastAsia" w:ascii="宋体" w:hAnsi="宋体" w:eastAsia="宋体" w:cs="宋体"/>
          <w:b w:val="0"/>
          <w:bCs w:val="0"/>
          <w:color w:val="auto"/>
          <w:sz w:val="28"/>
          <w:szCs w:val="28"/>
          <w:highlight w:val="none"/>
          <w:lang w:val="en-US" w:eastAsia="zh-CN"/>
        </w:rPr>
        <w:t>为：产品1长餐桌。</w:t>
      </w:r>
    </w:p>
    <w:p w14:paraId="160B5521">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（九）本项目</w:t>
      </w:r>
      <w:r>
        <w:rPr>
          <w:rFonts w:hint="eastAsia" w:ascii="宋体" w:hAnsi="宋体" w:eastAsia="宋体" w:cs="宋体"/>
          <w:b/>
          <w:bCs/>
          <w:color w:val="auto"/>
          <w:sz w:val="28"/>
          <w:szCs w:val="28"/>
          <w:highlight w:val="none"/>
          <w:u w:val="single"/>
        </w:rPr>
        <w:t>不</w:t>
      </w:r>
      <w:r>
        <w:rPr>
          <w:rFonts w:hint="eastAsia" w:ascii="宋体" w:hAnsi="宋体" w:eastAsia="宋体" w:cs="宋体"/>
          <w:b/>
          <w:bCs/>
          <w:color w:val="auto"/>
          <w:sz w:val="28"/>
          <w:szCs w:val="28"/>
          <w:highlight w:val="none"/>
        </w:rPr>
        <w:t>接受进口产品投标。</w:t>
      </w:r>
    </w:p>
    <w:p w14:paraId="1BEB8200">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i/>
          <w:color w:val="auto"/>
          <w:sz w:val="28"/>
          <w:szCs w:val="28"/>
          <w:highlight w:val="none"/>
          <w:u w:val="single"/>
        </w:rPr>
      </w:pPr>
      <w:r>
        <w:rPr>
          <w:rFonts w:hint="eastAsia" w:ascii="宋体" w:hAnsi="宋体" w:eastAsia="宋体" w:cs="宋体"/>
          <w:b/>
          <w:i/>
          <w:color w:val="auto"/>
          <w:sz w:val="28"/>
          <w:szCs w:val="28"/>
          <w:highlight w:val="none"/>
          <w:u w:val="none"/>
        </w:rPr>
        <w:t>四、</w:t>
      </w:r>
      <w:r>
        <w:rPr>
          <w:rFonts w:hint="eastAsia" w:ascii="宋体" w:hAnsi="宋体" w:eastAsia="宋体" w:cs="宋体"/>
          <w:b/>
          <w:i/>
          <w:color w:val="auto"/>
          <w:sz w:val="28"/>
          <w:szCs w:val="28"/>
          <w:highlight w:val="none"/>
          <w:u w:val="single"/>
        </w:rPr>
        <w:t>采购需求中必须满足的实质性要求。</w:t>
      </w:r>
    </w:p>
    <w:p w14:paraId="3413077B">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i/>
          <w:color w:val="auto"/>
          <w:sz w:val="28"/>
          <w:szCs w:val="28"/>
          <w:highlight w:val="none"/>
          <w:u w:val="single"/>
        </w:rPr>
      </w:pPr>
      <w:r>
        <w:rPr>
          <w:rFonts w:hint="eastAsia" w:ascii="宋体" w:hAnsi="宋体" w:eastAsia="宋体" w:cs="宋体"/>
          <w:b/>
          <w:bCs/>
          <w:i/>
          <w:color w:val="auto"/>
          <w:sz w:val="28"/>
          <w:szCs w:val="28"/>
          <w:highlight w:val="none"/>
          <w:u w:val="single"/>
        </w:rPr>
        <w:t>4.1技术部分实质性要求</w:t>
      </w:r>
    </w:p>
    <w:p w14:paraId="15FD78B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1.本项目所有技术参数内的尺寸规格不允许负偏离（正偏离见技术参数要求）。投标人在严格遵守参数规格</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rPr>
        <w:t>可对产品进行优化设计。中标供应商与采购人签订合同后一周内提供</w:t>
      </w:r>
      <w:r>
        <w:rPr>
          <w:rFonts w:hint="eastAsia" w:ascii="宋体" w:hAnsi="宋体" w:eastAsia="宋体" w:cs="宋体"/>
          <w:i/>
          <w:iCs/>
          <w:color w:val="auto"/>
          <w:sz w:val="28"/>
          <w:szCs w:val="28"/>
          <w:highlight w:val="none"/>
          <w:u w:val="single"/>
          <w:lang w:eastAsia="zh-CN"/>
        </w:rPr>
        <w:t>符合采购人实质性需求的样品或</w:t>
      </w:r>
      <w:r>
        <w:rPr>
          <w:rFonts w:hint="eastAsia" w:ascii="宋体" w:hAnsi="宋体" w:eastAsia="宋体" w:cs="宋体"/>
          <w:i/>
          <w:iCs/>
          <w:color w:val="auto"/>
          <w:sz w:val="28"/>
          <w:szCs w:val="28"/>
          <w:highlight w:val="none"/>
          <w:u w:val="single"/>
        </w:rPr>
        <w:t>经过优化设计的样品（同时提供优化说明），待采购人确认后批量生产。低于参数要求的，适用相关违约责任条款。</w:t>
      </w:r>
    </w:p>
    <w:p w14:paraId="13F6163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2.投标人须到现场踏勘以充分了解安装现场位置、道路、储存空间、装卸限制及任何其它足以影响投标报价的情况，任何因忽视或误解现场情况而导致的索赔或供货期延长申请将不获批准，由此发生的任何费用由投标供应商自理。</w:t>
      </w:r>
    </w:p>
    <w:p w14:paraId="0D268F8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cs="宋体"/>
          <w:i/>
          <w:iCs/>
          <w:color w:val="auto"/>
          <w:sz w:val="28"/>
          <w:szCs w:val="28"/>
          <w:highlight w:val="none"/>
          <w:u w:val="single"/>
          <w:lang w:val="en-US" w:eastAsia="zh-CN"/>
        </w:rPr>
        <w:t>3</w:t>
      </w:r>
      <w:r>
        <w:rPr>
          <w:rFonts w:hint="eastAsia" w:ascii="宋体" w:hAnsi="宋体" w:eastAsia="宋体" w:cs="宋体"/>
          <w:i/>
          <w:iCs/>
          <w:color w:val="auto"/>
          <w:sz w:val="28"/>
          <w:szCs w:val="28"/>
          <w:highlight w:val="none"/>
          <w:u w:val="single"/>
        </w:rPr>
        <w:t>.投标人提供的所有货物必须满足招标文件要求，必须符合最新国家相关标准、行业标准、地方标准或者其他标准、规范（含原料和产品的安全、试验、检测、运输、安装等）。货物到达现场后，需报采购人同意后方可安装，对于将不合格的货物使用到本项目，一切损失及后果由投标人自行承担。</w:t>
      </w:r>
    </w:p>
    <w:p w14:paraId="03BFC3A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cs="宋体"/>
          <w:i/>
          <w:iCs/>
          <w:color w:val="auto"/>
          <w:sz w:val="28"/>
          <w:szCs w:val="28"/>
          <w:highlight w:val="none"/>
          <w:u w:val="single"/>
          <w:lang w:val="en-US" w:eastAsia="zh-CN"/>
        </w:rPr>
        <w:t>4.</w:t>
      </w:r>
      <w:r>
        <w:rPr>
          <w:rFonts w:hint="eastAsia" w:ascii="宋体" w:hAnsi="宋体" w:eastAsia="宋体" w:cs="宋体"/>
          <w:i/>
          <w:iCs/>
          <w:color w:val="auto"/>
          <w:sz w:val="28"/>
          <w:szCs w:val="28"/>
          <w:highlight w:val="none"/>
          <w:u w:val="single"/>
        </w:rPr>
        <w:t>投标人提供的所有货物必须与分项报价明细表注明的内容相符。</w:t>
      </w:r>
    </w:p>
    <w:p w14:paraId="76B9D17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color w:val="auto"/>
          <w:sz w:val="28"/>
          <w:szCs w:val="28"/>
          <w:highlight w:val="none"/>
          <w:u w:val="single"/>
          <w:lang w:eastAsia="zh-CN"/>
        </w:rPr>
      </w:pPr>
      <w:r>
        <w:rPr>
          <w:rFonts w:hint="eastAsia" w:ascii="宋体" w:hAnsi="宋体" w:cs="宋体"/>
          <w:i/>
          <w:iCs/>
          <w:color w:val="auto"/>
          <w:sz w:val="28"/>
          <w:szCs w:val="28"/>
          <w:highlight w:val="none"/>
          <w:u w:val="single"/>
          <w:lang w:val="en-US" w:eastAsia="zh-CN"/>
        </w:rPr>
        <w:t>5.</w:t>
      </w:r>
      <w:r>
        <w:rPr>
          <w:rFonts w:hint="eastAsia" w:ascii="宋体" w:hAnsi="宋体" w:eastAsia="宋体" w:cs="宋体"/>
          <w:i/>
          <w:iCs/>
          <w:color w:val="auto"/>
          <w:sz w:val="28"/>
          <w:szCs w:val="28"/>
          <w:highlight w:val="none"/>
          <w:u w:val="single"/>
        </w:rPr>
        <w:t>油漆和金属配件须使用环保合格的产品。</w:t>
      </w:r>
    </w:p>
    <w:p w14:paraId="2F9097CB">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i/>
          <w:color w:val="auto"/>
          <w:sz w:val="28"/>
          <w:szCs w:val="28"/>
          <w:highlight w:val="none"/>
          <w:u w:val="single"/>
        </w:rPr>
      </w:pPr>
      <w:r>
        <w:rPr>
          <w:rFonts w:hint="eastAsia" w:ascii="宋体" w:hAnsi="宋体" w:eastAsia="宋体" w:cs="宋体"/>
          <w:b/>
          <w:bCs/>
          <w:i/>
          <w:color w:val="auto"/>
          <w:sz w:val="28"/>
          <w:szCs w:val="28"/>
          <w:highlight w:val="none"/>
          <w:u w:val="single"/>
        </w:rPr>
        <w:t>4.2商务部分实质性要求</w:t>
      </w:r>
    </w:p>
    <w:p w14:paraId="2F83102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1.项目相关期限</w:t>
      </w:r>
    </w:p>
    <w:p w14:paraId="27B2805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履约保证金缴纳期限：本项目成交后的履约保证金为项目成交价（合同总价款）的10%。履约保证金须在成交通知书发出之日起至合同签订前汇入采购人指定账户（应当以数字人民币、支票、汇票或者金融机构、担保机构出具的保函等非现金形式提交），</w:t>
      </w:r>
      <w:r>
        <w:rPr>
          <w:rFonts w:hint="eastAsia" w:ascii="宋体" w:hAnsi="宋体" w:cs="宋体"/>
          <w:i/>
          <w:iCs/>
          <w:color w:val="auto"/>
          <w:sz w:val="28"/>
          <w:szCs w:val="28"/>
          <w:highlight w:val="none"/>
          <w:u w:val="single"/>
          <w:lang w:val="en-US" w:eastAsia="zh-CN"/>
        </w:rPr>
        <w:t>中标人</w:t>
      </w:r>
      <w:r>
        <w:rPr>
          <w:rFonts w:hint="eastAsia" w:ascii="宋体" w:hAnsi="宋体" w:eastAsia="宋体" w:cs="宋体"/>
          <w:i/>
          <w:iCs/>
          <w:color w:val="auto"/>
          <w:sz w:val="28"/>
          <w:szCs w:val="28"/>
          <w:highlight w:val="none"/>
          <w:u w:val="single"/>
        </w:rPr>
        <w:t>凭成交通知书与采购人签订合同。投标人超期付款或未有协商，采购人可以依法取消投标人的中标资格，并报告本级财政部门处理。</w:t>
      </w:r>
    </w:p>
    <w:p w14:paraId="6DDF091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（2）签订合同期限：自中标（成交）通知书发出之日起</w:t>
      </w:r>
      <w:r>
        <w:rPr>
          <w:rFonts w:hint="eastAsia" w:ascii="宋体" w:hAnsi="宋体" w:eastAsia="宋体" w:cs="宋体"/>
          <w:i/>
          <w:iCs/>
          <w:color w:val="auto"/>
          <w:sz w:val="28"/>
          <w:szCs w:val="28"/>
          <w:highlight w:val="none"/>
          <w:u w:val="single"/>
          <w:lang w:val="en-US" w:eastAsia="zh-CN"/>
        </w:rPr>
        <w:t>7</w:t>
      </w:r>
      <w:r>
        <w:rPr>
          <w:rFonts w:hint="eastAsia" w:ascii="宋体" w:hAnsi="宋体" w:eastAsia="宋体" w:cs="宋体"/>
          <w:i/>
          <w:iCs/>
          <w:color w:val="auto"/>
          <w:sz w:val="28"/>
          <w:szCs w:val="28"/>
          <w:highlight w:val="none"/>
          <w:u w:val="single"/>
        </w:rPr>
        <w:t>个工作日内。</w:t>
      </w:r>
    </w:p>
    <w:p w14:paraId="2E0BB272">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（3）交货期限：投标人须制定明确可行的生产进度表，严格按进度安排生产安装并接受采购人过程监管监督。按招投标文件明确的批次完成供货安装。</w:t>
      </w:r>
    </w:p>
    <w:p w14:paraId="3073B2D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（4）在</w:t>
      </w:r>
      <w:r>
        <w:rPr>
          <w:rFonts w:hint="eastAsia" w:ascii="宋体" w:hAnsi="宋体" w:eastAsia="宋体" w:cs="宋体"/>
          <w:i/>
          <w:iCs/>
          <w:color w:val="auto"/>
          <w:sz w:val="28"/>
          <w:szCs w:val="28"/>
          <w:highlight w:val="none"/>
          <w:u w:val="single"/>
          <w:lang w:val="en-US" w:eastAsia="zh-CN"/>
        </w:rPr>
        <w:t>规定时间内</w:t>
      </w:r>
      <w:r>
        <w:rPr>
          <w:rFonts w:hint="eastAsia" w:ascii="宋体" w:hAnsi="宋体" w:eastAsia="宋体" w:cs="宋体"/>
          <w:i/>
          <w:iCs/>
          <w:color w:val="auto"/>
          <w:sz w:val="28"/>
          <w:szCs w:val="28"/>
          <w:highlight w:val="none"/>
          <w:u w:val="single"/>
        </w:rPr>
        <w:t>产品送达</w:t>
      </w:r>
      <w:r>
        <w:rPr>
          <w:rFonts w:hint="eastAsia" w:ascii="宋体" w:hAnsi="宋体" w:eastAsia="宋体" w:cs="宋体"/>
          <w:i/>
          <w:iCs/>
          <w:color w:val="auto"/>
          <w:sz w:val="28"/>
          <w:szCs w:val="28"/>
          <w:highlight w:val="none"/>
          <w:u w:val="single"/>
          <w:lang w:val="en-US" w:eastAsia="zh-CN"/>
        </w:rPr>
        <w:t>安装</w:t>
      </w:r>
      <w:r>
        <w:rPr>
          <w:rFonts w:hint="eastAsia" w:ascii="宋体" w:hAnsi="宋体" w:eastAsia="宋体" w:cs="宋体"/>
          <w:i/>
          <w:iCs/>
          <w:color w:val="auto"/>
          <w:sz w:val="28"/>
          <w:szCs w:val="28"/>
          <w:highlight w:val="none"/>
          <w:u w:val="single"/>
        </w:rPr>
        <w:t>后</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lang w:val="en-US" w:eastAsia="zh-CN"/>
        </w:rPr>
        <w:t>进行</w:t>
      </w:r>
      <w:r>
        <w:rPr>
          <w:rFonts w:hint="eastAsia" w:ascii="宋体" w:hAnsi="宋体" w:eastAsia="宋体" w:cs="宋体"/>
          <w:i/>
          <w:iCs/>
          <w:color w:val="auto"/>
          <w:sz w:val="28"/>
          <w:szCs w:val="28"/>
          <w:highlight w:val="none"/>
          <w:u w:val="single"/>
        </w:rPr>
        <w:t>原材料</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rPr>
        <w:t>成品抽样检测；报告须由市级及以上质检部门出具（报告具有CMA认证标识并加盖检验检测专用章）；检验检测报告结果须符合相关国家标准（按就高原则选用相关标准）的要求</w:t>
      </w:r>
      <w:r>
        <w:rPr>
          <w:rFonts w:hint="eastAsia" w:ascii="宋体" w:hAnsi="宋体" w:eastAsia="宋体" w:cs="宋体"/>
          <w:i/>
          <w:iCs/>
          <w:color w:val="auto"/>
          <w:sz w:val="28"/>
          <w:szCs w:val="28"/>
          <w:highlight w:val="none"/>
          <w:u w:val="single"/>
          <w:lang w:eastAsia="zh-CN"/>
        </w:rPr>
        <w:t>。</w:t>
      </w:r>
    </w:p>
    <w:p w14:paraId="7B9F1E4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（5）投标人所投产品安装后，委托具有相关资质的权威检测机构进行</w:t>
      </w:r>
      <w:r>
        <w:rPr>
          <w:rFonts w:hint="eastAsia" w:ascii="宋体" w:hAnsi="宋体" w:eastAsia="宋体" w:cs="宋体"/>
          <w:i/>
          <w:iCs/>
          <w:color w:val="auto"/>
          <w:sz w:val="28"/>
          <w:szCs w:val="28"/>
          <w:highlight w:val="none"/>
          <w:u w:val="single"/>
          <w:lang w:val="en-US" w:eastAsia="zh-CN"/>
        </w:rPr>
        <w:t>前后各</w:t>
      </w:r>
      <w:r>
        <w:rPr>
          <w:rFonts w:hint="eastAsia" w:ascii="宋体" w:hAnsi="宋体" w:eastAsia="宋体" w:cs="宋体"/>
          <w:i/>
          <w:iCs/>
          <w:color w:val="auto"/>
          <w:sz w:val="28"/>
          <w:szCs w:val="28"/>
          <w:highlight w:val="none"/>
          <w:u w:val="single"/>
        </w:rPr>
        <w:t>一次室内环境空气质量检验检测，确保产品环保质量达到国家有关标准。室内环境空气质量检验检测项目中应至少含“甲醛”“苯类”“TVOC”等。</w:t>
      </w:r>
    </w:p>
    <w:p w14:paraId="668C5B5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2.投标人须接受采购人的生产过程监控监督及合理要求，并按要求提供相关资料。</w:t>
      </w:r>
    </w:p>
    <w:p w14:paraId="28301A7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3.投标人须满足采购标的数量、交付或者实施的时间和地点要求。</w:t>
      </w:r>
    </w:p>
    <w:p w14:paraId="38B59681">
      <w:pPr>
        <w:spacing w:line="360" w:lineRule="auto"/>
        <w:ind w:firstLine="562"/>
        <w:rPr>
          <w:rFonts w:hint="eastAsia" w:asciiTheme="majorEastAsia" w:hAnsiTheme="majorEastAsia" w:eastAsiaTheme="majorEastAsia" w:cstheme="majorEastAsia"/>
          <w:i/>
          <w:iCs/>
          <w:color w:val="auto"/>
          <w:sz w:val="28"/>
          <w:szCs w:val="28"/>
          <w:highlight w:val="none"/>
          <w:u w:val="single"/>
        </w:rPr>
      </w:pPr>
      <w:r>
        <w:rPr>
          <w:rFonts w:hint="eastAsia" w:asciiTheme="majorEastAsia" w:hAnsiTheme="majorEastAsia" w:eastAsiaTheme="majorEastAsia" w:cstheme="majorEastAsia"/>
          <w:i/>
          <w:iCs/>
          <w:color w:val="auto"/>
          <w:sz w:val="28"/>
          <w:szCs w:val="28"/>
          <w:highlight w:val="none"/>
          <w:u w:val="single"/>
        </w:rPr>
        <w:t>4.投标人须严格遵守有关要求，认真研读并接受违约责任条款。</w:t>
      </w:r>
    </w:p>
    <w:p w14:paraId="2673D6FD">
      <w:pPr>
        <w:spacing w:line="360" w:lineRule="auto"/>
        <w:ind w:firstLine="562"/>
        <w:rPr>
          <w:rFonts w:hint="eastAsia" w:asciiTheme="majorEastAsia" w:hAnsiTheme="majorEastAsia" w:eastAsiaTheme="majorEastAsia" w:cstheme="majorEastAsia"/>
          <w:i/>
          <w:iCs/>
          <w:color w:val="auto"/>
          <w:sz w:val="28"/>
          <w:szCs w:val="28"/>
          <w:highlight w:val="none"/>
          <w:u w:val="single"/>
          <w:lang w:eastAsia="zh-CN"/>
        </w:rPr>
      </w:pPr>
      <w:r>
        <w:rPr>
          <w:rFonts w:hint="eastAsia" w:asciiTheme="majorEastAsia" w:hAnsiTheme="majorEastAsia" w:eastAsiaTheme="majorEastAsia" w:cstheme="majorEastAsia"/>
          <w:i/>
          <w:iCs/>
          <w:color w:val="auto"/>
          <w:sz w:val="28"/>
          <w:szCs w:val="28"/>
          <w:highlight w:val="none"/>
          <w:u w:val="single"/>
        </w:rPr>
        <w:t>5.核心产品须由投标人指定生产基地生产制造。</w:t>
      </w:r>
    </w:p>
    <w:p w14:paraId="30059EC5">
      <w:pPr>
        <w:spacing w:line="360" w:lineRule="auto"/>
        <w:ind w:firstLine="562"/>
        <w:rPr>
          <w:rFonts w:hint="eastAsia" w:asciiTheme="majorEastAsia" w:hAnsiTheme="majorEastAsia" w:eastAsiaTheme="majorEastAsia" w:cstheme="majorEastAsia"/>
          <w:i/>
          <w:iCs/>
          <w:color w:val="auto"/>
          <w:sz w:val="28"/>
          <w:szCs w:val="28"/>
          <w:highlight w:val="none"/>
          <w:u w:val="single"/>
        </w:rPr>
      </w:pPr>
      <w:r>
        <w:rPr>
          <w:rFonts w:hint="eastAsia" w:asciiTheme="majorEastAsia" w:hAnsiTheme="majorEastAsia" w:eastAsiaTheme="majorEastAsia" w:cstheme="majorEastAsia"/>
          <w:i/>
          <w:iCs/>
          <w:color w:val="auto"/>
          <w:sz w:val="28"/>
          <w:szCs w:val="28"/>
          <w:highlight w:val="none"/>
          <w:u w:val="single"/>
        </w:rPr>
        <w:t>6.投标人需认真填写附件《投标分项报价表》，缺项或不填写作无效投标处理。</w:t>
      </w:r>
    </w:p>
    <w:p w14:paraId="61F59305">
      <w:pPr>
        <w:spacing w:line="360" w:lineRule="auto"/>
        <w:ind w:firstLine="562"/>
        <w:rPr>
          <w:rFonts w:hint="eastAsia" w:asciiTheme="majorEastAsia" w:hAnsiTheme="majorEastAsia" w:eastAsiaTheme="majorEastAsia" w:cstheme="majorEastAsia"/>
          <w:b/>
          <w:bCs/>
          <w:i/>
          <w:iCs/>
          <w:color w:val="auto"/>
          <w:sz w:val="28"/>
          <w:szCs w:val="28"/>
          <w:highlight w:val="none"/>
          <w:u w:val="single"/>
        </w:rPr>
      </w:pPr>
      <w:r>
        <w:rPr>
          <w:rFonts w:hint="eastAsia" w:asciiTheme="majorEastAsia" w:hAnsiTheme="majorEastAsia" w:eastAsiaTheme="majorEastAsia" w:cstheme="majorEastAsia"/>
          <w:b/>
          <w:bCs/>
          <w:i/>
          <w:iCs/>
          <w:color w:val="auto"/>
          <w:sz w:val="28"/>
          <w:szCs w:val="28"/>
          <w:highlight w:val="none"/>
          <w:u w:val="single"/>
        </w:rPr>
        <w:t>投标人</w:t>
      </w:r>
      <w:r>
        <w:rPr>
          <w:rFonts w:hint="eastAsia" w:ascii="宋体" w:hAnsi="宋体" w:cs="宋体"/>
          <w:b/>
          <w:bCs/>
          <w:i/>
          <w:iCs/>
          <w:color w:val="auto"/>
          <w:sz w:val="28"/>
          <w:szCs w:val="28"/>
          <w:highlight w:val="none"/>
          <w:u w:val="single"/>
        </w:rPr>
        <w:t>需提供承诺函</w:t>
      </w:r>
      <w:r>
        <w:rPr>
          <w:rFonts w:hint="eastAsia" w:ascii="宋体" w:hAnsi="宋体" w:cs="宋体"/>
          <w:b/>
          <w:bCs/>
          <w:i/>
          <w:iCs/>
          <w:color w:val="auto"/>
          <w:sz w:val="28"/>
          <w:szCs w:val="28"/>
          <w:highlight w:val="none"/>
          <w:u w:val="single"/>
          <w:lang w:eastAsia="zh-CN"/>
        </w:rPr>
        <w:t>（</w:t>
      </w:r>
      <w:r>
        <w:rPr>
          <w:rFonts w:hint="eastAsia" w:ascii="宋体" w:hAnsi="宋体" w:cs="宋体"/>
          <w:b/>
          <w:bCs/>
          <w:i/>
          <w:iCs/>
          <w:color w:val="auto"/>
          <w:sz w:val="28"/>
          <w:szCs w:val="28"/>
          <w:highlight w:val="none"/>
          <w:u w:val="single"/>
          <w:lang w:val="en-US" w:eastAsia="zh-CN"/>
        </w:rPr>
        <w:t>承诺函格式见附件5）</w:t>
      </w:r>
      <w:r>
        <w:rPr>
          <w:rFonts w:hint="eastAsia" w:asciiTheme="majorEastAsia" w:hAnsiTheme="majorEastAsia" w:eastAsiaTheme="majorEastAsia" w:cstheme="majorEastAsia"/>
          <w:b/>
          <w:bCs/>
          <w:i/>
          <w:iCs/>
          <w:color w:val="auto"/>
          <w:sz w:val="28"/>
          <w:szCs w:val="28"/>
          <w:highlight w:val="none"/>
          <w:u w:val="single"/>
          <w:lang w:eastAsia="zh-CN"/>
        </w:rPr>
        <w:t>，</w:t>
      </w:r>
      <w:r>
        <w:rPr>
          <w:rFonts w:hint="eastAsia" w:ascii="宋体" w:hAnsi="宋体" w:cs="宋体"/>
          <w:b/>
          <w:bCs/>
          <w:i/>
          <w:iCs/>
          <w:color w:val="auto"/>
          <w:sz w:val="28"/>
          <w:szCs w:val="28"/>
          <w:highlight w:val="none"/>
          <w:u w:val="single"/>
        </w:rPr>
        <w:t>不提供的或提供不满足要求的按无效标处理</w:t>
      </w:r>
      <w:r>
        <w:rPr>
          <w:rFonts w:hint="eastAsia" w:asciiTheme="majorEastAsia" w:hAnsiTheme="majorEastAsia" w:eastAsiaTheme="majorEastAsia" w:cstheme="majorEastAsia"/>
          <w:b/>
          <w:bCs/>
          <w:i/>
          <w:iCs/>
          <w:color w:val="auto"/>
          <w:sz w:val="28"/>
          <w:szCs w:val="28"/>
          <w:highlight w:val="none"/>
          <w:u w:val="single"/>
        </w:rPr>
        <w:t>。</w:t>
      </w:r>
    </w:p>
    <w:p w14:paraId="49454C07">
      <w:pPr>
        <w:pStyle w:val="86"/>
        <w:widowControl/>
        <w:shd w:val="clear" w:color="auto" w:fill="FFFFFF"/>
        <w:spacing w:line="460" w:lineRule="exact"/>
        <w:ind w:firstLine="562"/>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五</w:t>
      </w:r>
      <w:r>
        <w:rPr>
          <w:rFonts w:hint="eastAsia" w:ascii="宋体" w:hAnsi="宋体" w:cs="宋体"/>
          <w:b/>
          <w:bCs/>
          <w:color w:val="auto"/>
          <w:sz w:val="28"/>
          <w:szCs w:val="28"/>
          <w:highlight w:val="none"/>
        </w:rPr>
        <w:t>、合同文本（仅供参考）：</w:t>
      </w:r>
    </w:p>
    <w:p w14:paraId="6AD95EAB">
      <w:pPr>
        <w:pStyle w:val="151"/>
        <w:spacing w:line="480" w:lineRule="exact"/>
        <w:rPr>
          <w:rFonts w:hint="eastAsia" w:ascii="宋体" w:hAnsi="宋体" w:eastAsia="宋体" w:cs="宋体"/>
          <w:b w:val="0"/>
          <w:bCs w:val="0"/>
          <w:color w:val="auto"/>
          <w:sz w:val="28"/>
          <w:szCs w:val="28"/>
          <w:highlight w:val="none"/>
          <w:lang w:eastAsia="zh-CN"/>
        </w:rPr>
      </w:pPr>
      <w:r>
        <w:rPr>
          <w:rFonts w:hint="eastAsia" w:ascii="宋体" w:hAnsi="宋体" w:cs="宋体"/>
          <w:b/>
          <w:color w:val="auto"/>
          <w:spacing w:val="22"/>
          <w:sz w:val="32"/>
          <w:szCs w:val="32"/>
          <w:highlight w:val="none"/>
        </w:rPr>
        <w:br w:type="page"/>
      </w:r>
      <w:r>
        <w:rPr>
          <w:rFonts w:hint="eastAsia" w:ascii="宋体" w:hAnsi="宋体" w:eastAsia="宋体" w:cs="宋体"/>
          <w:b w:val="0"/>
          <w:bCs w:val="0"/>
          <w:color w:val="auto"/>
          <w:sz w:val="28"/>
          <w:szCs w:val="28"/>
          <w:highlight w:val="none"/>
          <w:lang w:val="en-US" w:eastAsia="zh-CN"/>
        </w:rPr>
        <w:t>采购</w:t>
      </w:r>
      <w:r>
        <w:rPr>
          <w:rFonts w:hint="eastAsia" w:ascii="宋体" w:hAnsi="宋体" w:eastAsia="宋体" w:cs="宋体"/>
          <w:b w:val="0"/>
          <w:bCs w:val="0"/>
          <w:color w:val="auto"/>
          <w:sz w:val="28"/>
          <w:szCs w:val="28"/>
          <w:highlight w:val="none"/>
          <w:lang w:eastAsia="zh-CN"/>
        </w:rPr>
        <w:t>合同协议书</w:t>
      </w:r>
    </w:p>
    <w:p w14:paraId="4C3BB1AA">
      <w:pPr>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甲方（全称）：</w:t>
      </w:r>
      <w:r>
        <w:rPr>
          <w:rFonts w:hint="eastAsia" w:ascii="宋体" w:hAnsi="宋体" w:eastAsia="宋体" w:cs="宋体"/>
          <w:color w:val="auto"/>
          <w:sz w:val="28"/>
          <w:szCs w:val="28"/>
          <w:highlight w:val="none"/>
          <w:u w:val="single"/>
        </w:rPr>
        <w:t>南通职业大学</w:t>
      </w:r>
    </w:p>
    <w:p w14:paraId="2A438906">
      <w:pPr>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乙方（全称）：</w:t>
      </w:r>
    </w:p>
    <w:p w14:paraId="114C8471">
      <w:pPr>
        <w:pStyle w:val="152"/>
        <w:spacing w:after="0" w:line="480" w:lineRule="exact"/>
        <w:ind w:left="0" w:firstLine="56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依据《中华人民共和国民法典》等有关的法律法规，以及本采购项目的招标文件等采购文件、乙方的《投标（响应）文件》及《中标（成交）通知书》，甲乙双方同意签订本合同。具体情况及要求如下：</w:t>
      </w:r>
    </w:p>
    <w:p w14:paraId="086A2EB4">
      <w:pPr>
        <w:tabs>
          <w:tab w:val="left" w:pos="907"/>
        </w:tabs>
        <w:spacing w:line="48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1.项目信息</w:t>
      </w:r>
    </w:p>
    <w:p w14:paraId="155C636D">
      <w:pPr>
        <w:pStyle w:val="152"/>
        <w:tabs>
          <w:tab w:val="left" w:pos="709"/>
        </w:tabs>
        <w:spacing w:after="0" w:line="480" w:lineRule="exact"/>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（1）采购项目名称：</w:t>
      </w:r>
    </w:p>
    <w:p w14:paraId="0672E2EF">
      <w:pPr>
        <w:pStyle w:val="152"/>
        <w:tabs>
          <w:tab w:val="left" w:pos="999"/>
        </w:tabs>
        <w:spacing w:after="0" w:line="480" w:lineRule="exact"/>
        <w:ind w:left="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采购项目编号：</w:t>
      </w:r>
    </w:p>
    <w:p w14:paraId="3D20DBA3">
      <w:pPr>
        <w:pStyle w:val="152"/>
        <w:spacing w:after="0" w:line="480" w:lineRule="exact"/>
        <w:ind w:left="0" w:firstLine="42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（2）采购计划编号：</w:t>
      </w:r>
    </w:p>
    <w:p w14:paraId="26AD38E6">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（3）项目内容：</w:t>
      </w:r>
    </w:p>
    <w:p w14:paraId="49DBDECB">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采购标的及数量（台/套</w:t>
      </w:r>
      <w:r>
        <w:rPr>
          <w:rFonts w:hint="eastAsia" w:ascii="宋体" w:hAnsi="宋体" w:eastAsia="宋体" w:cs="宋体"/>
          <w:color w:val="auto"/>
          <w:sz w:val="28"/>
          <w:szCs w:val="28"/>
          <w:highlight w:val="none"/>
          <w:lang w:val="en"/>
        </w:rPr>
        <w:t>/个/架/组等</w:t>
      </w:r>
      <w:r>
        <w:rPr>
          <w:rFonts w:hint="eastAsia" w:ascii="宋体" w:hAnsi="宋体" w:eastAsia="宋体" w:cs="宋体"/>
          <w:color w:val="auto"/>
          <w:sz w:val="28"/>
          <w:szCs w:val="28"/>
          <w:highlight w:val="none"/>
        </w:rPr>
        <w:t>）：</w:t>
      </w:r>
    </w:p>
    <w:p w14:paraId="5ECB4882">
      <w:pPr>
        <w:spacing w:line="480" w:lineRule="exact"/>
        <w:ind w:firstLine="420"/>
        <w:rPr>
          <w:rFonts w:hint="eastAsia" w:ascii="宋体" w:hAnsi="宋体" w:eastAsia="宋体" w:cs="宋体"/>
          <w:color w:val="auto"/>
          <w:sz w:val="28"/>
          <w:szCs w:val="28"/>
          <w:highlight w:val="none"/>
          <w:u w:val="single"/>
          <w:lang w:val="en" w:eastAsia="zh-CN"/>
        </w:rPr>
      </w:pPr>
      <w:r>
        <w:rPr>
          <w:rFonts w:hint="eastAsia" w:ascii="宋体" w:hAnsi="宋体" w:eastAsia="宋体" w:cs="宋体"/>
          <w:color w:val="auto"/>
          <w:sz w:val="28"/>
          <w:szCs w:val="28"/>
          <w:highlight w:val="none"/>
        </w:rPr>
        <w:t>品牌：规格型号：</w:t>
      </w:r>
    </w:p>
    <w:p w14:paraId="5FF8DCDC">
      <w:pPr>
        <w:tabs>
          <w:tab w:val="left" w:pos="907"/>
        </w:tabs>
        <w:spacing w:line="48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2.合同金额</w:t>
      </w:r>
    </w:p>
    <w:p w14:paraId="60B3C569">
      <w:pPr>
        <w:spacing w:line="480" w:lineRule="exact"/>
        <w:ind w:firstLine="56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（1）合同金额小写：大写：</w:t>
      </w:r>
    </w:p>
    <w:p w14:paraId="6005DF2B">
      <w:pPr>
        <w:spacing w:line="480" w:lineRule="exact"/>
        <w:ind w:firstLine="1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各类产品单价详见本合同附件。</w:t>
      </w:r>
    </w:p>
    <w:p w14:paraId="6223D4D7">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（2）合同定价方式（采用组合定价方式的，可以勾选多项）：</w:t>
      </w:r>
    </w:p>
    <w:p w14:paraId="593D89E9">
      <w:pPr>
        <w:spacing w:line="480" w:lineRule="exact"/>
        <w:ind w:firstLine="42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固定总价</w:t>
      </w: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固定单价</w:t>
      </w: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固定费率</w:t>
      </w: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成本补偿</w:t>
      </w: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绩效激励</w:t>
      </w:r>
      <w:r>
        <w:rPr>
          <w:rFonts w:hint="eastAsia" w:ascii="宋体" w:hAnsi="宋体" w:eastAsia="宋体" w:cs="宋体"/>
          <w:color w:val="auto"/>
          <w:sz w:val="28"/>
          <w:szCs w:val="28"/>
          <w:highlight w:val="none"/>
        </w:rPr>
        <w:t>¨</w:t>
      </w:r>
      <w:r>
        <w:rPr>
          <w:rFonts w:hint="eastAsia" w:ascii="宋体" w:hAnsi="宋体" w:eastAsia="宋体" w:cs="宋体"/>
          <w:iCs/>
          <w:color w:val="auto"/>
          <w:sz w:val="28"/>
          <w:szCs w:val="28"/>
          <w:highlight w:val="none"/>
        </w:rPr>
        <w:t>其他</w:t>
      </w:r>
    </w:p>
    <w:p w14:paraId="5670535E">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（3）付款方式（按项目实际勾选填写）：</w:t>
      </w:r>
    </w:p>
    <w:p w14:paraId="72980D94">
      <w:pPr>
        <w:spacing w:line="480" w:lineRule="exact"/>
        <w:ind w:firstLine="63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¨全额付款：</w:t>
      </w:r>
      <w:r>
        <w:rPr>
          <w:rFonts w:hint="eastAsia" w:ascii="宋体" w:hAnsi="宋体" w:eastAsia="宋体" w:cs="宋体"/>
          <w:color w:val="auto"/>
          <w:sz w:val="28"/>
          <w:szCs w:val="28"/>
          <w:highlight w:val="none"/>
          <w:u w:val="single"/>
        </w:rPr>
        <w:t>（应明确一次性支付合同款项的条件）</w:t>
      </w:r>
    </w:p>
    <w:p w14:paraId="312FBF7E">
      <w:pPr>
        <w:spacing w:line="480" w:lineRule="exact"/>
        <w:ind w:firstLine="63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sym w:font="Wingdings" w:char="00A8"/>
      </w:r>
      <w:r>
        <w:rPr>
          <w:rFonts w:hint="eastAsia" w:ascii="宋体" w:hAnsi="宋体" w:eastAsia="宋体" w:cs="宋体"/>
          <w:color w:val="auto"/>
          <w:sz w:val="28"/>
          <w:szCs w:val="28"/>
          <w:highlight w:val="none"/>
        </w:rPr>
        <w:t>分期付款：</w:t>
      </w:r>
    </w:p>
    <w:p w14:paraId="657E5D1A">
      <w:pPr>
        <w:spacing w:line="480" w:lineRule="exact"/>
        <w:ind w:firstLine="63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其中涉及预付款的：</w:t>
      </w:r>
    </w:p>
    <w:p w14:paraId="02D68185">
      <w:pPr>
        <w:tabs>
          <w:tab w:val="left" w:pos="907"/>
        </w:tabs>
        <w:spacing w:line="480" w:lineRule="exact"/>
        <w:ind w:firstLine="562"/>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3.合同履行</w:t>
      </w:r>
    </w:p>
    <w:p w14:paraId="1A37A0D7">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（1）起始日期：年月日，完成日期：年月日。</w:t>
      </w:r>
    </w:p>
    <w:p w14:paraId="7C2928A5">
      <w:pPr>
        <w:spacing w:line="480" w:lineRule="exact"/>
        <w:ind w:firstLine="42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（2）履约地点</w:t>
      </w:r>
      <w:r>
        <w:rPr>
          <w:rFonts w:hint="eastAsia" w:ascii="宋体" w:hAnsi="宋体" w:eastAsia="宋体" w:cs="宋体"/>
          <w:bCs/>
          <w:color w:val="auto"/>
          <w:sz w:val="28"/>
          <w:szCs w:val="28"/>
          <w:highlight w:val="none"/>
        </w:rPr>
        <w:t>：</w:t>
      </w:r>
    </w:p>
    <w:p w14:paraId="10FA7ACD">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（3）履约担保：</w:t>
      </w:r>
      <w:r>
        <w:rPr>
          <w:rFonts w:hint="eastAsia" w:ascii="宋体" w:hAnsi="宋体" w:eastAsia="宋体" w:cs="宋体"/>
          <w:color w:val="auto"/>
          <w:sz w:val="28"/>
          <w:szCs w:val="28"/>
          <w:highlight w:val="none"/>
        </w:rPr>
        <w:t>是否收取履约保证金：是</w:t>
      </w:r>
    </w:p>
    <w:p w14:paraId="79EC3880">
      <w:pPr>
        <w:pStyle w:val="153"/>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收取履约保证金形式：</w:t>
      </w:r>
      <w:r>
        <w:rPr>
          <w:rFonts w:hint="eastAsia" w:ascii="宋体" w:hAnsi="宋体" w:eastAsia="宋体" w:cs="宋体"/>
          <w:bCs/>
          <w:color w:val="auto"/>
          <w:sz w:val="28"/>
          <w:szCs w:val="28"/>
          <w:highlight w:val="none"/>
          <w:u w:val="single"/>
        </w:rPr>
        <w:t>应当以数字人民币、支票、汇票或者金融机构、担保机构出具的保函等非现金形式提交至南通职业大学指定账户。户名：南通市财政局账号：513902006610906开户行：招商银行南通分行，备注：</w:t>
      </w:r>
      <w:r>
        <w:rPr>
          <w:rFonts w:hint="eastAsia" w:ascii="宋体" w:hAnsi="宋体" w:eastAsia="宋体" w:cs="宋体"/>
          <w:bCs/>
          <w:color w:val="auto"/>
          <w:sz w:val="28"/>
          <w:szCs w:val="28"/>
          <w:highlight w:val="none"/>
          <w:u w:val="single"/>
          <w:lang w:eastAsia="zh-CN"/>
        </w:rPr>
        <w:t>南通职业大学钟秀校区食缘汇餐桌椅采购项目</w:t>
      </w:r>
      <w:r>
        <w:rPr>
          <w:rFonts w:hint="eastAsia" w:ascii="宋体" w:hAnsi="宋体" w:eastAsia="宋体" w:cs="宋体"/>
          <w:bCs/>
          <w:color w:val="auto"/>
          <w:sz w:val="28"/>
          <w:szCs w:val="28"/>
          <w:highlight w:val="none"/>
          <w:u w:val="single"/>
        </w:rPr>
        <w:t>履约保证金</w:t>
      </w:r>
    </w:p>
    <w:p w14:paraId="19538965">
      <w:pPr>
        <w:pStyle w:val="153"/>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收取履约保证金金额：</w:t>
      </w:r>
      <w:r>
        <w:rPr>
          <w:rFonts w:hint="eastAsia" w:ascii="宋体" w:hAnsi="宋体" w:eastAsia="宋体" w:cs="宋体"/>
          <w:bCs/>
          <w:color w:val="auto"/>
          <w:sz w:val="28"/>
          <w:szCs w:val="28"/>
          <w:highlight w:val="none"/>
          <w:u w:val="single"/>
        </w:rPr>
        <w:t>项目成交价（合同总价款）的10%</w:t>
      </w:r>
    </w:p>
    <w:p w14:paraId="7137A99D">
      <w:pPr>
        <w:spacing w:line="480" w:lineRule="exact"/>
        <w:ind w:firstLine="420"/>
        <w:rPr>
          <w:rFonts w:hint="eastAsia" w:ascii="宋体" w:hAnsi="宋体" w:eastAsia="宋体" w:cs="宋体"/>
          <w:color w:val="auto"/>
          <w:sz w:val="28"/>
          <w:szCs w:val="28"/>
          <w:highlight w:val="none"/>
          <w:lang w:eastAsia="zh-CN"/>
        </w:rPr>
      </w:pPr>
      <w:r>
        <w:rPr>
          <w:rFonts w:hint="eastAsia" w:ascii="宋体" w:hAnsi="宋体" w:eastAsia="宋体" w:cs="宋体"/>
          <w:bCs/>
          <w:color w:val="auto"/>
          <w:sz w:val="28"/>
          <w:szCs w:val="28"/>
          <w:highlight w:val="none"/>
        </w:rPr>
        <w:t>履约担保期限：</w:t>
      </w:r>
      <w:r>
        <w:rPr>
          <w:rFonts w:hint="eastAsia" w:ascii="宋体" w:hAnsi="宋体" w:eastAsia="宋体" w:cs="宋体"/>
          <w:bCs/>
          <w:color w:val="auto"/>
          <w:sz w:val="28"/>
          <w:szCs w:val="28"/>
          <w:highlight w:val="none"/>
          <w:u w:val="single"/>
        </w:rPr>
        <w:t>中标供应商无产品质量、安装进度等问题的，采购人在验收合格后30日内全额退还履约保证金（无息）。</w:t>
      </w:r>
    </w:p>
    <w:p w14:paraId="7A97C561">
      <w:pPr>
        <w:spacing w:line="480" w:lineRule="exact"/>
        <w:ind w:firstLine="42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（4）分期履行要求：</w:t>
      </w:r>
    </w:p>
    <w:p w14:paraId="5D72CFCD">
      <w:pPr>
        <w:spacing w:line="480" w:lineRule="exact"/>
        <w:ind w:firstLine="420"/>
        <w:rPr>
          <w:rFonts w:hint="eastAsia" w:ascii="宋体" w:hAnsi="宋体" w:eastAsia="宋体" w:cs="宋体"/>
          <w:color w:val="auto"/>
          <w:sz w:val="28"/>
          <w:szCs w:val="28"/>
          <w:highlight w:val="none"/>
          <w:u w:val="single"/>
          <w:lang w:eastAsia="zh-CN"/>
        </w:rPr>
      </w:pPr>
      <w:r>
        <w:rPr>
          <w:rFonts w:hint="eastAsia" w:ascii="宋体" w:hAnsi="宋体" w:eastAsia="宋体" w:cs="宋体"/>
          <w:bCs/>
          <w:color w:val="auto"/>
          <w:sz w:val="28"/>
          <w:szCs w:val="28"/>
          <w:highlight w:val="none"/>
        </w:rPr>
        <w:t>（5）风险处置措施和替代方案：</w:t>
      </w:r>
    </w:p>
    <w:p w14:paraId="4F3FDA5E">
      <w:pPr>
        <w:tabs>
          <w:tab w:val="left" w:pos="907"/>
        </w:tabs>
        <w:spacing w:line="48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4.合同验收</w:t>
      </w:r>
    </w:p>
    <w:p w14:paraId="01D1B8E8">
      <w:pPr>
        <w:tabs>
          <w:tab w:val="left" w:pos="1440"/>
        </w:tabs>
        <w:spacing w:line="48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（1）验收组织方式：</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自行组织</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委托第三方组织</w:t>
      </w:r>
    </w:p>
    <w:p w14:paraId="4A824553">
      <w:pPr>
        <w:spacing w:line="48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验收主体：</w:t>
      </w:r>
    </w:p>
    <w:p w14:paraId="7BFAABC9">
      <w:pPr>
        <w:spacing w:line="480" w:lineRule="exact"/>
        <w:ind w:firstLine="840"/>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验收组织的其他事项：</w:t>
      </w:r>
    </w:p>
    <w:p w14:paraId="200CD264">
      <w:pPr>
        <w:tabs>
          <w:tab w:val="left" w:pos="1440"/>
        </w:tabs>
        <w:spacing w:line="480" w:lineRule="exact"/>
        <w:ind w:firstLine="560"/>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（2）履约验收时间：</w:t>
      </w:r>
      <w:r>
        <w:rPr>
          <w:rFonts w:hint="eastAsia" w:ascii="宋体" w:hAnsi="宋体" w:eastAsia="宋体" w:cs="宋体"/>
          <w:bCs/>
          <w:color w:val="auto"/>
          <w:sz w:val="28"/>
          <w:szCs w:val="28"/>
          <w:highlight w:val="none"/>
          <w:u w:val="single"/>
        </w:rPr>
        <w:t>（计划于何时验收/供应商提出验收申请之日起日内组织验收）</w:t>
      </w:r>
    </w:p>
    <w:p w14:paraId="7E0821A3">
      <w:pPr>
        <w:tabs>
          <w:tab w:val="left" w:pos="1440"/>
        </w:tabs>
        <w:spacing w:line="480" w:lineRule="exact"/>
        <w:ind w:firstLine="56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（3）履约验收方式：</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一次性验收</w:t>
      </w:r>
    </w:p>
    <w:p w14:paraId="413097B2">
      <w:pPr>
        <w:spacing w:line="48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分期/分项验收：</w:t>
      </w:r>
    </w:p>
    <w:p w14:paraId="745D6732">
      <w:pPr>
        <w:tabs>
          <w:tab w:val="left" w:pos="1440"/>
        </w:tabs>
        <w:spacing w:line="480" w:lineRule="exact"/>
        <w:ind w:firstLine="56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（4）履约验收程序：</w:t>
      </w:r>
    </w:p>
    <w:p w14:paraId="6E52C32A">
      <w:pPr>
        <w:tabs>
          <w:tab w:val="left" w:pos="1440"/>
        </w:tabs>
        <w:spacing w:line="480" w:lineRule="exact"/>
        <w:ind w:firstLine="560"/>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（5）履约验收的内容：</w:t>
      </w:r>
    </w:p>
    <w:p w14:paraId="7D5D1128">
      <w:pPr>
        <w:tabs>
          <w:tab w:val="left" w:pos="1440"/>
        </w:tabs>
        <w:spacing w:line="480" w:lineRule="exact"/>
        <w:ind w:firstLine="560"/>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（6）履约验收标准：</w:t>
      </w:r>
    </w:p>
    <w:p w14:paraId="5754957B">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（7）有关技术文件，图纸</w:t>
      </w:r>
    </w:p>
    <w:p w14:paraId="3B89B7D8">
      <w:pPr>
        <w:pStyle w:val="153"/>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（8）国家法律、行政法规和规章制度规定或合同约定的作为合同组成部分的其他文件</w:t>
      </w:r>
    </w:p>
    <w:p w14:paraId="698573DE">
      <w:pPr>
        <w:tabs>
          <w:tab w:val="left" w:pos="907"/>
        </w:tabs>
        <w:spacing w:line="48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6.合同生效</w:t>
      </w:r>
    </w:p>
    <w:p w14:paraId="4401ADFD">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本合同自生效。</w:t>
      </w:r>
    </w:p>
    <w:p w14:paraId="5EF08619">
      <w:pPr>
        <w:tabs>
          <w:tab w:val="left" w:pos="907"/>
        </w:tabs>
        <w:spacing w:line="480" w:lineRule="exact"/>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7.合同份数</w:t>
      </w:r>
    </w:p>
    <w:p w14:paraId="2415FC9F">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本合同一式份，甲方执份，乙方执份，均具有同等法律效力。</w:t>
      </w:r>
    </w:p>
    <w:p w14:paraId="2E64C201">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合同订立时间：年月日</w:t>
      </w:r>
    </w:p>
    <w:p w14:paraId="4824F9C9">
      <w:pPr>
        <w:spacing w:line="480" w:lineRule="exact"/>
        <w:ind w:firstLine="42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合同订立地点：</w:t>
      </w:r>
    </w:p>
    <w:p w14:paraId="1A7ECD1D">
      <w:pPr>
        <w:spacing w:line="480" w:lineRule="exact"/>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附件：具体标的及其技术要求和商务要求、联合协议、分包意向协议等。</w:t>
      </w:r>
    </w:p>
    <w:p w14:paraId="4B3531C6">
      <w:pPr>
        <w:spacing w:line="480" w:lineRule="exact"/>
        <w:ind w:firstLine="420"/>
        <w:rPr>
          <w:rFonts w:hint="eastAsia" w:ascii="宋体" w:hAnsi="宋体" w:eastAsia="宋体" w:cs="宋体"/>
          <w:color w:val="auto"/>
          <w:sz w:val="28"/>
          <w:szCs w:val="28"/>
          <w:highlight w:val="none"/>
        </w:rPr>
      </w:pPr>
    </w:p>
    <w:tbl>
      <w:tblPr>
        <w:tblStyle w:val="36"/>
        <w:tblW w:w="9817" w:type="dxa"/>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1499"/>
        <w:gridCol w:w="3530"/>
        <w:gridCol w:w="1377"/>
        <w:gridCol w:w="3411"/>
      </w:tblGrid>
      <w:tr w14:paraId="142999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29" w:type="dxa"/>
            <w:gridSpan w:val="2"/>
            <w:vAlign w:val="center"/>
          </w:tcPr>
          <w:p w14:paraId="1667991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w:t>
            </w:r>
          </w:p>
        </w:tc>
        <w:tc>
          <w:tcPr>
            <w:tcW w:w="4788" w:type="dxa"/>
            <w:gridSpan w:val="2"/>
            <w:vAlign w:val="center"/>
          </w:tcPr>
          <w:p w14:paraId="0089C08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乙方（供应商）</w:t>
            </w:r>
          </w:p>
        </w:tc>
      </w:tr>
      <w:tr w14:paraId="6C0AD01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499" w:type="dxa"/>
            <w:vAlign w:val="center"/>
          </w:tcPr>
          <w:p w14:paraId="43CBB9F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单位名称（公章或合同章）</w:t>
            </w:r>
          </w:p>
        </w:tc>
        <w:tc>
          <w:tcPr>
            <w:tcW w:w="3530" w:type="dxa"/>
            <w:vAlign w:val="center"/>
          </w:tcPr>
          <w:p w14:paraId="5290574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1C880D5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单位名称（公章或合同章）</w:t>
            </w:r>
          </w:p>
        </w:tc>
        <w:tc>
          <w:tcPr>
            <w:tcW w:w="3411" w:type="dxa"/>
            <w:vAlign w:val="center"/>
          </w:tcPr>
          <w:p w14:paraId="3500690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75D61E9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499" w:type="dxa"/>
            <w:vMerge w:val="restart"/>
            <w:vAlign w:val="center"/>
          </w:tcPr>
          <w:p w14:paraId="6709414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法定代表人或其委托代理人（签章）</w:t>
            </w:r>
          </w:p>
        </w:tc>
        <w:tc>
          <w:tcPr>
            <w:tcW w:w="3530" w:type="dxa"/>
            <w:vMerge w:val="restart"/>
            <w:vAlign w:val="center"/>
          </w:tcPr>
          <w:p w14:paraId="3CB017B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1250CB1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法定代表人或其委托代理人（签章）</w:t>
            </w:r>
          </w:p>
        </w:tc>
        <w:tc>
          <w:tcPr>
            <w:tcW w:w="3411" w:type="dxa"/>
            <w:vAlign w:val="center"/>
          </w:tcPr>
          <w:p w14:paraId="24676B4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21ABEB0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Merge w:val="continue"/>
            <w:vAlign w:val="center"/>
          </w:tcPr>
          <w:p w14:paraId="36C4609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3530" w:type="dxa"/>
            <w:vMerge w:val="continue"/>
            <w:vAlign w:val="center"/>
          </w:tcPr>
          <w:p w14:paraId="7F0DD47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54B04CD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拥有者性别</w:t>
            </w:r>
          </w:p>
        </w:tc>
        <w:tc>
          <w:tcPr>
            <w:tcW w:w="3411" w:type="dxa"/>
            <w:vAlign w:val="center"/>
          </w:tcPr>
          <w:p w14:paraId="15488F1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6E5E1D7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7A7662E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住所</w:t>
            </w:r>
          </w:p>
        </w:tc>
        <w:tc>
          <w:tcPr>
            <w:tcW w:w="3530" w:type="dxa"/>
            <w:vAlign w:val="center"/>
          </w:tcPr>
          <w:p w14:paraId="36DD13A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5CBDF4B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住所</w:t>
            </w:r>
          </w:p>
        </w:tc>
        <w:tc>
          <w:tcPr>
            <w:tcW w:w="3411" w:type="dxa"/>
            <w:vAlign w:val="center"/>
          </w:tcPr>
          <w:p w14:paraId="68CB7C6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1671FBD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06A7C14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p>
        </w:tc>
        <w:tc>
          <w:tcPr>
            <w:tcW w:w="3530" w:type="dxa"/>
            <w:vAlign w:val="center"/>
          </w:tcPr>
          <w:p w14:paraId="26C035D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60BAABE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p>
        </w:tc>
        <w:tc>
          <w:tcPr>
            <w:tcW w:w="3411" w:type="dxa"/>
            <w:vAlign w:val="center"/>
          </w:tcPr>
          <w:p w14:paraId="63650D8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12D7421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1C6BECC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p>
        </w:tc>
        <w:tc>
          <w:tcPr>
            <w:tcW w:w="3530" w:type="dxa"/>
            <w:vAlign w:val="center"/>
          </w:tcPr>
          <w:p w14:paraId="17C6F12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24DA84F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p>
        </w:tc>
        <w:tc>
          <w:tcPr>
            <w:tcW w:w="3411" w:type="dxa"/>
            <w:vAlign w:val="center"/>
          </w:tcPr>
          <w:p w14:paraId="3A4AD19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2537C3F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26D26EA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通信地址</w:t>
            </w:r>
          </w:p>
        </w:tc>
        <w:tc>
          <w:tcPr>
            <w:tcW w:w="3530" w:type="dxa"/>
            <w:vAlign w:val="center"/>
          </w:tcPr>
          <w:p w14:paraId="2E16A38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161A311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通信地址</w:t>
            </w:r>
          </w:p>
        </w:tc>
        <w:tc>
          <w:tcPr>
            <w:tcW w:w="3411" w:type="dxa"/>
            <w:vAlign w:val="center"/>
          </w:tcPr>
          <w:p w14:paraId="07D0F84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2124CE2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4BABDFC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邮政编码</w:t>
            </w:r>
          </w:p>
        </w:tc>
        <w:tc>
          <w:tcPr>
            <w:tcW w:w="3530" w:type="dxa"/>
            <w:vAlign w:val="center"/>
          </w:tcPr>
          <w:p w14:paraId="3FBB36C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53061D8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邮政编码</w:t>
            </w:r>
          </w:p>
        </w:tc>
        <w:tc>
          <w:tcPr>
            <w:tcW w:w="3411" w:type="dxa"/>
            <w:vAlign w:val="center"/>
          </w:tcPr>
          <w:p w14:paraId="7A770F5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10707CF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7AC9770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电子邮箱</w:t>
            </w:r>
          </w:p>
        </w:tc>
        <w:tc>
          <w:tcPr>
            <w:tcW w:w="3530" w:type="dxa"/>
            <w:vAlign w:val="center"/>
          </w:tcPr>
          <w:p w14:paraId="1D4529C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6BD4340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电子邮箱</w:t>
            </w:r>
          </w:p>
        </w:tc>
        <w:tc>
          <w:tcPr>
            <w:tcW w:w="3411" w:type="dxa"/>
            <w:vAlign w:val="center"/>
          </w:tcPr>
          <w:p w14:paraId="77FC052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088E278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2F37152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统一社会信用代码</w:t>
            </w:r>
          </w:p>
        </w:tc>
        <w:tc>
          <w:tcPr>
            <w:tcW w:w="3530" w:type="dxa"/>
            <w:vAlign w:val="center"/>
          </w:tcPr>
          <w:p w14:paraId="0AD7936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0F8C7BD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统一社会信用代码</w:t>
            </w:r>
          </w:p>
        </w:tc>
        <w:tc>
          <w:tcPr>
            <w:tcW w:w="3411" w:type="dxa"/>
            <w:vAlign w:val="center"/>
          </w:tcPr>
          <w:p w14:paraId="6B2959C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1332128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14CC611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3530" w:type="dxa"/>
            <w:vAlign w:val="center"/>
          </w:tcPr>
          <w:p w14:paraId="09EF606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2689146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开户名称</w:t>
            </w:r>
          </w:p>
        </w:tc>
        <w:tc>
          <w:tcPr>
            <w:tcW w:w="3411" w:type="dxa"/>
            <w:vAlign w:val="center"/>
          </w:tcPr>
          <w:p w14:paraId="11CA20A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313734D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0B0EEF7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3530" w:type="dxa"/>
            <w:vAlign w:val="center"/>
          </w:tcPr>
          <w:p w14:paraId="0CA1567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0AAF5DB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p>
        </w:tc>
        <w:tc>
          <w:tcPr>
            <w:tcW w:w="3411" w:type="dxa"/>
            <w:vAlign w:val="center"/>
          </w:tcPr>
          <w:p w14:paraId="4C10A1E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r w14:paraId="2D1B674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499" w:type="dxa"/>
            <w:vAlign w:val="center"/>
          </w:tcPr>
          <w:p w14:paraId="1B4D3C5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3530" w:type="dxa"/>
            <w:vAlign w:val="center"/>
          </w:tcPr>
          <w:p w14:paraId="456E051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377" w:type="dxa"/>
            <w:vAlign w:val="center"/>
          </w:tcPr>
          <w:p w14:paraId="2378C67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银行账号</w:t>
            </w:r>
          </w:p>
        </w:tc>
        <w:tc>
          <w:tcPr>
            <w:tcW w:w="3411" w:type="dxa"/>
            <w:vAlign w:val="center"/>
          </w:tcPr>
          <w:p w14:paraId="4B52FEA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20"/>
                <w:sz w:val="28"/>
                <w:szCs w:val="28"/>
                <w:highlight w:val="none"/>
              </w:rPr>
            </w:pPr>
          </w:p>
        </w:tc>
      </w:tr>
    </w:tbl>
    <w:p w14:paraId="55DC8F3C">
      <w:pPr>
        <w:spacing w:line="480" w:lineRule="exact"/>
        <w:jc w:val="left"/>
        <w:rPr>
          <w:rFonts w:eastAsia="方正仿宋_GBK"/>
          <w:color w:val="auto"/>
          <w:sz w:val="28"/>
          <w:szCs w:val="28"/>
          <w:highlight w:val="none"/>
        </w:rPr>
      </w:pPr>
      <w:r>
        <w:rPr>
          <w:rFonts w:hint="eastAsia" w:ascii="方正仿宋_GBK" w:hAnsi="方正仿宋_GBK" w:eastAsia="方正仿宋_GBK" w:cs="方正仿宋_GBK"/>
          <w:color w:val="auto"/>
          <w:sz w:val="21"/>
          <w:szCs w:val="21"/>
          <w:highlight w:val="none"/>
          <w:u w:val="single"/>
          <w:lang w:eastAsia="zh-CN"/>
        </w:rPr>
        <w:br w:type="page" w:clear="all"/>
      </w:r>
    </w:p>
    <w:p w14:paraId="4FA6A6CA">
      <w:pPr>
        <w:rPr>
          <w:rFonts w:eastAsia="方正仿宋_GBK"/>
          <w:color w:val="auto"/>
          <w:sz w:val="28"/>
          <w:szCs w:val="28"/>
          <w:highlight w:val="none"/>
        </w:rPr>
      </w:pPr>
    </w:p>
    <w:p w14:paraId="3221FE33">
      <w:pPr>
        <w:rPr>
          <w:color w:val="auto"/>
          <w:highlight w:val="none"/>
        </w:rPr>
      </w:pPr>
    </w:p>
    <w:p w14:paraId="51CC5282">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合同附件：投标分项报价表</w:t>
      </w:r>
    </w:p>
    <w:tbl>
      <w:tblPr>
        <w:tblStyle w:val="36"/>
        <w:tblW w:w="103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5"/>
        <w:gridCol w:w="958"/>
        <w:gridCol w:w="1440"/>
        <w:gridCol w:w="855"/>
        <w:gridCol w:w="1380"/>
        <w:gridCol w:w="900"/>
        <w:gridCol w:w="870"/>
        <w:gridCol w:w="900"/>
        <w:gridCol w:w="1320"/>
        <w:gridCol w:w="977"/>
      </w:tblGrid>
      <w:tr w14:paraId="3BE4D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jc w:val="center"/>
        </w:trPr>
        <w:tc>
          <w:tcPr>
            <w:tcW w:w="765" w:type="dxa"/>
            <w:tcMar>
              <w:top w:w="57" w:type="dxa"/>
              <w:left w:w="57" w:type="dxa"/>
              <w:bottom w:w="57" w:type="dxa"/>
              <w:right w:w="57" w:type="dxa"/>
            </w:tcMar>
            <w:vAlign w:val="center"/>
          </w:tcPr>
          <w:p w14:paraId="145AFB2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2398" w:type="dxa"/>
            <w:gridSpan w:val="2"/>
            <w:tcMar>
              <w:top w:w="57" w:type="dxa"/>
              <w:left w:w="57" w:type="dxa"/>
              <w:bottom w:w="57" w:type="dxa"/>
              <w:right w:w="57" w:type="dxa"/>
            </w:tcMar>
            <w:vAlign w:val="center"/>
          </w:tcPr>
          <w:p w14:paraId="15F884E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产品名称</w:t>
            </w:r>
          </w:p>
        </w:tc>
        <w:tc>
          <w:tcPr>
            <w:tcW w:w="855" w:type="dxa"/>
            <w:tcMar>
              <w:top w:w="57" w:type="dxa"/>
              <w:left w:w="57" w:type="dxa"/>
              <w:bottom w:w="57" w:type="dxa"/>
              <w:right w:w="57" w:type="dxa"/>
            </w:tcMar>
            <w:vAlign w:val="center"/>
          </w:tcPr>
          <w:p w14:paraId="619CE1E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品牌</w:t>
            </w:r>
          </w:p>
        </w:tc>
        <w:tc>
          <w:tcPr>
            <w:tcW w:w="1380" w:type="dxa"/>
            <w:tcMar>
              <w:top w:w="57" w:type="dxa"/>
              <w:left w:w="57" w:type="dxa"/>
              <w:bottom w:w="57" w:type="dxa"/>
              <w:right w:w="57" w:type="dxa"/>
            </w:tcMar>
            <w:vAlign w:val="center"/>
          </w:tcPr>
          <w:p w14:paraId="3877B9D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规格型号</w:t>
            </w:r>
          </w:p>
        </w:tc>
        <w:tc>
          <w:tcPr>
            <w:tcW w:w="900" w:type="dxa"/>
            <w:tcMar>
              <w:top w:w="57" w:type="dxa"/>
              <w:left w:w="57" w:type="dxa"/>
              <w:bottom w:w="57" w:type="dxa"/>
              <w:right w:w="57" w:type="dxa"/>
            </w:tcMar>
            <w:vAlign w:val="center"/>
          </w:tcPr>
          <w:p w14:paraId="4D085D3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产地</w:t>
            </w:r>
          </w:p>
        </w:tc>
        <w:tc>
          <w:tcPr>
            <w:tcW w:w="870" w:type="dxa"/>
            <w:tcMar>
              <w:top w:w="57" w:type="dxa"/>
              <w:left w:w="57" w:type="dxa"/>
              <w:bottom w:w="57" w:type="dxa"/>
              <w:right w:w="57" w:type="dxa"/>
            </w:tcMar>
            <w:vAlign w:val="center"/>
          </w:tcPr>
          <w:p w14:paraId="4AECFEBC">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生产厂家</w:t>
            </w:r>
          </w:p>
        </w:tc>
        <w:tc>
          <w:tcPr>
            <w:tcW w:w="900" w:type="dxa"/>
            <w:tcMar>
              <w:top w:w="57" w:type="dxa"/>
              <w:left w:w="57" w:type="dxa"/>
              <w:bottom w:w="57" w:type="dxa"/>
              <w:right w:w="57" w:type="dxa"/>
            </w:tcMar>
            <w:vAlign w:val="center"/>
          </w:tcPr>
          <w:p w14:paraId="3DCBD54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数量</w:t>
            </w:r>
          </w:p>
        </w:tc>
        <w:tc>
          <w:tcPr>
            <w:tcW w:w="1320" w:type="dxa"/>
            <w:tcMar>
              <w:top w:w="57" w:type="dxa"/>
              <w:left w:w="57" w:type="dxa"/>
              <w:bottom w:w="57" w:type="dxa"/>
              <w:right w:w="57" w:type="dxa"/>
            </w:tcMar>
            <w:vAlign w:val="center"/>
          </w:tcPr>
          <w:p w14:paraId="536C495B">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分项单价</w:t>
            </w:r>
          </w:p>
          <w:p w14:paraId="684021D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（元）</w:t>
            </w:r>
          </w:p>
        </w:tc>
        <w:tc>
          <w:tcPr>
            <w:tcW w:w="977" w:type="dxa"/>
            <w:tcMar>
              <w:top w:w="57" w:type="dxa"/>
              <w:left w:w="57" w:type="dxa"/>
              <w:bottom w:w="57" w:type="dxa"/>
              <w:right w:w="57" w:type="dxa"/>
            </w:tcMar>
            <w:vAlign w:val="center"/>
          </w:tcPr>
          <w:p w14:paraId="71660D6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分项总价</w:t>
            </w:r>
          </w:p>
          <w:p w14:paraId="289F658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（元）</w:t>
            </w:r>
          </w:p>
        </w:tc>
      </w:tr>
      <w:tr w14:paraId="48B30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9" w:hRule="atLeast"/>
          <w:jc w:val="center"/>
        </w:trPr>
        <w:tc>
          <w:tcPr>
            <w:tcW w:w="765" w:type="dxa"/>
            <w:tcBorders>
              <w:bottom w:val="single" w:color="auto" w:sz="4" w:space="0"/>
            </w:tcBorders>
            <w:tcMar>
              <w:top w:w="57" w:type="dxa"/>
              <w:left w:w="57" w:type="dxa"/>
              <w:bottom w:w="57" w:type="dxa"/>
              <w:right w:w="57" w:type="dxa"/>
            </w:tcMar>
            <w:vAlign w:val="center"/>
          </w:tcPr>
          <w:p w14:paraId="53A50508">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958" w:type="dxa"/>
            <w:tcBorders>
              <w:bottom w:val="single" w:color="auto" w:sz="4" w:space="0"/>
            </w:tcBorders>
            <w:tcMar>
              <w:top w:w="57" w:type="dxa"/>
              <w:left w:w="57" w:type="dxa"/>
              <w:bottom w:w="57" w:type="dxa"/>
              <w:right w:w="57" w:type="dxa"/>
            </w:tcMar>
            <w:vAlign w:val="center"/>
          </w:tcPr>
          <w:p w14:paraId="31CCE332">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产品1</w:t>
            </w:r>
          </w:p>
        </w:tc>
        <w:tc>
          <w:tcPr>
            <w:tcW w:w="1440" w:type="dxa"/>
            <w:tcMar>
              <w:top w:w="57" w:type="dxa"/>
              <w:left w:w="57" w:type="dxa"/>
              <w:bottom w:w="57" w:type="dxa"/>
              <w:right w:w="57" w:type="dxa"/>
            </w:tcMar>
            <w:vAlign w:val="center"/>
          </w:tcPr>
          <w:p w14:paraId="4445363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长餐桌</w:t>
            </w:r>
          </w:p>
        </w:tc>
        <w:tc>
          <w:tcPr>
            <w:tcW w:w="855" w:type="dxa"/>
            <w:tcMar>
              <w:top w:w="57" w:type="dxa"/>
              <w:left w:w="57" w:type="dxa"/>
              <w:bottom w:w="57" w:type="dxa"/>
              <w:right w:w="57" w:type="dxa"/>
            </w:tcMar>
            <w:vAlign w:val="center"/>
          </w:tcPr>
          <w:p w14:paraId="1BFD9A4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0D5E3D2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26069CF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7495FB5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029680D7">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240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19A614F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4242619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3DC77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9" w:hRule="atLeast"/>
          <w:jc w:val="center"/>
        </w:trPr>
        <w:tc>
          <w:tcPr>
            <w:tcW w:w="765" w:type="dxa"/>
            <w:tcBorders>
              <w:top w:val="single" w:color="auto" w:sz="4" w:space="0"/>
            </w:tcBorders>
            <w:tcMar>
              <w:top w:w="57" w:type="dxa"/>
              <w:left w:w="57" w:type="dxa"/>
              <w:bottom w:w="57" w:type="dxa"/>
              <w:right w:w="57" w:type="dxa"/>
            </w:tcMar>
            <w:vAlign w:val="center"/>
          </w:tcPr>
          <w:p w14:paraId="5C5FC37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p>
        </w:tc>
        <w:tc>
          <w:tcPr>
            <w:tcW w:w="958" w:type="dxa"/>
            <w:tcBorders>
              <w:top w:val="single" w:color="auto" w:sz="4" w:space="0"/>
            </w:tcBorders>
            <w:tcMar>
              <w:top w:w="57" w:type="dxa"/>
              <w:left w:w="57" w:type="dxa"/>
              <w:bottom w:w="57" w:type="dxa"/>
              <w:right w:w="57" w:type="dxa"/>
            </w:tcMar>
            <w:vAlign w:val="center"/>
          </w:tcPr>
          <w:p w14:paraId="2460A703">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产品2</w:t>
            </w:r>
          </w:p>
        </w:tc>
        <w:tc>
          <w:tcPr>
            <w:tcW w:w="1440" w:type="dxa"/>
            <w:tcMar>
              <w:top w:w="57" w:type="dxa"/>
              <w:left w:w="57" w:type="dxa"/>
              <w:bottom w:w="57" w:type="dxa"/>
              <w:right w:w="57" w:type="dxa"/>
            </w:tcMar>
            <w:vAlign w:val="center"/>
          </w:tcPr>
          <w:p w14:paraId="6246151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椅子</w:t>
            </w:r>
          </w:p>
        </w:tc>
        <w:tc>
          <w:tcPr>
            <w:tcW w:w="855" w:type="dxa"/>
            <w:tcMar>
              <w:top w:w="57" w:type="dxa"/>
              <w:left w:w="57" w:type="dxa"/>
              <w:bottom w:w="57" w:type="dxa"/>
              <w:right w:w="57" w:type="dxa"/>
            </w:tcMar>
            <w:vAlign w:val="center"/>
          </w:tcPr>
          <w:p w14:paraId="0C2F181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6A92342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55E7EA4C">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062BA24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5B3A62BA">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960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794BA878">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3265519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67BA6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765" w:type="dxa"/>
            <w:tcBorders>
              <w:bottom w:val="single" w:color="auto" w:sz="4" w:space="0"/>
            </w:tcBorders>
            <w:tcMar>
              <w:top w:w="57" w:type="dxa"/>
              <w:left w:w="57" w:type="dxa"/>
              <w:bottom w:w="57" w:type="dxa"/>
              <w:right w:w="57" w:type="dxa"/>
            </w:tcMar>
            <w:vAlign w:val="center"/>
          </w:tcPr>
          <w:p w14:paraId="77C08B1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3</w:t>
            </w:r>
          </w:p>
        </w:tc>
        <w:tc>
          <w:tcPr>
            <w:tcW w:w="958" w:type="dxa"/>
            <w:tcBorders>
              <w:bottom w:val="single" w:color="auto" w:sz="4" w:space="0"/>
            </w:tcBorders>
            <w:tcMar>
              <w:top w:w="57" w:type="dxa"/>
              <w:left w:w="57" w:type="dxa"/>
              <w:bottom w:w="57" w:type="dxa"/>
              <w:right w:w="57" w:type="dxa"/>
            </w:tcMar>
            <w:vAlign w:val="center"/>
          </w:tcPr>
          <w:p w14:paraId="5AD2409B">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产品3</w:t>
            </w:r>
          </w:p>
        </w:tc>
        <w:tc>
          <w:tcPr>
            <w:tcW w:w="1440" w:type="dxa"/>
            <w:tcMar>
              <w:top w:w="57" w:type="dxa"/>
              <w:left w:w="57" w:type="dxa"/>
              <w:bottom w:w="57" w:type="dxa"/>
              <w:right w:w="57" w:type="dxa"/>
            </w:tcMar>
            <w:vAlign w:val="center"/>
          </w:tcPr>
          <w:p w14:paraId="119D04E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圆</w:t>
            </w:r>
            <w:r>
              <w:rPr>
                <w:rFonts w:hint="eastAsia" w:ascii="宋体" w:hAnsi="宋体" w:eastAsia="宋体" w:cs="宋体"/>
                <w:color w:val="auto"/>
                <w:sz w:val="28"/>
                <w:szCs w:val="28"/>
                <w:highlight w:val="none"/>
              </w:rPr>
              <w:t>餐桌</w:t>
            </w:r>
          </w:p>
        </w:tc>
        <w:tc>
          <w:tcPr>
            <w:tcW w:w="855" w:type="dxa"/>
            <w:tcMar>
              <w:top w:w="57" w:type="dxa"/>
              <w:left w:w="57" w:type="dxa"/>
              <w:bottom w:w="57" w:type="dxa"/>
              <w:right w:w="57" w:type="dxa"/>
            </w:tcMar>
            <w:vAlign w:val="center"/>
          </w:tcPr>
          <w:p w14:paraId="08E2EB8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09BBDF2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36D4AA6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5479603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415B32F2">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80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0AF5D16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1AF0343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55142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765" w:type="dxa"/>
            <w:tcBorders>
              <w:top w:val="single" w:color="auto" w:sz="4" w:space="0"/>
              <w:bottom w:val="single" w:color="auto" w:sz="4" w:space="0"/>
            </w:tcBorders>
            <w:tcMar>
              <w:top w:w="57" w:type="dxa"/>
              <w:left w:w="57" w:type="dxa"/>
              <w:bottom w:w="57" w:type="dxa"/>
              <w:right w:w="57" w:type="dxa"/>
            </w:tcMar>
            <w:vAlign w:val="center"/>
          </w:tcPr>
          <w:p w14:paraId="41C02FA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p>
        </w:tc>
        <w:tc>
          <w:tcPr>
            <w:tcW w:w="958" w:type="dxa"/>
            <w:tcBorders>
              <w:top w:val="single" w:color="auto" w:sz="4" w:space="0"/>
              <w:bottom w:val="single" w:color="auto" w:sz="4" w:space="0"/>
            </w:tcBorders>
            <w:tcMar>
              <w:top w:w="57" w:type="dxa"/>
              <w:left w:w="57" w:type="dxa"/>
              <w:bottom w:w="57" w:type="dxa"/>
              <w:right w:w="57" w:type="dxa"/>
            </w:tcMar>
            <w:vAlign w:val="center"/>
          </w:tcPr>
          <w:p w14:paraId="74BDDB0C">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产品4</w:t>
            </w:r>
          </w:p>
        </w:tc>
        <w:tc>
          <w:tcPr>
            <w:tcW w:w="1440" w:type="dxa"/>
            <w:tcMar>
              <w:top w:w="57" w:type="dxa"/>
              <w:left w:w="57" w:type="dxa"/>
              <w:bottom w:w="57" w:type="dxa"/>
              <w:right w:w="57" w:type="dxa"/>
            </w:tcMar>
            <w:vAlign w:val="center"/>
          </w:tcPr>
          <w:p w14:paraId="6DCC9B1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椅子</w:t>
            </w:r>
          </w:p>
        </w:tc>
        <w:tc>
          <w:tcPr>
            <w:tcW w:w="855" w:type="dxa"/>
            <w:tcMar>
              <w:top w:w="57" w:type="dxa"/>
              <w:left w:w="57" w:type="dxa"/>
              <w:bottom w:w="57" w:type="dxa"/>
              <w:right w:w="57" w:type="dxa"/>
            </w:tcMar>
            <w:vAlign w:val="center"/>
          </w:tcPr>
          <w:p w14:paraId="7BFFC9F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67F246AB">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2433829B">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4B3640C2">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58849166">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640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035B8779">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7615F60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252DA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jc w:val="center"/>
        </w:trPr>
        <w:tc>
          <w:tcPr>
            <w:tcW w:w="765" w:type="dxa"/>
            <w:tcBorders>
              <w:top w:val="single" w:color="auto" w:sz="4" w:space="0"/>
            </w:tcBorders>
            <w:tcMar>
              <w:top w:w="57" w:type="dxa"/>
              <w:left w:w="57" w:type="dxa"/>
              <w:bottom w:w="57" w:type="dxa"/>
              <w:right w:w="57" w:type="dxa"/>
            </w:tcMar>
            <w:vAlign w:val="center"/>
          </w:tcPr>
          <w:p w14:paraId="7C1D7BBB">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w:t>
            </w:r>
          </w:p>
        </w:tc>
        <w:tc>
          <w:tcPr>
            <w:tcW w:w="958" w:type="dxa"/>
            <w:tcBorders>
              <w:top w:val="single" w:color="auto" w:sz="4" w:space="0"/>
            </w:tcBorders>
            <w:tcMar>
              <w:top w:w="57" w:type="dxa"/>
              <w:left w:w="57" w:type="dxa"/>
              <w:bottom w:w="57" w:type="dxa"/>
              <w:right w:w="57" w:type="dxa"/>
            </w:tcMar>
            <w:vAlign w:val="center"/>
          </w:tcPr>
          <w:p w14:paraId="20A31ACD">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产品5</w:t>
            </w:r>
          </w:p>
        </w:tc>
        <w:tc>
          <w:tcPr>
            <w:tcW w:w="1440" w:type="dxa"/>
            <w:tcMar>
              <w:top w:w="57" w:type="dxa"/>
              <w:left w:w="57" w:type="dxa"/>
              <w:bottom w:w="57" w:type="dxa"/>
              <w:right w:w="57" w:type="dxa"/>
            </w:tcMar>
            <w:vAlign w:val="center"/>
          </w:tcPr>
          <w:p w14:paraId="0BFB88D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圆桌配套钢化玻璃</w:t>
            </w:r>
          </w:p>
        </w:tc>
        <w:tc>
          <w:tcPr>
            <w:tcW w:w="855" w:type="dxa"/>
            <w:tcMar>
              <w:top w:w="57" w:type="dxa"/>
              <w:left w:w="57" w:type="dxa"/>
              <w:bottom w:w="57" w:type="dxa"/>
              <w:right w:w="57" w:type="dxa"/>
            </w:tcMar>
            <w:vAlign w:val="center"/>
          </w:tcPr>
          <w:p w14:paraId="5D52A84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6F874D3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74F6F14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64FC0C3C">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2A0290C7">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80张</w:t>
            </w:r>
          </w:p>
        </w:tc>
        <w:tc>
          <w:tcPr>
            <w:tcW w:w="1320" w:type="dxa"/>
            <w:tcMar>
              <w:top w:w="57" w:type="dxa"/>
              <w:left w:w="57" w:type="dxa"/>
              <w:bottom w:w="57" w:type="dxa"/>
              <w:right w:w="57" w:type="dxa"/>
            </w:tcMar>
            <w:vAlign w:val="center"/>
          </w:tcPr>
          <w:p w14:paraId="45FC9CE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4AB4649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7E1AE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jc w:val="center"/>
        </w:trPr>
        <w:tc>
          <w:tcPr>
            <w:tcW w:w="765" w:type="dxa"/>
            <w:tcMar>
              <w:top w:w="57" w:type="dxa"/>
              <w:left w:w="57" w:type="dxa"/>
              <w:bottom w:w="57" w:type="dxa"/>
              <w:right w:w="57" w:type="dxa"/>
            </w:tcMar>
            <w:vAlign w:val="center"/>
          </w:tcPr>
          <w:p w14:paraId="00270242">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6</w:t>
            </w:r>
          </w:p>
        </w:tc>
        <w:tc>
          <w:tcPr>
            <w:tcW w:w="2398" w:type="dxa"/>
            <w:gridSpan w:val="2"/>
            <w:tcMar>
              <w:top w:w="57" w:type="dxa"/>
              <w:left w:w="57" w:type="dxa"/>
              <w:bottom w:w="57" w:type="dxa"/>
              <w:right w:w="57" w:type="dxa"/>
            </w:tcMar>
            <w:vAlign w:val="center"/>
          </w:tcPr>
          <w:p w14:paraId="42E2BD96">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其他</w:t>
            </w:r>
          </w:p>
        </w:tc>
        <w:tc>
          <w:tcPr>
            <w:tcW w:w="855" w:type="dxa"/>
            <w:tcMar>
              <w:top w:w="57" w:type="dxa"/>
              <w:left w:w="57" w:type="dxa"/>
              <w:bottom w:w="57" w:type="dxa"/>
              <w:right w:w="57" w:type="dxa"/>
            </w:tcMar>
            <w:vAlign w:val="center"/>
          </w:tcPr>
          <w:p w14:paraId="20E5EEB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2AFD050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2AF8F0F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003EFEA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27AFD36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20" w:type="dxa"/>
            <w:tcMar>
              <w:top w:w="57" w:type="dxa"/>
              <w:left w:w="57" w:type="dxa"/>
              <w:bottom w:w="57" w:type="dxa"/>
              <w:right w:w="57" w:type="dxa"/>
            </w:tcMar>
            <w:vAlign w:val="center"/>
          </w:tcPr>
          <w:p w14:paraId="20903C1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066A886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6B737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6" w:hRule="atLeast"/>
          <w:jc w:val="center"/>
        </w:trPr>
        <w:tc>
          <w:tcPr>
            <w:tcW w:w="3163" w:type="dxa"/>
            <w:gridSpan w:val="3"/>
            <w:tcMar>
              <w:top w:w="57" w:type="dxa"/>
              <w:left w:w="57" w:type="dxa"/>
              <w:bottom w:w="57" w:type="dxa"/>
              <w:right w:w="57" w:type="dxa"/>
            </w:tcMar>
            <w:vAlign w:val="center"/>
          </w:tcPr>
          <w:p w14:paraId="35A94DE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合同总金额</w:t>
            </w:r>
            <w:r>
              <w:rPr>
                <w:rFonts w:hint="eastAsia" w:ascii="宋体" w:hAnsi="宋体" w:eastAsia="宋体" w:cs="宋体"/>
                <w:color w:val="auto"/>
                <w:sz w:val="28"/>
                <w:szCs w:val="28"/>
                <w:highlight w:val="none"/>
              </w:rPr>
              <w:t>（元）</w:t>
            </w:r>
          </w:p>
        </w:tc>
        <w:tc>
          <w:tcPr>
            <w:tcW w:w="7202" w:type="dxa"/>
            <w:gridSpan w:val="7"/>
            <w:tcMar>
              <w:top w:w="57" w:type="dxa"/>
              <w:left w:w="57" w:type="dxa"/>
              <w:bottom w:w="57" w:type="dxa"/>
              <w:right w:w="57" w:type="dxa"/>
            </w:tcMar>
            <w:vAlign w:val="center"/>
          </w:tcPr>
          <w:p w14:paraId="33EA3D70">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大写：</w:t>
            </w:r>
            <w:r>
              <w:rPr>
                <w:rFonts w:hint="eastAsia" w:ascii="宋体" w:hAnsi="宋体" w:eastAsia="宋体" w:cs="宋体"/>
                <w:color w:val="auto"/>
                <w:sz w:val="28"/>
                <w:szCs w:val="28"/>
                <w:highlight w:val="none"/>
                <w:lang w:val="en-US" w:eastAsia="zh-CN"/>
              </w:rPr>
              <w:t>小写：</w:t>
            </w:r>
          </w:p>
        </w:tc>
      </w:tr>
    </w:tbl>
    <w:p w14:paraId="7E6B07F7">
      <w:pPr>
        <w:spacing w:line="460" w:lineRule="exact"/>
        <w:jc w:val="left"/>
        <w:rPr>
          <w:rFonts w:hint="eastAsia" w:ascii="宋体" w:hAnsi="宋体" w:cs="宋体"/>
          <w:bCs/>
          <w:color w:val="auto"/>
          <w:sz w:val="24"/>
          <w:highlight w:val="none"/>
        </w:rPr>
      </w:pPr>
    </w:p>
    <w:p w14:paraId="78475C29">
      <w:pPr>
        <w:pStyle w:val="45"/>
        <w:rPr>
          <w:rFonts w:ascii="宋体" w:hAnsi="宋体" w:cs="宋体"/>
          <w:color w:val="auto"/>
          <w:highlight w:val="none"/>
        </w:rPr>
      </w:pPr>
      <w:r>
        <w:rPr>
          <w:rFonts w:ascii="宋体" w:hAnsi="宋体" w:cs="宋体"/>
          <w:bCs/>
          <w:color w:val="auto"/>
          <w:highlight w:val="none"/>
        </w:rPr>
        <w:br w:type="page"/>
      </w:r>
    </w:p>
    <w:p w14:paraId="052C9111">
      <w:pPr>
        <w:spacing w:line="500" w:lineRule="exact"/>
        <w:contextualSpacing/>
        <w:jc w:val="center"/>
        <w:rPr>
          <w:rFonts w:hint="eastAsia" w:ascii="宋体" w:hAnsi="宋体" w:cs="宋体"/>
          <w:b/>
          <w:color w:val="auto"/>
          <w:kern w:val="2"/>
          <w:sz w:val="28"/>
          <w:szCs w:val="28"/>
          <w:highlight w:val="none"/>
        </w:rPr>
      </w:pPr>
      <w:r>
        <w:rPr>
          <w:rFonts w:hint="eastAsia" w:ascii="宋体" w:hAnsi="宋体" w:cs="宋体"/>
          <w:b/>
          <w:color w:val="auto"/>
          <w:sz w:val="36"/>
          <w:szCs w:val="36"/>
          <w:highlight w:val="none"/>
        </w:rPr>
        <w:t>第四部分开标和评标</w:t>
      </w:r>
    </w:p>
    <w:p w14:paraId="79E24D8E">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一、开标</w:t>
      </w:r>
    </w:p>
    <w:p w14:paraId="18736D00">
      <w:pPr>
        <w:tabs>
          <w:tab w:val="left" w:pos="3585"/>
        </w:tabs>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见面开标模式：投标人在指定地点参加开标会。</w:t>
      </w:r>
    </w:p>
    <w:p w14:paraId="2D3D2FD7">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二、评标流程和评标标准</w:t>
      </w:r>
    </w:p>
    <w:p w14:paraId="7ECDECC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采用综合评分法。分资格审查、商务技术文件、价格文件、三部分评审，总分值为100分，加分和减分因素除外。</w:t>
      </w:r>
    </w:p>
    <w:p w14:paraId="3BB3B71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文件评审结束后，进行价格文件的评审。投标人商务、技术部分和价格部分的合计分值，为该投标人的评标总得分。</w:t>
      </w:r>
    </w:p>
    <w:p w14:paraId="6E023CC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6CCC555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评委在认真审阅投标文件的基础上，根据各投标文件的响应程度独立评判，不得统一打分。</w:t>
      </w:r>
    </w:p>
    <w:p w14:paraId="52D499DA">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（一）采购人（代表）对投标人资格进行审查。</w:t>
      </w:r>
    </w:p>
    <w:p w14:paraId="4C4DA4EC">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投标人资格不合格的，其投标文件判定为无效投标文件。</w:t>
      </w:r>
    </w:p>
    <w:p w14:paraId="1E010B60">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（二）评标委员会对符合资格投标人的投标文件进行符合性审查。</w:t>
      </w:r>
    </w:p>
    <w:p w14:paraId="234A5CD7">
      <w:pPr>
        <w:pStyle w:val="93"/>
        <w:adjustRightInd w:val="0"/>
        <w:snapToGrid w:val="0"/>
        <w:spacing w:line="520" w:lineRule="exact"/>
        <w:ind w:firstLine="560" w:firstLineChars="200"/>
        <w:rPr>
          <w:rFonts w:hint="eastAsia" w:ascii="宋体" w:eastAsia="宋体" w:cs="宋体"/>
          <w:color w:val="auto"/>
          <w:sz w:val="28"/>
          <w:highlight w:val="none"/>
          <w:lang w:eastAsia="zh-CN"/>
        </w:rPr>
      </w:pPr>
      <w:r>
        <w:rPr>
          <w:rFonts w:hint="eastAsia" w:ascii="宋体" w:eastAsia="宋体" w:cs="宋体"/>
          <w:color w:val="auto"/>
          <w:sz w:val="28"/>
          <w:highlight w:val="none"/>
        </w:rPr>
        <w:t>未通过符合性审查的投标文件，将被判定为不满足招标文件实质性要求。</w:t>
      </w:r>
    </w:p>
    <w:p w14:paraId="137715A6">
      <w:pPr>
        <w:adjustRightInd w:val="0"/>
        <w:snapToGrid w:val="0"/>
        <w:spacing w:line="520" w:lineRule="exact"/>
        <w:ind w:firstLine="562" w:firstLineChars="200"/>
        <w:jc w:val="left"/>
        <w:rPr>
          <w:rFonts w:hint="eastAsia" w:ascii="宋体" w:hAnsi="宋体" w:cs="宋体"/>
          <w:color w:val="auto"/>
          <w:kern w:val="0"/>
          <w:sz w:val="28"/>
          <w:szCs w:val="28"/>
          <w:highlight w:val="none"/>
          <w:lang w:bidi="ar"/>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三</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商务技术分</w:t>
      </w:r>
      <w:r>
        <w:rPr>
          <w:rFonts w:hint="eastAsia" w:ascii="宋体" w:hAnsi="宋体" w:cs="宋体"/>
          <w:color w:val="auto"/>
          <w:kern w:val="0"/>
          <w:sz w:val="28"/>
          <w:szCs w:val="28"/>
          <w:highlight w:val="none"/>
          <w:lang w:bidi="ar"/>
        </w:rPr>
        <w:t>：</w:t>
      </w:r>
      <w:r>
        <w:rPr>
          <w:rFonts w:hint="eastAsia" w:ascii="宋体" w:hAnsi="宋体" w:cs="宋体"/>
          <w:color w:val="auto"/>
          <w:kern w:val="0"/>
          <w:sz w:val="28"/>
          <w:szCs w:val="28"/>
          <w:highlight w:val="none"/>
          <w:lang w:val="en-US" w:eastAsia="zh-CN" w:bidi="ar"/>
        </w:rPr>
        <w:t>55</w:t>
      </w:r>
      <w:r>
        <w:rPr>
          <w:rFonts w:hint="eastAsia" w:ascii="宋体" w:hAnsi="宋体" w:cs="宋体"/>
          <w:color w:val="auto"/>
          <w:kern w:val="0"/>
          <w:sz w:val="28"/>
          <w:szCs w:val="28"/>
          <w:highlight w:val="none"/>
          <w:lang w:bidi="ar"/>
        </w:rPr>
        <w:t>分</w:t>
      </w:r>
    </w:p>
    <w:p w14:paraId="538A42DD">
      <w:pPr>
        <w:autoSpaceDE w:val="0"/>
        <w:autoSpaceDN w:val="0"/>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各投标人得分为评委会成员评分的算术平均分，分值保留小数点后两位。</w:t>
      </w:r>
    </w:p>
    <w:tbl>
      <w:tblPr>
        <w:tblStyle w:val="36"/>
        <w:tblW w:w="99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843"/>
        <w:gridCol w:w="859"/>
        <w:gridCol w:w="895"/>
        <w:gridCol w:w="5772"/>
        <w:gridCol w:w="1047"/>
      </w:tblGrid>
      <w:tr w14:paraId="69489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jc w:val="center"/>
        </w:trPr>
        <w:tc>
          <w:tcPr>
            <w:tcW w:w="538" w:type="dxa"/>
            <w:vAlign w:val="center"/>
          </w:tcPr>
          <w:p w14:paraId="1DBF5692">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843" w:type="dxa"/>
            <w:vAlign w:val="center"/>
          </w:tcPr>
          <w:p w14:paraId="067C7C5A">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评审因素</w:t>
            </w:r>
          </w:p>
        </w:tc>
        <w:tc>
          <w:tcPr>
            <w:tcW w:w="859" w:type="dxa"/>
            <w:vAlign w:val="center"/>
          </w:tcPr>
          <w:p w14:paraId="656762C2">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最高分</w:t>
            </w:r>
          </w:p>
        </w:tc>
        <w:tc>
          <w:tcPr>
            <w:tcW w:w="895" w:type="dxa"/>
            <w:vAlign w:val="center"/>
          </w:tcPr>
          <w:p w14:paraId="07EC034B">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最低分</w:t>
            </w:r>
          </w:p>
        </w:tc>
        <w:tc>
          <w:tcPr>
            <w:tcW w:w="5772" w:type="dxa"/>
            <w:vAlign w:val="center"/>
          </w:tcPr>
          <w:p w14:paraId="4B71EBBC">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评审细则</w:t>
            </w:r>
          </w:p>
        </w:tc>
        <w:tc>
          <w:tcPr>
            <w:tcW w:w="1047" w:type="dxa"/>
            <w:vAlign w:val="center"/>
          </w:tcPr>
          <w:p w14:paraId="206FEB68">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主/客观分</w:t>
            </w:r>
          </w:p>
        </w:tc>
      </w:tr>
      <w:tr w14:paraId="09550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4" w:hRule="atLeast"/>
          <w:jc w:val="center"/>
        </w:trPr>
        <w:tc>
          <w:tcPr>
            <w:tcW w:w="538" w:type="dxa"/>
            <w:vAlign w:val="center"/>
          </w:tcPr>
          <w:p w14:paraId="6199ADF8">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843" w:type="dxa"/>
            <w:vAlign w:val="center"/>
          </w:tcPr>
          <w:p w14:paraId="04C9119D">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企业业绩</w:t>
            </w:r>
          </w:p>
        </w:tc>
        <w:tc>
          <w:tcPr>
            <w:tcW w:w="859" w:type="dxa"/>
            <w:vAlign w:val="center"/>
          </w:tcPr>
          <w:p w14:paraId="17DD442E">
            <w:pPr>
              <w:pageBreakBefore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12</w:t>
            </w:r>
          </w:p>
        </w:tc>
        <w:tc>
          <w:tcPr>
            <w:tcW w:w="895" w:type="dxa"/>
            <w:vAlign w:val="center"/>
          </w:tcPr>
          <w:p w14:paraId="1FA3154E">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0D12AB0E">
            <w:pPr>
              <w:pageBreakBefore w:val="0"/>
              <w:numPr>
                <w:ilvl w:val="0"/>
                <w:numId w:val="5"/>
              </w:numPr>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投标人提供2022年1月1日</w:t>
            </w:r>
            <w:r>
              <w:rPr>
                <w:rFonts w:hint="eastAsia" w:ascii="宋体" w:hAnsi="宋体" w:cs="宋体"/>
                <w:color w:val="auto"/>
                <w:sz w:val="28"/>
                <w:szCs w:val="28"/>
                <w:highlight w:val="none"/>
                <w:lang w:eastAsia="zh-CN"/>
              </w:rPr>
              <w:t>（以合同签订时间为准）</w:t>
            </w:r>
            <w:r>
              <w:rPr>
                <w:rFonts w:hint="eastAsia" w:ascii="宋体" w:hAnsi="宋体" w:eastAsia="宋体" w:cs="宋体"/>
                <w:color w:val="auto"/>
                <w:sz w:val="28"/>
                <w:szCs w:val="28"/>
                <w:highlight w:val="none"/>
              </w:rPr>
              <w:t>以来实木餐桌椅或木家具或实木家具成功案例，每完整提供一个案例得</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分，本项最高得</w:t>
            </w:r>
            <w:r>
              <w:rPr>
                <w:rFonts w:hint="eastAsia" w:ascii="宋体" w:hAnsi="宋体" w:cs="宋体"/>
                <w:color w:val="auto"/>
                <w:sz w:val="28"/>
                <w:szCs w:val="28"/>
                <w:highlight w:val="none"/>
                <w:lang w:val="en-US" w:eastAsia="zh-CN"/>
              </w:rPr>
              <w:t>12</w:t>
            </w:r>
            <w:r>
              <w:rPr>
                <w:rFonts w:hint="eastAsia" w:ascii="宋体" w:hAnsi="宋体" w:eastAsia="宋体" w:cs="宋体"/>
                <w:color w:val="auto"/>
                <w:sz w:val="28"/>
                <w:szCs w:val="28"/>
                <w:highlight w:val="none"/>
              </w:rPr>
              <w:t>分。</w:t>
            </w:r>
          </w:p>
          <w:p w14:paraId="53809588">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说明：须同时提供中标通知书或中标公告截图</w:t>
            </w:r>
            <w:r>
              <w:rPr>
                <w:rFonts w:hint="eastAsia" w:ascii="宋体" w:hAnsi="宋体" w:eastAsia="宋体" w:cs="宋体"/>
                <w:color w:val="auto"/>
                <w:sz w:val="28"/>
                <w:szCs w:val="28"/>
                <w:highlight w:val="none"/>
                <w:lang w:eastAsia="zh-CN"/>
              </w:rPr>
              <w:t>或</w:t>
            </w:r>
            <w:r>
              <w:rPr>
                <w:rFonts w:hint="eastAsia" w:ascii="宋体" w:hAnsi="宋体" w:eastAsia="宋体" w:cs="宋体"/>
                <w:color w:val="auto"/>
                <w:sz w:val="28"/>
                <w:szCs w:val="28"/>
                <w:highlight w:val="none"/>
              </w:rPr>
              <w:t>可以证明项目合作的相关资料、完整的合同、结算发票</w:t>
            </w:r>
            <w:r>
              <w:rPr>
                <w:rFonts w:hint="eastAsia" w:ascii="宋体" w:hAnsi="宋体" w:cs="宋体"/>
                <w:color w:val="auto"/>
                <w:sz w:val="28"/>
                <w:szCs w:val="28"/>
                <w:highlight w:val="none"/>
                <w:lang w:eastAsia="zh-CN"/>
              </w:rPr>
              <w:t>（至少一张）</w:t>
            </w:r>
            <w:r>
              <w:rPr>
                <w:rFonts w:hint="eastAsia" w:ascii="宋体" w:hAnsi="宋体" w:eastAsia="宋体" w:cs="宋体"/>
                <w:color w:val="auto"/>
                <w:sz w:val="28"/>
                <w:szCs w:val="28"/>
                <w:highlight w:val="none"/>
              </w:rPr>
              <w:t>、验收资料等原始材料扫描件并加盖投标人公章。提供不全或未提供的不得分。</w:t>
            </w:r>
          </w:p>
        </w:tc>
        <w:tc>
          <w:tcPr>
            <w:tcW w:w="1047" w:type="dxa"/>
            <w:vAlign w:val="center"/>
          </w:tcPr>
          <w:p w14:paraId="7BDDAF02">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3D202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0" w:hRule="atLeast"/>
          <w:jc w:val="center"/>
        </w:trPr>
        <w:tc>
          <w:tcPr>
            <w:tcW w:w="538" w:type="dxa"/>
            <w:vAlign w:val="center"/>
          </w:tcPr>
          <w:p w14:paraId="70D6D20C">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843" w:type="dxa"/>
            <w:vAlign w:val="center"/>
          </w:tcPr>
          <w:p w14:paraId="3FC53925">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企业认证及证书</w:t>
            </w:r>
          </w:p>
        </w:tc>
        <w:tc>
          <w:tcPr>
            <w:tcW w:w="859" w:type="dxa"/>
            <w:vAlign w:val="center"/>
          </w:tcPr>
          <w:p w14:paraId="4873305E">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w:t>
            </w:r>
          </w:p>
        </w:tc>
        <w:tc>
          <w:tcPr>
            <w:tcW w:w="895" w:type="dxa"/>
            <w:vAlign w:val="center"/>
          </w:tcPr>
          <w:p w14:paraId="3F62B3D7">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21A6BDCA">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1.投标人具有有效期内的中国环境标志产品认证证书,认证范围含盖实木或木质桌、椅类的得2分。</w:t>
            </w:r>
          </w:p>
          <w:p w14:paraId="004AFBFF">
            <w:pPr>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2.投标人获得有效期内低VOCs家具产品认证证书，认证范围含盖实木或木质桌、椅类的得2分。</w:t>
            </w:r>
          </w:p>
          <w:p w14:paraId="16D71856">
            <w:pPr>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3.投标人具有有效期内绿色产品认证证书，认证范围含盖实木或木质桌、椅类的得2分。</w:t>
            </w:r>
          </w:p>
          <w:p w14:paraId="6B9A1B64">
            <w:pPr>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4.投标人具有有效期内的家具防火阻燃产品认证证书，认证范围含盖实木或木质桌、椅类的得2分。</w:t>
            </w:r>
          </w:p>
          <w:p w14:paraId="4BCEE90B">
            <w:pPr>
              <w:pStyle w:val="101"/>
              <w:pageBreakBefore w:val="0"/>
              <w:kinsoku/>
              <w:wordWrap/>
              <w:overflowPunct/>
              <w:topLinePunct w:val="0"/>
              <w:autoSpaceDE/>
              <w:autoSpaceDN/>
              <w:bidi w:val="0"/>
              <w:adjustRightInd/>
              <w:snapToGrid/>
              <w:spacing w:line="300" w:lineRule="exact"/>
              <w:ind w:firstLine="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说明：投标人如是供应商，以上认证证书可提供制造商或生产企业的相关认证证书，同时提供投标人与该单位的合作证明或生产合同等资料</w:t>
            </w:r>
            <w:r>
              <w:rPr>
                <w:rFonts w:hint="eastAsia" w:ascii="宋体" w:hAnsi="宋体" w:cs="宋体"/>
                <w:color w:val="auto"/>
                <w:sz w:val="28"/>
                <w:szCs w:val="28"/>
                <w:highlight w:val="none"/>
                <w:lang w:val="en-US" w:eastAsia="zh-CN"/>
              </w:rPr>
              <w:t>。</w:t>
            </w:r>
          </w:p>
        </w:tc>
        <w:tc>
          <w:tcPr>
            <w:tcW w:w="1047" w:type="dxa"/>
            <w:vAlign w:val="center"/>
          </w:tcPr>
          <w:p w14:paraId="6D670C8B">
            <w:pPr>
              <w:pStyle w:val="101"/>
              <w:pageBreakBefore w:val="0"/>
              <w:kinsoku/>
              <w:wordWrap/>
              <w:overflowPunct/>
              <w:topLinePunct w:val="0"/>
              <w:autoSpaceDE/>
              <w:autoSpaceDN/>
              <w:bidi w:val="0"/>
              <w:adjustRightInd/>
              <w:snapToGrid/>
              <w:spacing w:line="300" w:lineRule="exact"/>
              <w:ind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321ED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jc w:val="center"/>
        </w:trPr>
        <w:tc>
          <w:tcPr>
            <w:tcW w:w="538" w:type="dxa"/>
            <w:vAlign w:val="center"/>
          </w:tcPr>
          <w:p w14:paraId="28CCF883">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p>
        </w:tc>
        <w:tc>
          <w:tcPr>
            <w:tcW w:w="843" w:type="dxa"/>
            <w:vAlign w:val="center"/>
          </w:tcPr>
          <w:p w14:paraId="034AD30B">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质保</w:t>
            </w:r>
          </w:p>
          <w:p w14:paraId="1170C86F">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期限</w:t>
            </w:r>
          </w:p>
        </w:tc>
        <w:tc>
          <w:tcPr>
            <w:tcW w:w="859" w:type="dxa"/>
            <w:vAlign w:val="center"/>
          </w:tcPr>
          <w:p w14:paraId="371A7359">
            <w:pPr>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p>
        </w:tc>
        <w:tc>
          <w:tcPr>
            <w:tcW w:w="895" w:type="dxa"/>
            <w:vAlign w:val="center"/>
          </w:tcPr>
          <w:p w14:paraId="5F674600">
            <w:pPr>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0D581A89">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按照招标文件要求，投标人所有投标产品须免费保修5年。承诺质保期限高于5年的，每增加1年得</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分，最高得</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分。</w:t>
            </w:r>
          </w:p>
          <w:p w14:paraId="3482BD0D">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说明：投标人须提供质保承诺书</w:t>
            </w:r>
            <w:r>
              <w:rPr>
                <w:rFonts w:hint="eastAsia" w:ascii="宋体" w:hAnsi="宋体" w:cs="宋体"/>
                <w:color w:val="auto"/>
                <w:sz w:val="28"/>
                <w:szCs w:val="28"/>
                <w:highlight w:val="none"/>
                <w:lang w:val="en-US" w:eastAsia="zh-CN"/>
              </w:rPr>
              <w:t>(格式自拟）</w:t>
            </w:r>
            <w:r>
              <w:rPr>
                <w:rFonts w:hint="eastAsia" w:ascii="宋体" w:hAnsi="宋体" w:eastAsia="宋体" w:cs="宋体"/>
                <w:color w:val="auto"/>
                <w:sz w:val="28"/>
                <w:szCs w:val="28"/>
                <w:highlight w:val="none"/>
              </w:rPr>
              <w:t>，未提供的，不得分。</w:t>
            </w:r>
          </w:p>
        </w:tc>
        <w:tc>
          <w:tcPr>
            <w:tcW w:w="1047" w:type="dxa"/>
            <w:vAlign w:val="center"/>
          </w:tcPr>
          <w:p w14:paraId="25F3A90A">
            <w:pPr>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39243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538" w:type="dxa"/>
            <w:vAlign w:val="center"/>
          </w:tcPr>
          <w:p w14:paraId="5D847F0E">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p>
        </w:tc>
        <w:tc>
          <w:tcPr>
            <w:tcW w:w="843" w:type="dxa"/>
            <w:vAlign w:val="center"/>
          </w:tcPr>
          <w:p w14:paraId="33190FCC">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供货、安装期的优化</w:t>
            </w:r>
          </w:p>
        </w:tc>
        <w:tc>
          <w:tcPr>
            <w:tcW w:w="859" w:type="dxa"/>
            <w:vAlign w:val="center"/>
          </w:tcPr>
          <w:p w14:paraId="6A0C8AE3">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6</w:t>
            </w:r>
          </w:p>
        </w:tc>
        <w:tc>
          <w:tcPr>
            <w:tcW w:w="895" w:type="dxa"/>
            <w:vAlign w:val="center"/>
          </w:tcPr>
          <w:p w14:paraId="256361E5">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4EE97C01">
            <w:pPr>
              <w:pageBreakBefore w:val="0"/>
              <w:widowControl/>
              <w:kinsoku/>
              <w:wordWrap/>
              <w:overflowPunct/>
              <w:topLinePunct w:val="0"/>
              <w:autoSpaceDE/>
              <w:autoSpaceDN/>
              <w:bidi w:val="0"/>
              <w:adjustRightInd/>
              <w:snapToGrid/>
              <w:spacing w:line="300" w:lineRule="exact"/>
              <w:jc w:val="left"/>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eastAsia="zh-CN"/>
              </w:rPr>
              <w:t>投标人</w:t>
            </w:r>
            <w:r>
              <w:rPr>
                <w:rFonts w:hint="eastAsia" w:ascii="宋体" w:hAnsi="宋体" w:eastAsia="宋体" w:cs="宋体"/>
                <w:color w:val="auto"/>
                <w:sz w:val="28"/>
                <w:szCs w:val="28"/>
                <w:highlight w:val="none"/>
              </w:rPr>
              <w:t>对生产、供货、安装期限进行的专项优化。</w:t>
            </w:r>
            <w:r>
              <w:rPr>
                <w:rFonts w:hint="eastAsia" w:ascii="宋体" w:hAnsi="宋体" w:cs="宋体"/>
                <w:color w:val="auto"/>
                <w:sz w:val="28"/>
                <w:szCs w:val="28"/>
                <w:highlight w:val="none"/>
                <w:lang w:eastAsia="zh-CN"/>
              </w:rPr>
              <w:t>承诺在</w:t>
            </w:r>
            <w:r>
              <w:rPr>
                <w:rFonts w:hint="eastAsia" w:ascii="宋体" w:hAnsi="宋体" w:cs="宋体"/>
                <w:color w:val="auto"/>
                <w:sz w:val="28"/>
                <w:szCs w:val="28"/>
                <w:highlight w:val="none"/>
                <w:lang w:val="en-US" w:eastAsia="zh-CN"/>
              </w:rPr>
              <w:t>40日历天基础上压缩时间：</w:t>
            </w:r>
          </w:p>
          <w:p w14:paraId="5B637248">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1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①</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供货、安装周期压缩≥</w:t>
            </w:r>
            <w:r>
              <w:rPr>
                <w:rFonts w:hint="eastAsia" w:ascii="宋体" w:hAnsi="宋体" w:cs="宋体"/>
                <w:color w:val="auto"/>
                <w:sz w:val="28"/>
                <w:szCs w:val="28"/>
                <w:highlight w:val="none"/>
                <w:lang w:val="en-US" w:eastAsia="zh-CN"/>
              </w:rPr>
              <w:t>10</w:t>
            </w:r>
            <w:r>
              <w:rPr>
                <w:rFonts w:hint="eastAsia" w:ascii="宋体" w:hAnsi="宋体" w:eastAsia="宋体" w:cs="宋体"/>
                <w:color w:val="auto"/>
                <w:sz w:val="28"/>
                <w:szCs w:val="28"/>
                <w:highlight w:val="none"/>
              </w:rPr>
              <w:t>天的，得</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分；</w:t>
            </w:r>
          </w:p>
          <w:p w14:paraId="6EEAE7C3">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2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②</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供货、安装周期压缩</w:t>
            </w:r>
            <w:r>
              <w:rPr>
                <w:rFonts w:hint="eastAsia" w:ascii="宋体" w:hAnsi="宋体" w:cs="宋体"/>
                <w:color w:val="auto"/>
                <w:sz w:val="28"/>
                <w:szCs w:val="28"/>
                <w:highlight w:val="none"/>
                <w:lang w:val="en-US" w:eastAsia="zh-CN"/>
              </w:rPr>
              <w:t>4天≤压缩天数＜7</w:t>
            </w:r>
            <w:r>
              <w:rPr>
                <w:rFonts w:hint="eastAsia" w:ascii="宋体" w:hAnsi="宋体" w:eastAsia="宋体" w:cs="宋体"/>
                <w:color w:val="auto"/>
                <w:sz w:val="28"/>
                <w:szCs w:val="28"/>
                <w:highlight w:val="none"/>
              </w:rPr>
              <w:t>天的，得</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分；</w:t>
            </w:r>
          </w:p>
          <w:p w14:paraId="6D67343B">
            <w:pPr>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3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③</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产品供货、安装周期压缩</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4天或</w:t>
            </w:r>
            <w:r>
              <w:rPr>
                <w:rFonts w:hint="eastAsia" w:ascii="宋体" w:hAnsi="宋体" w:eastAsia="宋体" w:cs="宋体"/>
                <w:color w:val="auto"/>
                <w:sz w:val="28"/>
                <w:szCs w:val="28"/>
                <w:highlight w:val="none"/>
              </w:rPr>
              <w:t>无压缩的不得分；</w:t>
            </w:r>
          </w:p>
        </w:tc>
        <w:tc>
          <w:tcPr>
            <w:tcW w:w="1047" w:type="dxa"/>
            <w:vAlign w:val="center"/>
          </w:tcPr>
          <w:p w14:paraId="2E872080">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71425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538" w:type="dxa"/>
            <w:vAlign w:val="center"/>
          </w:tcPr>
          <w:p w14:paraId="05AE766C">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5</w:t>
            </w:r>
          </w:p>
        </w:tc>
        <w:tc>
          <w:tcPr>
            <w:tcW w:w="843" w:type="dxa"/>
            <w:vAlign w:val="center"/>
          </w:tcPr>
          <w:p w14:paraId="597FED4E">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项目实施方案</w:t>
            </w:r>
          </w:p>
        </w:tc>
        <w:tc>
          <w:tcPr>
            <w:tcW w:w="859" w:type="dxa"/>
            <w:vAlign w:val="center"/>
          </w:tcPr>
          <w:p w14:paraId="6F0E90B6">
            <w:pPr>
              <w:pageBreakBefore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20</w:t>
            </w:r>
          </w:p>
        </w:tc>
        <w:tc>
          <w:tcPr>
            <w:tcW w:w="895" w:type="dxa"/>
            <w:vAlign w:val="center"/>
          </w:tcPr>
          <w:p w14:paraId="1AD927C9">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173F9C52">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项目实施方案必须包含以下</w:t>
            </w: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rPr>
              <w:t>项内容，评委根据投标人提供的项目实施方案和评分标准逐项进行综合评分。本项最高得</w:t>
            </w:r>
            <w:r>
              <w:rPr>
                <w:rFonts w:hint="eastAsia" w:ascii="宋体" w:hAnsi="宋体" w:cs="宋体"/>
                <w:color w:val="auto"/>
                <w:sz w:val="28"/>
                <w:szCs w:val="28"/>
                <w:highlight w:val="none"/>
                <w:lang w:val="en-US" w:eastAsia="zh-CN"/>
              </w:rPr>
              <w:t>20</w:t>
            </w:r>
            <w:r>
              <w:rPr>
                <w:rFonts w:hint="eastAsia" w:ascii="宋体" w:hAnsi="宋体" w:eastAsia="宋体" w:cs="宋体"/>
                <w:color w:val="auto"/>
                <w:sz w:val="28"/>
                <w:szCs w:val="28"/>
                <w:highlight w:val="none"/>
              </w:rPr>
              <w:t>分。</w:t>
            </w:r>
          </w:p>
          <w:p w14:paraId="023E2A20">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（1）资金安排（详细说明①资金来源：如自有资金、贷款等方式；②资金分配科学性：核心环节占比如何合理安排—关键资源的采购、核心业务等方面的投入）</w:t>
            </w:r>
          </w:p>
          <w:p w14:paraId="4ACBAB23">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（2）原材料准备情况和用料明细以及生产设备情况（包含相关原料、物料的名称、品牌、生产商、数量，生产设备以图文形式说明设备的功能，标注自有或租赁，自有设备须标明具体位置等信息）</w:t>
            </w:r>
          </w:p>
          <w:p w14:paraId="76167C82">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（3）人员配置及分工情况（以表格形式说明为完成本项目，人员岗位、工作内容及相互配合等情况）</w:t>
            </w:r>
          </w:p>
          <w:p w14:paraId="54707484">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（4）生产技术工艺说明（以图文形式呈现如何响应标书要求）</w:t>
            </w:r>
          </w:p>
          <w:p w14:paraId="7368492F">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（5）产品优化：投标人针对采购人的需求做了工艺合理优化加固处理的</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以图文形式进行详细描述，包括但不仅限于核心结构加固或承重加固或边缘/细节加固等方面的描述</w:t>
            </w:r>
          </w:p>
          <w:p w14:paraId="235FE6C8">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（6）生产供货安装方案及承诺（清晰明了地反映生产运输安装等各环节时间节点，最小时间单位必要时应精确到日历天及供货安装承诺）</w:t>
            </w:r>
          </w:p>
          <w:p w14:paraId="35E915ED">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（7）生产进度安排、生产过程控制说明（说明确保时间节点、生产工艺和产品质量等的方法）</w:t>
            </w:r>
          </w:p>
          <w:p w14:paraId="3D3173F9">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（8）安全文明措施方案（说明在厂在校等不同时空下的安全生产、文明施工措施）</w:t>
            </w:r>
          </w:p>
          <w:p w14:paraId="403BA66F">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（9）验收方案（制定合理详细的验收方案）</w:t>
            </w:r>
          </w:p>
          <w:p w14:paraId="54C15DA4">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应急预案（说明出现安全生产问题、产品质量问题、工期进度问题、生产运输安装各环节衔接问题等情况下的应对方案）</w:t>
            </w:r>
          </w:p>
          <w:p w14:paraId="10A723AB">
            <w:pPr>
              <w:pStyle w:val="154"/>
              <w:pageBreakBefore w:val="0"/>
              <w:kinsoku/>
              <w:wordWrap/>
              <w:overflowPunct/>
              <w:topLinePunct w:val="0"/>
              <w:autoSpaceDE/>
              <w:autoSpaceDN/>
              <w:bidi w:val="0"/>
              <w:adjustRightInd/>
              <w:snapToGrid/>
              <w:spacing w:before="0" w:after="0"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单项内容评审</w:t>
            </w:r>
            <w:r>
              <w:rPr>
                <w:rFonts w:hint="eastAsia" w:ascii="宋体" w:hAnsi="宋体" w:eastAsia="宋体" w:cs="宋体"/>
                <w:color w:val="auto"/>
                <w:sz w:val="28"/>
                <w:szCs w:val="28"/>
                <w:highlight w:val="none"/>
              </w:rPr>
              <w:t>说明：</w:t>
            </w:r>
          </w:p>
          <w:p w14:paraId="7ACC5AAE">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1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①</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方案内诸项内容科学合理、针对性强、步骤清晰、可操作性高的，该项内容得</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分；</w:t>
            </w:r>
          </w:p>
          <w:p w14:paraId="6FB0389B">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2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②</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方案内诸项内容基本合理、针对性较强、步骤合理、可操作性较高的，得</w:t>
            </w:r>
            <w:r>
              <w:rPr>
                <w:rFonts w:hint="eastAsia" w:ascii="宋体" w:hAnsi="宋体" w:cs="宋体"/>
                <w:color w:val="auto"/>
                <w:sz w:val="28"/>
                <w:szCs w:val="28"/>
                <w:highlight w:val="none"/>
                <w:lang w:val="en-US" w:eastAsia="zh-CN"/>
              </w:rPr>
              <w:t>1.3</w:t>
            </w:r>
            <w:r>
              <w:rPr>
                <w:rFonts w:hint="eastAsia" w:ascii="宋体" w:hAnsi="宋体" w:eastAsia="宋体" w:cs="宋体"/>
                <w:color w:val="auto"/>
                <w:sz w:val="28"/>
                <w:szCs w:val="28"/>
                <w:highlight w:val="none"/>
              </w:rPr>
              <w:t>分；</w:t>
            </w:r>
          </w:p>
          <w:p w14:paraId="057BE621">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3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③</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方案内诸项内容一般、有一定的针对性、可行性一般及可操作性的，得</w:t>
            </w:r>
            <w:r>
              <w:rPr>
                <w:rFonts w:hint="eastAsia" w:ascii="宋体" w:hAnsi="宋体" w:cs="宋体"/>
                <w:color w:val="auto"/>
                <w:sz w:val="28"/>
                <w:szCs w:val="28"/>
                <w:highlight w:val="none"/>
                <w:lang w:val="en-US" w:eastAsia="zh-CN"/>
              </w:rPr>
              <w:t>0.6</w:t>
            </w:r>
            <w:r>
              <w:rPr>
                <w:rFonts w:hint="eastAsia" w:ascii="宋体" w:hAnsi="宋体" w:eastAsia="宋体" w:cs="宋体"/>
                <w:color w:val="auto"/>
                <w:sz w:val="28"/>
                <w:szCs w:val="28"/>
                <w:highlight w:val="none"/>
              </w:rPr>
              <w:t>分；</w:t>
            </w:r>
          </w:p>
          <w:p w14:paraId="6E003E2F">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4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④</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方案内诸项内容不合理、无针对性和无可行或未提供方案的，得0分。</w:t>
            </w:r>
          </w:p>
        </w:tc>
        <w:tc>
          <w:tcPr>
            <w:tcW w:w="1047" w:type="dxa"/>
            <w:vAlign w:val="center"/>
          </w:tcPr>
          <w:p w14:paraId="15832225">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主观分</w:t>
            </w:r>
          </w:p>
        </w:tc>
      </w:tr>
      <w:tr w14:paraId="2A64F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538" w:type="dxa"/>
            <w:vAlign w:val="center"/>
          </w:tcPr>
          <w:p w14:paraId="587EE433">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6</w:t>
            </w:r>
          </w:p>
        </w:tc>
        <w:tc>
          <w:tcPr>
            <w:tcW w:w="843" w:type="dxa"/>
            <w:vAlign w:val="center"/>
          </w:tcPr>
          <w:p w14:paraId="653360A0">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售后服务保障方案</w:t>
            </w:r>
          </w:p>
        </w:tc>
        <w:tc>
          <w:tcPr>
            <w:tcW w:w="859" w:type="dxa"/>
            <w:vAlign w:val="center"/>
          </w:tcPr>
          <w:p w14:paraId="6B08120F">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p>
        </w:tc>
        <w:tc>
          <w:tcPr>
            <w:tcW w:w="895" w:type="dxa"/>
            <w:vAlign w:val="center"/>
          </w:tcPr>
          <w:p w14:paraId="25BAB338">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5772" w:type="dxa"/>
            <w:vAlign w:val="center"/>
          </w:tcPr>
          <w:p w14:paraId="3F79BCB9">
            <w:pPr>
              <w:pageBreakBefore w:val="0"/>
              <w:kinsoku/>
              <w:wordWrap/>
              <w:overflowPunct/>
              <w:topLinePunct w:val="0"/>
              <w:autoSpaceDE/>
              <w:autoSpaceDN/>
              <w:bidi w:val="0"/>
              <w:adjustRightInd/>
              <w:snapToGrid/>
              <w:spacing w:line="300" w:lineRule="exac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投标人承诺的售后服务保障方案</w:t>
            </w:r>
            <w:r>
              <w:rPr>
                <w:rFonts w:hint="eastAsia" w:ascii="宋体" w:hAnsi="宋体" w:cs="宋体"/>
                <w:color w:val="auto"/>
                <w:sz w:val="28"/>
                <w:szCs w:val="28"/>
                <w:highlight w:val="none"/>
                <w:lang w:eastAsia="zh-CN"/>
              </w:rPr>
              <w:t>包含以下</w:t>
            </w:r>
            <w:r>
              <w:rPr>
                <w:rFonts w:hint="eastAsia" w:ascii="宋体" w:hAnsi="宋体" w:cs="宋体"/>
                <w:color w:val="auto"/>
                <w:sz w:val="28"/>
                <w:szCs w:val="28"/>
                <w:highlight w:val="none"/>
                <w:lang w:val="en-US" w:eastAsia="zh-CN"/>
              </w:rPr>
              <w:t>6个内容，</w:t>
            </w:r>
            <w:r>
              <w:rPr>
                <w:rFonts w:hint="eastAsia" w:ascii="宋体" w:hAnsi="宋体" w:eastAsia="宋体" w:cs="宋体"/>
                <w:color w:val="auto"/>
                <w:sz w:val="28"/>
                <w:szCs w:val="28"/>
                <w:highlight w:val="none"/>
              </w:rPr>
              <w:t>评委根据投标人提供的方案和评分标准逐项进行综合评分。本项最高得</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分。</w:t>
            </w:r>
          </w:p>
          <w:p w14:paraId="2D30EC62">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①</w:t>
            </w:r>
            <w:r>
              <w:rPr>
                <w:rFonts w:hint="eastAsia" w:ascii="宋体" w:hAnsi="宋体" w:eastAsia="宋体" w:cs="宋体"/>
                <w:color w:val="auto"/>
                <w:sz w:val="28"/>
                <w:szCs w:val="28"/>
                <w:highlight w:val="none"/>
              </w:rPr>
              <w:t>售后服务承诺及保修细则、</w:t>
            </w:r>
            <w:r>
              <w:rPr>
                <w:rFonts w:hint="eastAsia" w:ascii="宋体" w:hAnsi="宋体" w:cs="宋体"/>
                <w:color w:val="auto"/>
                <w:sz w:val="28"/>
                <w:szCs w:val="28"/>
                <w:highlight w:val="none"/>
                <w:lang w:eastAsia="zh-CN"/>
              </w:rPr>
              <w:t>②</w:t>
            </w:r>
            <w:r>
              <w:rPr>
                <w:rFonts w:hint="eastAsia" w:ascii="宋体" w:hAnsi="宋体" w:eastAsia="宋体" w:cs="宋体"/>
                <w:color w:val="auto"/>
                <w:sz w:val="28"/>
                <w:szCs w:val="28"/>
                <w:highlight w:val="none"/>
              </w:rPr>
              <w:t>服务质量保证标准、</w:t>
            </w:r>
            <w:r>
              <w:rPr>
                <w:rFonts w:hint="eastAsia" w:ascii="宋体" w:hAnsi="宋体" w:cs="宋体"/>
                <w:color w:val="auto"/>
                <w:sz w:val="28"/>
                <w:szCs w:val="28"/>
                <w:highlight w:val="none"/>
                <w:lang w:eastAsia="zh-CN"/>
              </w:rPr>
              <w:t>③</w:t>
            </w:r>
            <w:r>
              <w:rPr>
                <w:rFonts w:hint="eastAsia" w:ascii="宋体" w:hAnsi="宋体" w:eastAsia="宋体" w:cs="宋体"/>
                <w:color w:val="auto"/>
                <w:sz w:val="28"/>
                <w:szCs w:val="28"/>
                <w:highlight w:val="none"/>
              </w:rPr>
              <w:t>优惠条件承诺服务体系说明、</w:t>
            </w:r>
            <w:r>
              <w:rPr>
                <w:rFonts w:hint="eastAsia" w:ascii="宋体" w:hAnsi="宋体" w:cs="宋体"/>
                <w:color w:val="auto"/>
                <w:sz w:val="28"/>
                <w:szCs w:val="28"/>
                <w:highlight w:val="none"/>
                <w:lang w:eastAsia="zh-CN"/>
              </w:rPr>
              <w:t>④</w:t>
            </w:r>
            <w:r>
              <w:rPr>
                <w:rFonts w:hint="eastAsia" w:ascii="宋体" w:hAnsi="宋体" w:eastAsia="宋体" w:cs="宋体"/>
                <w:color w:val="auto"/>
                <w:sz w:val="28"/>
                <w:szCs w:val="28"/>
                <w:highlight w:val="none"/>
              </w:rPr>
              <w:t>售后服务人员和工具配备、</w:t>
            </w:r>
            <w:r>
              <w:rPr>
                <w:rFonts w:hint="eastAsia" w:ascii="宋体" w:hAnsi="宋体" w:cs="宋体"/>
                <w:color w:val="auto"/>
                <w:sz w:val="28"/>
                <w:szCs w:val="28"/>
                <w:highlight w:val="none"/>
                <w:lang w:eastAsia="zh-CN"/>
              </w:rPr>
              <w:t>⑤</w:t>
            </w:r>
            <w:r>
              <w:rPr>
                <w:rFonts w:hint="eastAsia" w:ascii="宋体" w:hAnsi="宋体" w:eastAsia="宋体" w:cs="宋体"/>
                <w:color w:val="auto"/>
                <w:sz w:val="28"/>
                <w:szCs w:val="28"/>
                <w:highlight w:val="none"/>
              </w:rPr>
              <w:t>现场服务措施、</w:t>
            </w:r>
            <w:r>
              <w:rPr>
                <w:rFonts w:hint="eastAsia" w:ascii="宋体" w:hAnsi="宋体" w:cs="宋体"/>
                <w:color w:val="auto"/>
                <w:sz w:val="28"/>
                <w:szCs w:val="28"/>
                <w:highlight w:val="none"/>
                <w:lang w:eastAsia="zh-CN"/>
              </w:rPr>
              <w:t>⑥</w:t>
            </w:r>
            <w:r>
              <w:rPr>
                <w:rFonts w:hint="eastAsia" w:ascii="宋体" w:hAnsi="宋体" w:eastAsia="宋体" w:cs="宋体"/>
                <w:color w:val="auto"/>
                <w:sz w:val="28"/>
                <w:szCs w:val="28"/>
                <w:highlight w:val="none"/>
              </w:rPr>
              <w:t>故障解决能力及应急服务响应方案等）</w:t>
            </w:r>
            <w:r>
              <w:rPr>
                <w:rFonts w:hint="eastAsia" w:ascii="宋体" w:hAnsi="宋体" w:cs="宋体"/>
                <w:color w:val="auto"/>
                <w:sz w:val="28"/>
                <w:szCs w:val="28"/>
                <w:highlight w:val="none"/>
                <w:lang w:eastAsia="zh-CN"/>
              </w:rPr>
              <w:t>。</w:t>
            </w:r>
          </w:p>
          <w:p w14:paraId="6675EFD1">
            <w:pPr>
              <w:pStyle w:val="154"/>
              <w:pageBreakBefore w:val="0"/>
              <w:kinsoku/>
              <w:wordWrap/>
              <w:overflowPunct/>
              <w:topLinePunct w:val="0"/>
              <w:autoSpaceDE/>
              <w:autoSpaceDN/>
              <w:bidi w:val="0"/>
              <w:adjustRightInd/>
              <w:snapToGrid/>
              <w:spacing w:before="0" w:after="0"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单项内容评审</w:t>
            </w:r>
            <w:r>
              <w:rPr>
                <w:rFonts w:hint="eastAsia" w:ascii="宋体" w:hAnsi="宋体" w:eastAsia="宋体" w:cs="宋体"/>
                <w:color w:val="auto"/>
                <w:sz w:val="28"/>
                <w:szCs w:val="28"/>
                <w:highlight w:val="none"/>
              </w:rPr>
              <w:t>说明：</w:t>
            </w:r>
          </w:p>
          <w:p w14:paraId="098EBC33">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1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①</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方案内诸项内容科学合理、针对性强、步骤清晰、可操作性高的，该项内容得</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分；</w:t>
            </w:r>
          </w:p>
          <w:p w14:paraId="2DA9EFDE">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2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②</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方案内诸项内容基本合理、针对性较强、步骤合理、可操作性较高的，得</w:t>
            </w:r>
            <w:r>
              <w:rPr>
                <w:rFonts w:hint="eastAsia" w:ascii="宋体" w:hAnsi="宋体" w:cs="宋体"/>
                <w:color w:val="auto"/>
                <w:sz w:val="28"/>
                <w:szCs w:val="28"/>
                <w:highlight w:val="none"/>
                <w:lang w:val="en-US" w:eastAsia="zh-CN"/>
              </w:rPr>
              <w:t>0.6</w:t>
            </w:r>
            <w:r>
              <w:rPr>
                <w:rFonts w:hint="eastAsia" w:ascii="宋体" w:hAnsi="宋体" w:eastAsia="宋体" w:cs="宋体"/>
                <w:color w:val="auto"/>
                <w:sz w:val="28"/>
                <w:szCs w:val="28"/>
                <w:highlight w:val="none"/>
              </w:rPr>
              <w:t>分；</w:t>
            </w:r>
          </w:p>
          <w:p w14:paraId="6305DE5A">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3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③</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方案内诸项内容一般、有一定的针对性、可行性一般及可操作性的，得</w:t>
            </w:r>
            <w:r>
              <w:rPr>
                <w:rFonts w:hint="eastAsia" w:ascii="宋体" w:hAnsi="宋体" w:cs="宋体"/>
                <w:color w:val="auto"/>
                <w:sz w:val="28"/>
                <w:szCs w:val="28"/>
                <w:highlight w:val="none"/>
                <w:lang w:val="en-US" w:eastAsia="zh-CN"/>
              </w:rPr>
              <w:t>0.3</w:t>
            </w:r>
            <w:r>
              <w:rPr>
                <w:rFonts w:hint="eastAsia" w:ascii="宋体" w:hAnsi="宋体" w:eastAsia="宋体" w:cs="宋体"/>
                <w:color w:val="auto"/>
                <w:sz w:val="28"/>
                <w:szCs w:val="28"/>
                <w:highlight w:val="none"/>
              </w:rPr>
              <w:t>分；</w:t>
            </w:r>
          </w:p>
          <w:p w14:paraId="5F35ED18">
            <w:pPr>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 4 \* GB3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④</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方案内诸项内容不合理、无针对性和无可行或未提供方案的，得0分。</w:t>
            </w:r>
          </w:p>
        </w:tc>
        <w:tc>
          <w:tcPr>
            <w:tcW w:w="1047" w:type="dxa"/>
            <w:vAlign w:val="center"/>
          </w:tcPr>
          <w:p w14:paraId="18FF2993">
            <w:pPr>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主观分</w:t>
            </w:r>
          </w:p>
        </w:tc>
      </w:tr>
    </w:tbl>
    <w:p w14:paraId="5373C03D">
      <w:pPr>
        <w:autoSpaceDE w:val="0"/>
        <w:autoSpaceDN w:val="0"/>
        <w:adjustRightInd w:val="0"/>
        <w:snapToGrid w:val="0"/>
        <w:spacing w:line="520" w:lineRule="exact"/>
        <w:ind w:firstLine="562" w:firstLineChars="200"/>
        <w:rPr>
          <w:rFonts w:hint="eastAsia"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kern w:val="0"/>
          <w:sz w:val="28"/>
          <w:szCs w:val="28"/>
          <w:highlight w:val="none"/>
          <w:lang w:val="en-US" w:eastAsia="zh-CN" w:bidi="ar"/>
        </w:rPr>
        <w:t>45</w:t>
      </w:r>
      <w:r>
        <w:rPr>
          <w:rFonts w:hint="eastAsia" w:ascii="宋体" w:hAnsi="宋体" w:cs="宋体"/>
          <w:color w:val="auto"/>
          <w:kern w:val="0"/>
          <w:sz w:val="28"/>
          <w:szCs w:val="28"/>
          <w:highlight w:val="none"/>
          <w:lang w:bidi="ar"/>
        </w:rPr>
        <w:t>分</w:t>
      </w:r>
    </w:p>
    <w:p w14:paraId="2960F90D">
      <w:pPr>
        <w:pStyle w:val="89"/>
        <w:snapToGrid w:val="0"/>
        <w:spacing w:before="0" w:after="0" w:line="520" w:lineRule="exact"/>
        <w:ind w:left="0" w:right="0" w:firstLine="560" w:firstLineChars="200"/>
        <w:jc w:val="both"/>
        <w:rPr>
          <w:rFonts w:hint="eastAsia" w:ascii="宋体" w:hAnsi="宋体" w:cs="宋体"/>
          <w:bCs/>
          <w:color w:val="auto"/>
          <w:sz w:val="28"/>
          <w:szCs w:val="28"/>
          <w:highlight w:val="none"/>
        </w:rPr>
      </w:pPr>
      <w:r>
        <w:rPr>
          <w:rFonts w:hint="eastAsia" w:ascii="宋体" w:hAnsi="宋体" w:cs="宋体"/>
          <w:bCs/>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48D8D32B">
      <w:pPr>
        <w:pStyle w:val="89"/>
        <w:snapToGrid w:val="0"/>
        <w:spacing w:before="0" w:after="0" w:line="520" w:lineRule="exact"/>
        <w:ind w:left="0" w:right="0" w:firstLine="560" w:firstLineChars="200"/>
        <w:jc w:val="both"/>
        <w:rPr>
          <w:rFonts w:hint="default" w:ascii="宋体" w:hAnsi="宋体" w:cs="宋体"/>
          <w:bCs/>
          <w:color w:val="auto"/>
          <w:sz w:val="28"/>
          <w:szCs w:val="28"/>
          <w:highlight w:val="none"/>
          <w:lang w:val="en-US"/>
        </w:rPr>
      </w:pPr>
      <w:r>
        <w:rPr>
          <w:rFonts w:hint="eastAsia" w:ascii="宋体" w:hAnsi="宋体" w:cs="宋体"/>
          <w:bCs/>
          <w:color w:val="auto"/>
          <w:sz w:val="28"/>
          <w:szCs w:val="28"/>
          <w:highlight w:val="none"/>
        </w:rPr>
        <w:t>投标报价得分=（评标基准价/投标报价）×</w:t>
      </w:r>
      <w:r>
        <w:rPr>
          <w:rFonts w:hint="eastAsia" w:ascii="宋体" w:hAnsi="宋体" w:cs="宋体"/>
          <w:bCs/>
          <w:color w:val="auto"/>
          <w:sz w:val="28"/>
          <w:szCs w:val="28"/>
          <w:highlight w:val="none"/>
          <w:lang w:val="en-US" w:eastAsia="zh-CN"/>
        </w:rPr>
        <w:t>45</w:t>
      </w:r>
    </w:p>
    <w:p w14:paraId="5B4386E4">
      <w:pPr>
        <w:adjustRightInd w:val="0"/>
        <w:snapToGrid w:val="0"/>
        <w:spacing w:line="520" w:lineRule="exact"/>
        <w:ind w:firstLine="562" w:firstLineChars="200"/>
        <w:rPr>
          <w:rFonts w:hint="eastAsia" w:ascii="宋体" w:hAnsi="宋体" w:cs="宋体"/>
          <w:bCs/>
          <w:color w:val="auto"/>
          <w:sz w:val="28"/>
          <w:szCs w:val="28"/>
          <w:highlight w:val="none"/>
        </w:rPr>
      </w:pPr>
      <w:r>
        <w:rPr>
          <w:rFonts w:hint="eastAsia" w:ascii="宋体" w:hAnsi="宋体" w:cs="宋体"/>
          <w:b/>
          <w:color w:val="auto"/>
          <w:sz w:val="28"/>
          <w:szCs w:val="28"/>
          <w:highlight w:val="none"/>
        </w:rPr>
        <w:t>（五）中标人的确定</w:t>
      </w:r>
    </w:p>
    <w:p w14:paraId="4402BD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评委会汇总各评委评分后，按照得分从高到低的顺序推荐三名中标候选人，并编写评标报告。</w:t>
      </w:r>
    </w:p>
    <w:p w14:paraId="433BB36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采购人委托评标委员会直接确定排名第一的中标候选人为中标人。</w:t>
      </w:r>
    </w:p>
    <w:p w14:paraId="0E07316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中标人无故弃标，或者因其自身原因不再具备成交资格等，采购人可以按照评审委员会评审结果，按综合得分从高向低排序，由其他成交候选人递补，或重新组织采购。</w:t>
      </w:r>
    </w:p>
    <w:p w14:paraId="7D4D5257">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（六）采购人代表宣布评标结果。</w:t>
      </w:r>
    </w:p>
    <w:p w14:paraId="252477E3">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（七）公告中标结果</w:t>
      </w:r>
    </w:p>
    <w:p w14:paraId="4F56E7F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自确定中标人之日起2个工作日内，在</w:t>
      </w:r>
      <w:r>
        <w:rPr>
          <w:rFonts w:hint="eastAsia" w:ascii="宋体" w:hAnsi="宋体" w:cs="宋体"/>
          <w:color w:val="auto"/>
          <w:sz w:val="28"/>
          <w:szCs w:val="28"/>
          <w:highlight w:val="none"/>
          <w:lang w:eastAsia="zh-CN"/>
        </w:rPr>
        <w:t>江苏招标采购服务平台、南通职业大学网站</w:t>
      </w:r>
      <w:r>
        <w:rPr>
          <w:rFonts w:hint="eastAsia" w:ascii="宋体" w:hAnsi="宋体" w:cs="宋体"/>
          <w:color w:val="auto"/>
          <w:sz w:val="28"/>
          <w:szCs w:val="28"/>
          <w:highlight w:val="none"/>
        </w:rPr>
        <w:t>公告中标结果，公告期限为1个工作日。</w:t>
      </w:r>
    </w:p>
    <w:p w14:paraId="545FA4F2">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八</w:t>
      </w: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发放中标通知书</w:t>
      </w:r>
    </w:p>
    <w:p w14:paraId="53C942B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公告中标结果的同时，采购人</w:t>
      </w:r>
      <w:r>
        <w:rPr>
          <w:rFonts w:hint="eastAsia" w:ascii="宋体" w:hAnsi="宋体" w:cs="宋体"/>
          <w:bCs/>
          <w:color w:val="auto"/>
          <w:sz w:val="28"/>
          <w:szCs w:val="28"/>
          <w:highlight w:val="none"/>
        </w:rPr>
        <w:t>向中标人发放中标通知书。</w:t>
      </w:r>
    </w:p>
    <w:p w14:paraId="1D910DB4">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中标通知书发出后，采购人不得违法改变中标结果，中标人无正当理由不得放弃中标。</w:t>
      </w:r>
    </w:p>
    <w:p w14:paraId="3D387F90">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（九）其他</w:t>
      </w:r>
    </w:p>
    <w:p w14:paraId="6A615EB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当排名第一的中标候选人无正当理由放弃中标，被查实存在影响中标结果的违法行为等情形，采购人有权按照采购相关法律法规的规定对其采取惩戒措施，包含但不限于列入采购失信人黑名单等措施。</w:t>
      </w:r>
    </w:p>
    <w:p w14:paraId="67466C2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也可以重新招标。</w:t>
      </w:r>
    </w:p>
    <w:p w14:paraId="3A1C48F8">
      <w:pPr>
        <w:adjustRightInd w:val="0"/>
        <w:snapToGrid w:val="0"/>
        <w:spacing w:line="420" w:lineRule="exact"/>
        <w:ind w:firstLine="562" w:firstLineChars="200"/>
        <w:rPr>
          <w:rFonts w:hint="eastAsia" w:ascii="宋体" w:hAnsi="宋体" w:cs="宋体"/>
          <w:b/>
          <w:bCs/>
          <w:color w:val="auto"/>
          <w:sz w:val="28"/>
          <w:szCs w:val="28"/>
          <w:highlight w:val="none"/>
        </w:rPr>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docGrid w:type="lines" w:linePitch="312" w:charSpace="0"/>
        </w:sectPr>
      </w:pPr>
    </w:p>
    <w:p w14:paraId="3C055252">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第五部分质疑与投诉</w:t>
      </w:r>
    </w:p>
    <w:p w14:paraId="3CF76A7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E9DF17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1.提出质疑的供应商应当是参与所质疑项目采购活动的供应商。潜在供应商依法获取其可质疑的招标文件的，可以对招标文件提出质疑。</w:t>
      </w:r>
    </w:p>
    <w:p w14:paraId="6FB4FFB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2.供应商认为招标文件、采购过程和采购结果使自己的权益受到损害的，可以在知道或应知其权益受到损害之日起七个工作日内，以书面形式向代理机构或采购人提出质疑。上述应知其权益受到损害之日，是指：</w:t>
      </w:r>
    </w:p>
    <w:p w14:paraId="0C7E478F">
      <w:pPr>
        <w:pStyle w:val="9"/>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2.1对可以质疑的招标文件提出质疑的，为收到招标文件之日或者招标文件公告期限届满之日；采购项目开标后，不再接受供应商对采购文件（含更正公告等）内容的异议或质询（质疑）。</w:t>
      </w:r>
    </w:p>
    <w:p w14:paraId="0491100C">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3E0EE96C">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166B61B7">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对中标或者成交结果提出质疑的，为中标或者成交结果公告期限届满之日。</w:t>
      </w:r>
    </w:p>
    <w:p w14:paraId="32B69BDC">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09815A6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3.质疑函必须按照本招标文件中《质疑函范本》要求的格式和内容进行填写。</w:t>
      </w:r>
    </w:p>
    <w:p w14:paraId="7CA660C3">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4.对采购方式、招标文件中项目需求、供应商资格条件、评审方法和评审标准、资格审查结果等应当由采购人答复的质疑，请向采购人提出，由采购人负责答复。投标人对其他事项的质疑，请向</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提出，由采购人或</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负责答复。</w:t>
      </w:r>
    </w:p>
    <w:p w14:paraId="154E96E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151ECC7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采购人及</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质疑接收人及联系方式，见招标文件第一部分。</w:t>
      </w:r>
    </w:p>
    <w:p w14:paraId="0BE831B4">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3729574D">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224031A4">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39CA4792">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5B5770BB">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19834F12">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634F0DF4">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75E620D4">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6AB59DD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493CF1A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6005DBF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6.2超出采购法定期限的质疑。</w:t>
      </w:r>
    </w:p>
    <w:p w14:paraId="307ECEE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6.3未参加招标活动的供应商或在招标活动中自身权益未受到损害的供应商所提出的质疑。</w:t>
      </w:r>
    </w:p>
    <w:p w14:paraId="10DE0C6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7.投标人提出书面质疑必须有理、有据，不得捏造事实、提供虚假材料进行恶意质疑。否则，一经查实，</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有权依据招标的有关规定，报请采购监管部门对该供应商进行相应的行政处罚和记录该供应商的失信信息。一、质疑的提出</w:t>
      </w:r>
    </w:p>
    <w:p w14:paraId="757BB1DE">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8.下载招标文件的投标人应根据第二章“投标人须知”中第一条第4款的约定提出；投标文件接收截止后，投标人未</w:t>
      </w:r>
      <w:r>
        <w:rPr>
          <w:rFonts w:hint="eastAsia" w:ascii="宋体" w:hAnsi="宋体" w:cs="宋体"/>
          <w:color w:val="auto"/>
          <w:sz w:val="28"/>
          <w:szCs w:val="28"/>
          <w:highlight w:val="none"/>
          <w:lang w:eastAsia="zh-CN"/>
        </w:rPr>
        <w:t>参加投标</w:t>
      </w:r>
      <w:r>
        <w:rPr>
          <w:rFonts w:hint="eastAsia" w:ascii="宋体" w:hAnsi="宋体" w:cs="宋体"/>
          <w:color w:val="auto"/>
          <w:sz w:val="28"/>
          <w:szCs w:val="28"/>
          <w:highlight w:val="none"/>
        </w:rPr>
        <w:t>的，不能就投标文件接收截止后的招投标过程、中标结果提出质疑；在投标过程中，凡主持人或评标小组明确提出须由投标人确认的事项，投标人当场无异议的，事后不得提出质疑。</w:t>
      </w:r>
    </w:p>
    <w:p w14:paraId="607C42E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6C5312D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106D9A5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11.对不能提供相关佐证材料的、涉及商业秘密的、非书面形式的、非送达的、匿名的《质疑函》将不予受理。</w:t>
      </w:r>
    </w:p>
    <w:p w14:paraId="2E20C42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12.相关佐证材料要具备客观性、关联性、合法性，无法查实的（如宣传册、媒体报道、猜测、推理等）不能作为佐证材料。</w:t>
      </w:r>
    </w:p>
    <w:p w14:paraId="7C9E958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13.招标单位或代理机构不负责搜集相关佐证材料等工作。</w:t>
      </w:r>
    </w:p>
    <w:p w14:paraId="6A778CE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0A3A8F0E">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1.质疑函》须由质疑人的法定代表人或参加本次投标授权人送达招标单位和代理机构。</w:t>
      </w:r>
    </w:p>
    <w:p w14:paraId="78D2FE9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774F17B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356FB21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4.招标单位、代理机构负责将质疑人提出的质疑相关材料提供给相关专家或评标小组审核，并将审核意见回复质疑人。</w:t>
      </w:r>
    </w:p>
    <w:p w14:paraId="404A947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2E81150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5.因质疑情况复杂，组织论证或审查时间较长的，采购人、代理机构以书面形式通知质疑人，可适当延长质疑回复处理时间。</w:t>
      </w:r>
    </w:p>
    <w:p w14:paraId="75B128B6">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①质疑成立的处理。采购人或代理机构终止招标，并建议有关部门给相关当事人予以处理。</w:t>
      </w:r>
    </w:p>
    <w:p w14:paraId="1966E29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1244716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1053865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562713CD">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3）质疑人不按《质疑函》格式就提出质疑的，作违约处理。同时，视情列入不良投标人名单。</w:t>
      </w:r>
    </w:p>
    <w:p w14:paraId="10520C7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4）质疑人虽提供了相关佐证材料，但不能证明其质疑成立的，采购人或代理机构请质疑人补充相关佐证材料，仍不能证明其质疑成立的，作违约处理。</w:t>
      </w:r>
    </w:p>
    <w:p w14:paraId="0D38EF90">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5）质疑人不能提供相关佐证材料的，采购人、代理机构已指出，质疑人仍然坚持提出质疑的，作违约处理。</w:t>
      </w:r>
    </w:p>
    <w:p w14:paraId="418C61A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6）对明显有违事实的、经相关专家或评标小组认定无依据的、经其他投标人举证无依据的质疑，作违约处理，视情在采购人官网媒体予以披露。</w:t>
      </w:r>
    </w:p>
    <w:p w14:paraId="30E56654">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2029E46F">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三、无佐证材料的举报作违约处理。投标人不得进行不提供相关佐证材料（含无法查实的如宣传册、媒体报道、猜测、推理等）向有关部门的举报，否则作违约处理。</w:t>
      </w:r>
    </w:p>
    <w:p w14:paraId="077F497F">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四、投诉不成立的作违约处理。投标人进行质疑后，采购人回复质疑不成立，投标人仍进行投诉的，并最终投诉不成立的，作违约处理。</w:t>
      </w:r>
    </w:p>
    <w:p w14:paraId="58FCE37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五、《质疑函》《质疑回复函》，质疑、举报、投诉不成立等相关情况，视情在采购人官网等相关媒体予以披露。</w:t>
      </w:r>
    </w:p>
    <w:p w14:paraId="1148C8F4">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六、质疑人对采购人或代理机构的答复不满意或者采购人、代理机构未在规定的时间内作出答复的，可以在答复期满后15个工作日内向相关监督管理部门投诉。</w:t>
      </w:r>
    </w:p>
    <w:p w14:paraId="1A2A3B8C">
      <w:pPr>
        <w:adjustRightInd w:val="0"/>
        <w:snapToGrid w:val="0"/>
        <w:spacing w:line="420" w:lineRule="exact"/>
        <w:ind w:firstLine="562" w:firstLineChars="200"/>
        <w:rPr>
          <w:rFonts w:hint="eastAsia" w:ascii="宋体" w:hAnsi="宋体" w:cs="宋体"/>
          <w:b/>
          <w:bCs/>
          <w:color w:val="auto"/>
          <w:sz w:val="28"/>
          <w:szCs w:val="28"/>
          <w:highlight w:val="none"/>
        </w:rPr>
      </w:pPr>
    </w:p>
    <w:p w14:paraId="7B715314">
      <w:pPr>
        <w:adjustRightInd w:val="0"/>
        <w:snapToGrid w:val="0"/>
        <w:spacing w:line="420" w:lineRule="exact"/>
        <w:ind w:firstLine="643" w:firstLineChars="200"/>
        <w:jc w:val="center"/>
        <w:rPr>
          <w:rFonts w:hint="eastAsia" w:ascii="宋体" w:hAnsi="宋体" w:cs="宋体"/>
          <w:b/>
          <w:color w:val="auto"/>
          <w:sz w:val="32"/>
          <w:szCs w:val="32"/>
          <w:highlight w:val="none"/>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rPr>
        <w:br w:type="page"/>
      </w:r>
    </w:p>
    <w:p w14:paraId="0D714D05">
      <w:pPr>
        <w:adjustRightInd w:val="0"/>
        <w:snapToGrid w:val="0"/>
        <w:spacing w:line="420" w:lineRule="exact"/>
        <w:ind w:firstLine="723" w:firstLineChars="200"/>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第六部分投标文件组成</w:t>
      </w:r>
    </w:p>
    <w:p w14:paraId="31C53616">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投标文件由资格审查文件、商务技术文件、价格文件、电子投标文件四部分组成。</w:t>
      </w:r>
    </w:p>
    <w:p w14:paraId="05432A7F">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一、资格审查文件（不能出现商务技术文件、价格文件）</w:t>
      </w:r>
    </w:p>
    <w:p w14:paraId="706A7C70">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符合投标人资格要求的承诺函（格式见附件1）</w:t>
      </w:r>
      <w:r>
        <w:rPr>
          <w:rFonts w:hint="eastAsia" w:ascii="宋体" w:hAnsi="宋体" w:cs="宋体"/>
          <w:color w:val="auto"/>
          <w:kern w:val="0"/>
          <w:sz w:val="28"/>
          <w:szCs w:val="28"/>
          <w:highlight w:val="none"/>
          <w:lang w:val="zh-CN"/>
        </w:rPr>
        <w:t>；</w:t>
      </w:r>
    </w:p>
    <w:p w14:paraId="255D4481">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2.法定代表人身份证明书（格式见附件2）；</w:t>
      </w:r>
    </w:p>
    <w:p w14:paraId="72A7837A">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3.法定代表人授权委托书原件，投标代表本人身份证复印件（格式见附件3）；</w:t>
      </w:r>
    </w:p>
    <w:p w14:paraId="63388405">
      <w:pPr>
        <w:adjustRightInd w:val="0"/>
        <w:snapToGrid w:val="0"/>
        <w:spacing w:line="52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zh-CN"/>
        </w:rPr>
        <w:t>4.</w:t>
      </w:r>
      <w:r>
        <w:rPr>
          <w:rFonts w:hint="eastAsia" w:ascii="宋体" w:hAnsi="宋体" w:eastAsia="宋体" w:cs="宋体"/>
          <w:color w:val="auto"/>
          <w:kern w:val="0"/>
          <w:sz w:val="28"/>
          <w:szCs w:val="28"/>
          <w:highlight w:val="none"/>
        </w:rPr>
        <w:t>有效的营业执照副本复印件。</w:t>
      </w:r>
    </w:p>
    <w:p w14:paraId="28DF758D">
      <w:pPr>
        <w:adjustRightInd w:val="0"/>
        <w:snapToGrid w:val="0"/>
        <w:spacing w:line="52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5.提供无重大违法记录声明（格式见附件4）；</w:t>
      </w:r>
    </w:p>
    <w:p w14:paraId="6F576D70">
      <w:pPr>
        <w:adjustRightInd w:val="0"/>
        <w:snapToGrid w:val="0"/>
        <w:spacing w:line="460" w:lineRule="exact"/>
        <w:ind w:firstLine="562" w:firstLineChars="200"/>
        <w:rPr>
          <w:rFonts w:hint="default" w:ascii="宋体" w:hAnsi="宋体" w:eastAsia="宋体" w:cs="宋体"/>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6.</w:t>
      </w:r>
      <w:r>
        <w:rPr>
          <w:rFonts w:hint="eastAsia" w:ascii="宋体" w:hAnsi="宋体" w:eastAsia="宋体" w:cs="宋体"/>
          <w:b/>
          <w:bCs/>
          <w:color w:val="auto"/>
          <w:kern w:val="0"/>
          <w:sz w:val="28"/>
          <w:szCs w:val="28"/>
          <w:highlight w:val="none"/>
        </w:rPr>
        <w:t>符合性审查材料</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rPr>
        <w:t>本项目</w:t>
      </w:r>
      <w:r>
        <w:rPr>
          <w:rFonts w:hint="eastAsia" w:ascii="宋体" w:hAnsi="宋体" w:eastAsia="宋体" w:cs="宋体"/>
          <w:color w:val="auto"/>
          <w:kern w:val="0"/>
          <w:sz w:val="28"/>
          <w:szCs w:val="28"/>
          <w:highlight w:val="none"/>
          <w:lang w:eastAsia="zh-CN"/>
        </w:rPr>
        <w:t>第三部分</w:t>
      </w:r>
      <w:r>
        <w:rPr>
          <w:rFonts w:hint="eastAsia" w:ascii="宋体" w:hAnsi="宋体" w:eastAsia="宋体" w:cs="宋体"/>
          <w:color w:val="auto"/>
          <w:kern w:val="0"/>
          <w:sz w:val="28"/>
          <w:szCs w:val="28"/>
          <w:highlight w:val="none"/>
        </w:rPr>
        <w:t>项目需求“四、采购需求中必须满足的实质性要求”</w:t>
      </w:r>
      <w:r>
        <w:rPr>
          <w:rFonts w:hint="eastAsia" w:ascii="宋体" w:hAnsi="宋体" w:eastAsia="宋体" w:cs="宋体"/>
          <w:color w:val="auto"/>
          <w:kern w:val="0"/>
          <w:sz w:val="28"/>
          <w:szCs w:val="28"/>
          <w:highlight w:val="none"/>
          <w:lang w:eastAsia="zh-CN"/>
        </w:rPr>
        <w:t>中</w:t>
      </w:r>
      <w:r>
        <w:rPr>
          <w:rFonts w:hint="eastAsia" w:ascii="宋体" w:hAnsi="宋体" w:eastAsia="宋体" w:cs="宋体"/>
          <w:color w:val="auto"/>
          <w:kern w:val="0"/>
          <w:sz w:val="28"/>
          <w:szCs w:val="28"/>
          <w:highlight w:val="none"/>
        </w:rPr>
        <w:t>要求提供</w:t>
      </w:r>
      <w:r>
        <w:rPr>
          <w:rFonts w:hint="eastAsia" w:ascii="宋体" w:hAnsi="宋体" w:eastAsia="宋体" w:cs="宋体"/>
          <w:color w:val="auto"/>
          <w:kern w:val="0"/>
          <w:sz w:val="28"/>
          <w:szCs w:val="28"/>
          <w:highlight w:val="none"/>
          <w:lang w:val="en-US" w:eastAsia="zh-CN"/>
        </w:rPr>
        <w:t>的承诺函</w:t>
      </w:r>
      <w:r>
        <w:rPr>
          <w:rFonts w:hint="eastAsia" w:ascii="宋体" w:hAnsi="宋体" w:eastAsia="宋体" w:cs="宋体"/>
          <w:color w:val="auto"/>
          <w:kern w:val="0"/>
          <w:sz w:val="28"/>
          <w:szCs w:val="28"/>
          <w:highlight w:val="none"/>
        </w:rPr>
        <w:t>（格式见附件</w:t>
      </w:r>
      <w:r>
        <w:rPr>
          <w:rFonts w:hint="eastAsia" w:ascii="宋体" w:hAnsi="宋体" w:eastAsia="宋体" w:cs="宋体"/>
          <w:color w:val="auto"/>
          <w:kern w:val="0"/>
          <w:sz w:val="28"/>
          <w:szCs w:val="28"/>
          <w:highlight w:val="none"/>
          <w:lang w:val="en-US" w:eastAsia="zh-CN"/>
        </w:rPr>
        <w:t>5</w:t>
      </w:r>
      <w:r>
        <w:rPr>
          <w:rFonts w:hint="eastAsia" w:ascii="宋体" w:hAnsi="宋体" w:eastAsia="宋体" w:cs="宋体"/>
          <w:color w:val="auto"/>
          <w:kern w:val="0"/>
          <w:sz w:val="28"/>
          <w:szCs w:val="28"/>
          <w:highlight w:val="none"/>
          <w:lang w:eastAsia="zh-CN"/>
        </w:rPr>
        <w:t>）；</w:t>
      </w:r>
      <w:r>
        <w:rPr>
          <w:rFonts w:hint="eastAsia" w:ascii="宋体" w:hAnsi="宋体" w:cs="宋体"/>
          <w:bCs/>
          <w:color w:val="auto"/>
          <w:kern w:val="0"/>
          <w:sz w:val="28"/>
          <w:szCs w:val="28"/>
          <w:highlight w:val="none"/>
          <w:lang w:val="zh-CN"/>
        </w:rPr>
        <w:t>技术要求响应及偏离表（格式见附件</w:t>
      </w:r>
      <w:r>
        <w:rPr>
          <w:rFonts w:hint="eastAsia" w:ascii="宋体" w:hAnsi="宋体" w:cs="宋体"/>
          <w:bCs/>
          <w:color w:val="auto"/>
          <w:kern w:val="0"/>
          <w:sz w:val="28"/>
          <w:szCs w:val="28"/>
          <w:highlight w:val="none"/>
          <w:lang w:val="en-US" w:eastAsia="zh-CN"/>
        </w:rPr>
        <w:t>6</w:t>
      </w:r>
      <w:r>
        <w:rPr>
          <w:rFonts w:hint="eastAsia" w:ascii="宋体" w:hAnsi="宋体" w:cs="宋体"/>
          <w:bCs/>
          <w:color w:val="auto"/>
          <w:kern w:val="0"/>
          <w:sz w:val="28"/>
          <w:szCs w:val="28"/>
          <w:highlight w:val="none"/>
          <w:lang w:val="zh-CN"/>
        </w:rPr>
        <w:t>）</w:t>
      </w:r>
      <w:r>
        <w:rPr>
          <w:rFonts w:hint="eastAsia" w:ascii="宋体" w:hAnsi="宋体" w:eastAsia="宋体" w:cs="宋体"/>
          <w:color w:val="auto"/>
          <w:kern w:val="0"/>
          <w:sz w:val="28"/>
          <w:szCs w:val="28"/>
          <w:highlight w:val="none"/>
          <w:lang w:val="en-US" w:eastAsia="zh-CN"/>
        </w:rPr>
        <w:t>及</w:t>
      </w:r>
      <w:r>
        <w:rPr>
          <w:rFonts w:hint="eastAsia" w:ascii="宋体" w:hAnsi="宋体" w:cs="宋体"/>
          <w:color w:val="auto"/>
          <w:kern w:val="0"/>
          <w:sz w:val="28"/>
          <w:szCs w:val="28"/>
          <w:highlight w:val="none"/>
          <w:lang w:val="en-US" w:eastAsia="zh-CN"/>
        </w:rPr>
        <w:t>要求提供的</w:t>
      </w:r>
      <w:r>
        <w:rPr>
          <w:rFonts w:hint="eastAsia" w:ascii="宋体" w:hAnsi="宋体" w:eastAsia="宋体" w:cs="宋体"/>
          <w:color w:val="auto"/>
          <w:kern w:val="0"/>
          <w:sz w:val="28"/>
          <w:szCs w:val="28"/>
          <w:highlight w:val="none"/>
          <w:lang w:val="en-US" w:eastAsia="zh-CN"/>
        </w:rPr>
        <w:t>检测报告。</w:t>
      </w:r>
    </w:p>
    <w:p w14:paraId="0D1EA74A">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二、商务技术文件（不能出现价格文件）</w:t>
      </w:r>
    </w:p>
    <w:p w14:paraId="0F9844B5">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bCs/>
          <w:color w:val="auto"/>
          <w:kern w:val="0"/>
          <w:sz w:val="28"/>
          <w:szCs w:val="28"/>
          <w:highlight w:val="none"/>
          <w:lang w:val="en-US" w:eastAsia="zh-CN"/>
        </w:rPr>
        <w:t>1.</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lang w:val="en-US" w:eastAsia="zh-CN"/>
        </w:rPr>
        <w:t>7</w:t>
      </w:r>
      <w:r>
        <w:rPr>
          <w:rFonts w:hint="eastAsia" w:ascii="宋体" w:hAnsi="宋体" w:cs="宋体"/>
          <w:bCs/>
          <w:color w:val="auto"/>
          <w:kern w:val="0"/>
          <w:sz w:val="28"/>
          <w:szCs w:val="28"/>
          <w:highlight w:val="none"/>
          <w:lang w:val="zh-CN"/>
        </w:rPr>
        <w:t>）；</w:t>
      </w:r>
    </w:p>
    <w:p w14:paraId="2F845F90">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lang w:val="zh-CN"/>
        </w:rPr>
        <w:t>为方便评委评审，请</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按评审办法中所涉及的事项顺序进行编制，可以补充相关材料；</w:t>
      </w:r>
    </w:p>
    <w:p w14:paraId="64A7B406">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lang w:val="zh-CN"/>
        </w:rPr>
        <w:t>评审办法中未涉及的事项，</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认为需要提交的其他资料。</w:t>
      </w:r>
    </w:p>
    <w:p w14:paraId="0AC84F63">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三、价格文件</w:t>
      </w:r>
    </w:p>
    <w:p w14:paraId="3020B393">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1.开标一览表（格式见附件</w:t>
      </w:r>
      <w:r>
        <w:rPr>
          <w:rFonts w:hint="eastAsia" w:ascii="宋体" w:hAnsi="宋体" w:cs="宋体"/>
          <w:color w:val="auto"/>
          <w:kern w:val="0"/>
          <w:sz w:val="28"/>
          <w:szCs w:val="28"/>
          <w:highlight w:val="none"/>
          <w:lang w:val="en-US" w:eastAsia="zh-CN"/>
        </w:rPr>
        <w:t>8</w:t>
      </w:r>
      <w:r>
        <w:rPr>
          <w:rFonts w:hint="eastAsia" w:ascii="宋体" w:hAnsi="宋体" w:cs="宋体"/>
          <w:color w:val="auto"/>
          <w:kern w:val="0"/>
          <w:sz w:val="28"/>
          <w:szCs w:val="28"/>
          <w:highlight w:val="none"/>
          <w:lang w:val="zh-CN"/>
        </w:rPr>
        <w:t>）；</w:t>
      </w:r>
    </w:p>
    <w:p w14:paraId="63FAEF7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2.</w:t>
      </w:r>
      <w:r>
        <w:rPr>
          <w:rFonts w:hint="eastAsia" w:ascii="宋体" w:hAnsi="宋体" w:cs="宋体"/>
          <w:color w:val="auto"/>
          <w:kern w:val="0"/>
          <w:sz w:val="28"/>
          <w:szCs w:val="28"/>
          <w:highlight w:val="none"/>
          <w:lang w:val="en-US" w:eastAsia="zh-CN"/>
        </w:rPr>
        <w:t>投标</w:t>
      </w:r>
      <w:r>
        <w:rPr>
          <w:rFonts w:hint="eastAsia" w:ascii="宋体" w:hAnsi="宋体" w:cs="宋体"/>
          <w:color w:val="auto"/>
          <w:kern w:val="0"/>
          <w:sz w:val="28"/>
          <w:szCs w:val="28"/>
          <w:highlight w:val="none"/>
        </w:rPr>
        <w:t>分项报价表（格式见附件</w:t>
      </w:r>
      <w:r>
        <w:rPr>
          <w:rFonts w:hint="eastAsia" w:ascii="宋体" w:hAnsi="宋体" w:cs="宋体"/>
          <w:color w:val="auto"/>
          <w:kern w:val="0"/>
          <w:sz w:val="28"/>
          <w:szCs w:val="28"/>
          <w:highlight w:val="none"/>
          <w:lang w:val="en-US" w:eastAsia="zh-CN"/>
        </w:rPr>
        <w:t>9</w:t>
      </w:r>
      <w:r>
        <w:rPr>
          <w:rFonts w:hint="eastAsia" w:ascii="宋体" w:hAnsi="宋体" w:cs="宋体"/>
          <w:color w:val="auto"/>
          <w:kern w:val="0"/>
          <w:sz w:val="28"/>
          <w:szCs w:val="28"/>
          <w:highlight w:val="none"/>
        </w:rPr>
        <w:t>）；</w:t>
      </w:r>
    </w:p>
    <w:p w14:paraId="53769E4D">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3.投标人信用承诺书（格式见附件</w:t>
      </w:r>
      <w:r>
        <w:rPr>
          <w:rFonts w:hint="eastAsia" w:ascii="宋体" w:hAnsi="宋体" w:cs="宋体"/>
          <w:color w:val="auto"/>
          <w:kern w:val="0"/>
          <w:sz w:val="28"/>
          <w:szCs w:val="28"/>
          <w:highlight w:val="none"/>
          <w:lang w:val="en-US" w:eastAsia="zh-CN"/>
        </w:rPr>
        <w:t>10</w:t>
      </w:r>
      <w:r>
        <w:rPr>
          <w:rFonts w:hint="eastAsia" w:ascii="宋体" w:hAnsi="宋体" w:cs="宋体"/>
          <w:color w:val="auto"/>
          <w:kern w:val="0"/>
          <w:sz w:val="28"/>
          <w:szCs w:val="28"/>
          <w:highlight w:val="none"/>
        </w:rPr>
        <w:t>）。</w:t>
      </w:r>
    </w:p>
    <w:p w14:paraId="63EEFCBE">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四、电子投标文件（一份、单独密封提供）</w:t>
      </w:r>
    </w:p>
    <w:p w14:paraId="05E4426D">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电子投标文件的内容为“资格审查文件、商务技术文件、价格文件”的打印盖章（或电子签章）后的投标文件的扫描件（资格审查文件、商务技术文件、价格文件需分别逐页连续扫描为三个独立的PDF文件）。</w:t>
      </w:r>
    </w:p>
    <w:p w14:paraId="0653E9F4">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附件1</w:t>
      </w:r>
    </w:p>
    <w:p w14:paraId="1C6A8370">
      <w:pPr>
        <w:spacing w:line="460" w:lineRule="exact"/>
        <w:jc w:val="center"/>
        <w:rPr>
          <w:rFonts w:hint="eastAsia" w:ascii="宋体" w:hAnsi="宋体" w:cs="宋体"/>
          <w:b/>
          <w:color w:val="auto"/>
          <w:sz w:val="30"/>
          <w:szCs w:val="30"/>
          <w:highlight w:val="none"/>
        </w:rPr>
      </w:pPr>
    </w:p>
    <w:p w14:paraId="301A428A">
      <w:pPr>
        <w:spacing w:line="460" w:lineRule="exact"/>
        <w:jc w:val="center"/>
        <w:rPr>
          <w:rFonts w:hint="eastAsia" w:ascii="宋体" w:hAnsi="宋体" w:cs="宋体"/>
          <w:b/>
          <w:color w:val="auto"/>
          <w:sz w:val="32"/>
          <w:szCs w:val="32"/>
          <w:highlight w:val="none"/>
        </w:rPr>
      </w:pPr>
    </w:p>
    <w:p w14:paraId="036089B5">
      <w:pPr>
        <w:spacing w:line="46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符合投标人资格要求的承诺函</w:t>
      </w:r>
    </w:p>
    <w:p w14:paraId="5C68F559">
      <w:pPr>
        <w:spacing w:line="460" w:lineRule="exact"/>
        <w:rPr>
          <w:rFonts w:hint="eastAsia" w:ascii="宋体" w:hAnsi="宋体" w:eastAsia="宋体" w:cs="宋体"/>
          <w:b/>
          <w:bCs/>
          <w:color w:val="auto"/>
          <w:sz w:val="48"/>
          <w:szCs w:val="48"/>
          <w:highlight w:val="none"/>
          <w:lang w:eastAsia="zh-CN"/>
        </w:rPr>
      </w:pPr>
    </w:p>
    <w:p w14:paraId="0C786705">
      <w:pPr>
        <w:spacing w:line="460" w:lineRule="exact"/>
        <w:ind w:firstLine="560" w:firstLineChars="200"/>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2"/>
          <w:highlight w:val="none"/>
          <w:u w:val="single"/>
        </w:rPr>
        <w:t>_________________</w:t>
      </w:r>
      <w:r>
        <w:rPr>
          <w:rFonts w:hint="eastAsia" w:ascii="宋体" w:hAnsi="宋体" w:cs="宋体"/>
          <w:bCs/>
          <w:color w:val="auto"/>
          <w:sz w:val="28"/>
          <w:szCs w:val="22"/>
          <w:highlight w:val="none"/>
        </w:rPr>
        <w:t>（项目名称），</w:t>
      </w:r>
      <w:r>
        <w:rPr>
          <w:rFonts w:hint="eastAsia" w:ascii="宋体" w:hAnsi="宋体" w:cs="宋体"/>
          <w:bCs/>
          <w:color w:val="auto"/>
          <w:sz w:val="28"/>
          <w:szCs w:val="22"/>
          <w:highlight w:val="none"/>
          <w:u w:val="single"/>
        </w:rPr>
        <w:t>_________________</w:t>
      </w:r>
      <w:r>
        <w:rPr>
          <w:rFonts w:hint="eastAsia" w:ascii="宋体" w:hAnsi="宋体" w:cs="宋体"/>
          <w:bCs/>
          <w:color w:val="auto"/>
          <w:sz w:val="28"/>
          <w:szCs w:val="22"/>
          <w:highlight w:val="none"/>
        </w:rPr>
        <w:t>（项目编号）投标活动。现做出如下承诺：</w:t>
      </w:r>
    </w:p>
    <w:p w14:paraId="642A0033">
      <w:pPr>
        <w:spacing w:line="46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2"/>
          <w:highlight w:val="none"/>
        </w:rPr>
        <w:t>1.我单位具有独立承担民事责任的能力；</w:t>
      </w:r>
    </w:p>
    <w:p w14:paraId="2A7E16AD">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328A2AAD">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2E26810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419F107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w:t>
      </w:r>
    </w:p>
    <w:p w14:paraId="063C756E">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7EE49B88">
      <w:pPr>
        <w:spacing w:line="460" w:lineRule="exact"/>
        <w:ind w:firstLine="560" w:firstLineChars="200"/>
        <w:rPr>
          <w:rFonts w:hint="eastAsia" w:ascii="宋体" w:hAnsi="宋体" w:cs="宋体"/>
          <w:color w:val="auto"/>
          <w:sz w:val="28"/>
          <w:szCs w:val="28"/>
          <w:highlight w:val="none"/>
        </w:rPr>
      </w:pPr>
    </w:p>
    <w:p w14:paraId="7735FB68">
      <w:pPr>
        <w:spacing w:line="460" w:lineRule="exact"/>
        <w:ind w:firstLine="560" w:firstLineChars="200"/>
        <w:rPr>
          <w:rFonts w:hint="eastAsia" w:ascii="宋体" w:hAnsi="宋体" w:cs="宋体"/>
          <w:color w:val="auto"/>
          <w:sz w:val="28"/>
          <w:szCs w:val="28"/>
          <w:highlight w:val="none"/>
        </w:rPr>
      </w:pPr>
    </w:p>
    <w:p w14:paraId="7D42B95B">
      <w:pPr>
        <w:spacing w:line="460" w:lineRule="exact"/>
        <w:ind w:firstLine="560" w:firstLineChars="200"/>
        <w:rPr>
          <w:rFonts w:hint="eastAsia" w:ascii="宋体" w:hAnsi="宋体" w:cs="宋体"/>
          <w:bCs/>
          <w:color w:val="auto"/>
          <w:sz w:val="28"/>
          <w:szCs w:val="22"/>
          <w:highlight w:val="none"/>
        </w:rPr>
      </w:pPr>
    </w:p>
    <w:p w14:paraId="4D9B5084">
      <w:pPr>
        <w:spacing w:line="460" w:lineRule="exact"/>
        <w:ind w:firstLine="560" w:firstLineChars="200"/>
        <w:rPr>
          <w:rFonts w:hint="eastAsia" w:ascii="宋体" w:hAnsi="宋体" w:cs="宋体"/>
          <w:bCs/>
          <w:color w:val="auto"/>
          <w:sz w:val="28"/>
          <w:szCs w:val="22"/>
          <w:highlight w:val="none"/>
        </w:rPr>
      </w:pPr>
    </w:p>
    <w:p w14:paraId="2E5C615A">
      <w:pPr>
        <w:spacing w:line="460" w:lineRule="exact"/>
        <w:ind w:firstLine="560" w:firstLineChars="200"/>
        <w:rPr>
          <w:rFonts w:hint="eastAsia" w:ascii="宋体" w:hAnsi="宋体" w:cs="宋体"/>
          <w:bCs/>
          <w:color w:val="auto"/>
          <w:sz w:val="28"/>
          <w:szCs w:val="22"/>
          <w:highlight w:val="none"/>
        </w:rPr>
      </w:pPr>
    </w:p>
    <w:p w14:paraId="51BBEF4F">
      <w:pPr>
        <w:spacing w:line="460" w:lineRule="exact"/>
        <w:ind w:firstLine="560" w:firstLineChars="200"/>
        <w:jc w:val="center"/>
        <w:rPr>
          <w:rFonts w:hint="eastAsia" w:ascii="宋体" w:hAnsi="宋体" w:cs="宋体"/>
          <w:bCs/>
          <w:color w:val="auto"/>
          <w:sz w:val="28"/>
          <w:szCs w:val="22"/>
          <w:highlight w:val="none"/>
        </w:rPr>
      </w:pPr>
      <w:r>
        <w:rPr>
          <w:rFonts w:hint="eastAsia" w:ascii="宋体" w:hAnsi="宋体" w:cs="宋体"/>
          <w:bCs/>
          <w:color w:val="auto"/>
          <w:sz w:val="28"/>
          <w:szCs w:val="22"/>
          <w:highlight w:val="none"/>
        </w:rPr>
        <w:t>承诺人名称（公章）：</w:t>
      </w:r>
    </w:p>
    <w:p w14:paraId="2BD07733">
      <w:pPr>
        <w:spacing w:line="460" w:lineRule="exact"/>
        <w:ind w:firstLine="560" w:firstLineChars="200"/>
        <w:jc w:val="right"/>
        <w:rPr>
          <w:rFonts w:hint="eastAsia" w:ascii="宋体" w:hAnsi="宋体" w:eastAsia="宋体" w:cs="宋体"/>
          <w:bCs/>
          <w:color w:val="auto"/>
          <w:sz w:val="28"/>
          <w:szCs w:val="22"/>
          <w:highlight w:val="none"/>
          <w:lang w:eastAsia="zh-CN"/>
        </w:rPr>
      </w:pPr>
    </w:p>
    <w:p w14:paraId="4150FB9E">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日期：</w:t>
      </w:r>
      <w:r>
        <w:rPr>
          <w:rFonts w:hint="eastAsia" w:ascii="宋体" w:hAnsi="宋体" w:cs="宋体"/>
          <w:bCs/>
          <w:color w:val="auto"/>
          <w:sz w:val="28"/>
          <w:szCs w:val="22"/>
          <w:highlight w:val="none"/>
          <w:u w:val="single"/>
        </w:rPr>
        <w:t>______</w:t>
      </w:r>
      <w:r>
        <w:rPr>
          <w:rFonts w:hint="eastAsia" w:ascii="宋体" w:hAnsi="宋体" w:cs="宋体"/>
          <w:bCs/>
          <w:color w:val="auto"/>
          <w:sz w:val="28"/>
          <w:szCs w:val="22"/>
          <w:highlight w:val="none"/>
        </w:rPr>
        <w:t>年月日</w:t>
      </w:r>
    </w:p>
    <w:p w14:paraId="3BBD6D51">
      <w:pPr>
        <w:spacing w:line="460" w:lineRule="exact"/>
        <w:jc w:val="right"/>
        <w:rPr>
          <w:rFonts w:hint="eastAsia" w:ascii="宋体" w:hAnsi="宋体" w:cs="宋体"/>
          <w:bCs/>
          <w:color w:val="auto"/>
          <w:sz w:val="28"/>
          <w:szCs w:val="22"/>
          <w:highlight w:val="none"/>
        </w:rPr>
      </w:pPr>
    </w:p>
    <w:p w14:paraId="7AC74A00">
      <w:pPr>
        <w:rPr>
          <w:rFonts w:hint="eastAsia" w:ascii="宋体" w:hAnsi="宋体" w:cs="宋体"/>
          <w:color w:val="auto"/>
          <w:szCs w:val="21"/>
          <w:highlight w:val="none"/>
        </w:rPr>
      </w:pPr>
    </w:p>
    <w:p w14:paraId="252C76E7">
      <w:pPr>
        <w:snapToGrid w:val="0"/>
        <w:spacing w:line="400" w:lineRule="exact"/>
        <w:contextualSpacing/>
        <w:rPr>
          <w:rFonts w:hint="eastAsia" w:ascii="宋体" w:hAnsi="宋体" w:cs="宋体"/>
          <w:b/>
          <w:color w:val="auto"/>
          <w:kern w:val="0"/>
          <w:sz w:val="28"/>
          <w:szCs w:val="28"/>
          <w:highlight w:val="none"/>
          <w:lang w:val="zh-CN"/>
        </w:rPr>
      </w:pPr>
    </w:p>
    <w:p w14:paraId="4E700E57">
      <w:pPr>
        <w:snapToGrid w:val="0"/>
        <w:spacing w:line="400" w:lineRule="exact"/>
        <w:contextualSpacing/>
        <w:rPr>
          <w:rFonts w:hint="eastAsia" w:ascii="宋体" w:hAnsi="宋体" w:cs="宋体"/>
          <w:b/>
          <w:color w:val="auto"/>
          <w:kern w:val="0"/>
          <w:sz w:val="28"/>
          <w:szCs w:val="28"/>
          <w:highlight w:val="none"/>
          <w:lang w:val="zh-CN"/>
        </w:rPr>
      </w:pPr>
    </w:p>
    <w:p w14:paraId="59CC6BA5">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附件2</w:t>
      </w:r>
    </w:p>
    <w:p w14:paraId="5B6E03FC">
      <w:pPr>
        <w:spacing w:line="460" w:lineRule="exact"/>
        <w:jc w:val="center"/>
        <w:rPr>
          <w:rFonts w:hint="eastAsia" w:ascii="宋体" w:hAnsi="宋体" w:cs="宋体"/>
          <w:b/>
          <w:bCs/>
          <w:color w:val="auto"/>
          <w:sz w:val="32"/>
          <w:szCs w:val="32"/>
          <w:highlight w:val="none"/>
        </w:rPr>
      </w:pPr>
    </w:p>
    <w:p w14:paraId="4F9110F0">
      <w:pPr>
        <w:spacing w:line="46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5F7A83A2">
      <w:pPr>
        <w:spacing w:line="460" w:lineRule="exact"/>
        <w:rPr>
          <w:rFonts w:hint="eastAsia" w:ascii="宋体" w:hAnsi="宋体" w:cs="宋体"/>
          <w:color w:val="auto"/>
          <w:sz w:val="24"/>
          <w:highlight w:val="none"/>
        </w:rPr>
      </w:pPr>
    </w:p>
    <w:p w14:paraId="06ECA18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先生/女士：现任我单位职务，为法定代表人，特此证明。</w:t>
      </w:r>
    </w:p>
    <w:p w14:paraId="08095CB7">
      <w:pPr>
        <w:spacing w:line="460" w:lineRule="exact"/>
        <w:ind w:firstLine="480"/>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身份证号码：</w:t>
      </w:r>
    </w:p>
    <w:p w14:paraId="5332CA27">
      <w:pPr>
        <w:spacing w:line="460" w:lineRule="exact"/>
        <w:ind w:firstLine="480"/>
        <w:rPr>
          <w:rFonts w:hint="eastAsia" w:ascii="宋体" w:hAnsi="宋体" w:cs="宋体"/>
          <w:color w:val="auto"/>
          <w:sz w:val="28"/>
          <w:szCs w:val="28"/>
          <w:highlight w:val="none"/>
        </w:rPr>
      </w:pPr>
    </w:p>
    <w:p w14:paraId="1D00050D">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注：提供法定代表人的身份证复印件。</w:t>
      </w:r>
    </w:p>
    <w:p w14:paraId="31D4E356">
      <w:pPr>
        <w:spacing w:line="460" w:lineRule="exact"/>
        <w:ind w:firstLine="560" w:firstLineChars="200"/>
        <w:rPr>
          <w:rFonts w:hint="eastAsia" w:ascii="宋体" w:hAnsi="宋体" w:cs="宋体"/>
          <w:color w:val="auto"/>
          <w:sz w:val="28"/>
          <w:szCs w:val="28"/>
          <w:highlight w:val="none"/>
        </w:rPr>
      </w:pPr>
    </w:p>
    <w:p w14:paraId="1FF8B317">
      <w:pPr>
        <w:spacing w:line="460" w:lineRule="exact"/>
        <w:rPr>
          <w:rFonts w:hint="eastAsia" w:ascii="宋体" w:hAnsi="宋体" w:cs="宋体"/>
          <w:color w:val="auto"/>
          <w:highlight w:val="none"/>
        </w:rPr>
      </w:pPr>
    </w:p>
    <w:p w14:paraId="251E79DB">
      <w:pPr>
        <w:snapToGrid w:val="0"/>
        <w:spacing w:line="460" w:lineRule="exact"/>
        <w:ind w:firstLine="540" w:firstLineChars="192"/>
        <w:contextualSpacing/>
        <w:rPr>
          <w:rFonts w:hint="eastAsia" w:ascii="宋体" w:hAnsi="宋体" w:cs="宋体"/>
          <w:b/>
          <w:color w:val="auto"/>
          <w:kern w:val="0"/>
          <w:sz w:val="28"/>
          <w:szCs w:val="28"/>
          <w:highlight w:val="none"/>
        </w:rPr>
      </w:pPr>
    </w:p>
    <w:p w14:paraId="3B224B43">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0F4BE159">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8DC71D4">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9581B2F">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51C27C6">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FCCDD83">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5AAC257">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56BD4D8">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1173B842">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6A35A88">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3F3954B">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0CE0ECD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ACEE60E">
      <w:pPr>
        <w:pStyle w:val="3"/>
        <w:rPr>
          <w:rFonts w:hint="eastAsia" w:ascii="宋体" w:hAnsi="宋体" w:eastAsia="宋体" w:cs="宋体"/>
          <w:b/>
          <w:color w:val="auto"/>
          <w:szCs w:val="28"/>
          <w:highlight w:val="none"/>
          <w:lang w:val="zh-CN"/>
        </w:rPr>
      </w:pPr>
    </w:p>
    <w:p w14:paraId="37617B4D">
      <w:pPr>
        <w:pStyle w:val="4"/>
        <w:rPr>
          <w:rFonts w:hint="eastAsia" w:ascii="宋体" w:hAnsi="宋体" w:cs="宋体"/>
          <w:color w:val="auto"/>
          <w:highlight w:val="none"/>
          <w:lang w:val="zh-CN"/>
        </w:rPr>
      </w:pPr>
    </w:p>
    <w:p w14:paraId="54BF929C">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828C220">
      <w:pPr>
        <w:snapToGrid w:val="0"/>
        <w:spacing w:line="460" w:lineRule="exact"/>
        <w:contextualSpacing/>
        <w:rPr>
          <w:rFonts w:hint="eastAsia" w:ascii="宋体" w:hAnsi="宋体" w:cs="宋体"/>
          <w:b/>
          <w:color w:val="auto"/>
          <w:kern w:val="0"/>
          <w:sz w:val="28"/>
          <w:szCs w:val="28"/>
          <w:highlight w:val="none"/>
          <w:lang w:val="zh-CN"/>
        </w:rPr>
      </w:pPr>
    </w:p>
    <w:p w14:paraId="0CBB3C6A">
      <w:pPr>
        <w:snapToGrid w:val="0"/>
        <w:spacing w:line="460" w:lineRule="exact"/>
        <w:contextualSpacing/>
        <w:rPr>
          <w:rFonts w:hint="eastAsia" w:ascii="宋体" w:hAnsi="宋体" w:cs="宋体"/>
          <w:color w:val="auto"/>
          <w:kern w:val="0"/>
          <w:sz w:val="32"/>
          <w:szCs w:val="32"/>
          <w:highlight w:val="none"/>
          <w:lang w:val="zh-CN"/>
        </w:rPr>
      </w:pPr>
    </w:p>
    <w:p w14:paraId="32CD692C">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44759FFF">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7B2194F0">
      <w:pPr>
        <w:spacing w:line="460" w:lineRule="exact"/>
        <w:jc w:val="center"/>
        <w:rPr>
          <w:rFonts w:hint="eastAsia" w:ascii="宋体" w:hAnsi="宋体" w:cs="宋体"/>
          <w:color w:val="auto"/>
          <w:sz w:val="32"/>
          <w:szCs w:val="32"/>
          <w:highlight w:val="none"/>
        </w:rPr>
      </w:pPr>
    </w:p>
    <w:p w14:paraId="54784C96">
      <w:pPr>
        <w:spacing w:line="460" w:lineRule="exact"/>
        <w:ind w:firstLine="560" w:firstLineChars="20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133C1EF2">
      <w:pPr>
        <w:spacing w:line="460" w:lineRule="exact"/>
        <w:ind w:firstLine="560" w:firstLineChars="200"/>
        <w:rPr>
          <w:rFonts w:hint="eastAsia" w:ascii="宋体" w:hAnsi="宋体" w:cs="宋体"/>
          <w:color w:val="auto"/>
          <w:sz w:val="28"/>
          <w:szCs w:val="28"/>
          <w:highlight w:val="none"/>
        </w:rPr>
      </w:pPr>
    </w:p>
    <w:p w14:paraId="70E59CCF">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6D7B66CF">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5FB89FE4">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代理人(被授权人)（签字）:------</w:t>
      </w:r>
    </w:p>
    <w:p w14:paraId="1293FC2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51275D04">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55D9C048">
      <w:pPr>
        <w:spacing w:line="460" w:lineRule="exact"/>
        <w:ind w:firstLine="560" w:firstLineChars="200"/>
        <w:jc w:val="right"/>
        <w:rPr>
          <w:rFonts w:hint="eastAsia" w:ascii="宋体" w:hAnsi="宋体" w:cs="宋体"/>
          <w:color w:val="auto"/>
          <w:sz w:val="28"/>
          <w:szCs w:val="28"/>
          <w:highlight w:val="none"/>
        </w:rPr>
      </w:pPr>
    </w:p>
    <w:p w14:paraId="0251B620">
      <w:pPr>
        <w:spacing w:line="460" w:lineRule="exact"/>
        <w:ind w:firstLine="560" w:firstLineChars="200"/>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XXXX年XX月XX日</w:t>
      </w:r>
    </w:p>
    <w:p w14:paraId="3A1A673A">
      <w:pPr>
        <w:snapToGrid w:val="0"/>
        <w:spacing w:line="460" w:lineRule="exact"/>
        <w:ind w:firstLine="562" w:firstLineChars="200"/>
        <w:contextualSpacing/>
        <w:rPr>
          <w:rFonts w:hint="eastAsia" w:ascii="宋体" w:hAnsi="宋体" w:cs="宋体"/>
          <w:b/>
          <w:color w:val="auto"/>
          <w:kern w:val="0"/>
          <w:sz w:val="28"/>
          <w:szCs w:val="28"/>
          <w:highlight w:val="none"/>
        </w:rPr>
      </w:pPr>
    </w:p>
    <w:p w14:paraId="44C4325C">
      <w:pPr>
        <w:snapToGrid w:val="0"/>
        <w:spacing w:line="460" w:lineRule="exact"/>
        <w:ind w:firstLine="562" w:firstLineChars="200"/>
        <w:contextualSpacing/>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注：提供投标代表本人身份证复印件。</w:t>
      </w:r>
    </w:p>
    <w:p w14:paraId="44FD2762">
      <w:pPr>
        <w:snapToGrid w:val="0"/>
        <w:spacing w:line="400" w:lineRule="exact"/>
        <w:ind w:firstLine="540" w:firstLineChars="192"/>
        <w:contextualSpacing/>
        <w:rPr>
          <w:rFonts w:hint="eastAsia" w:ascii="宋体" w:hAnsi="宋体" w:cs="宋体"/>
          <w:b/>
          <w:color w:val="auto"/>
          <w:kern w:val="0"/>
          <w:sz w:val="28"/>
          <w:szCs w:val="28"/>
          <w:highlight w:val="none"/>
        </w:rPr>
        <w:sectPr>
          <w:pgSz w:w="11906" w:h="16838"/>
          <w:pgMar w:top="1440" w:right="1797" w:bottom="1440" w:left="1797" w:header="851" w:footer="992" w:gutter="0"/>
          <w:cols w:space="720" w:num="1"/>
          <w:docGrid w:type="lines" w:linePitch="312" w:charSpace="0"/>
        </w:sectPr>
      </w:pPr>
    </w:p>
    <w:p w14:paraId="4D45BF04">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附件4</w:t>
      </w:r>
    </w:p>
    <w:p w14:paraId="2CBBBE9F">
      <w:pPr>
        <w:spacing w:line="480" w:lineRule="exact"/>
        <w:jc w:val="center"/>
        <w:rPr>
          <w:rFonts w:hint="eastAsia" w:hAnsi="宋体" w:cs="宋体"/>
          <w:b/>
          <w:color w:val="auto"/>
          <w:sz w:val="28"/>
          <w:szCs w:val="28"/>
          <w:highlight w:val="none"/>
        </w:rPr>
      </w:pPr>
      <w:r>
        <w:rPr>
          <w:rFonts w:hint="eastAsia" w:hAnsi="宋体" w:cs="宋体"/>
          <w:b/>
          <w:color w:val="auto"/>
          <w:sz w:val="28"/>
          <w:szCs w:val="28"/>
          <w:highlight w:val="none"/>
        </w:rPr>
        <w:t>无重大违法记录声明</w:t>
      </w:r>
    </w:p>
    <w:p w14:paraId="10B05C2F">
      <w:pPr>
        <w:snapToGrid w:val="0"/>
        <w:spacing w:line="360" w:lineRule="auto"/>
        <w:rPr>
          <w:rFonts w:hint="eastAsia" w:hAnsi="宋体" w:cs="宋体"/>
          <w:bCs/>
          <w:color w:val="auto"/>
          <w:sz w:val="28"/>
          <w:szCs w:val="28"/>
          <w:highlight w:val="none"/>
        </w:rPr>
      </w:pPr>
    </w:p>
    <w:p w14:paraId="668F1841">
      <w:pPr>
        <w:snapToGrid w:val="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南通职业大学：</w:t>
      </w:r>
    </w:p>
    <w:p w14:paraId="41F9809E">
      <w:pPr>
        <w:snapToGrid w:val="0"/>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我公司郑重声明：参加本次采购活动前</w:t>
      </w:r>
      <w:r>
        <w:rPr>
          <w:rFonts w:hint="eastAsia" w:hAnsi="宋体" w:cs="宋体"/>
          <w:color w:val="auto"/>
          <w:sz w:val="28"/>
          <w:szCs w:val="28"/>
          <w:highlight w:val="none"/>
          <w:u w:val="single"/>
        </w:rPr>
        <w:t>3</w:t>
      </w:r>
      <w:r>
        <w:rPr>
          <w:rFonts w:hint="eastAsia" w:hAnsi="宋体" w:cs="宋体"/>
          <w:color w:val="auto"/>
          <w:sz w:val="28"/>
          <w:szCs w:val="28"/>
          <w:highlight w:val="none"/>
        </w:rPr>
        <w:t>年内，我公司在经营活动中</w:t>
      </w:r>
      <w:r>
        <w:rPr>
          <w:rFonts w:hint="eastAsia" w:hAnsi="宋体" w:cs="宋体"/>
          <w:b/>
          <w:bCs/>
          <w:color w:val="auto"/>
          <w:sz w:val="28"/>
          <w:szCs w:val="28"/>
          <w:highlight w:val="none"/>
          <w:u w:val="single"/>
        </w:rPr>
        <w:t>没有</w:t>
      </w:r>
      <w:r>
        <w:rPr>
          <w:rFonts w:hint="eastAsia" w:hAnsi="宋体" w:cs="宋体"/>
          <w:color w:val="auto"/>
          <w:sz w:val="28"/>
          <w:szCs w:val="28"/>
          <w:highlight w:val="none"/>
        </w:rPr>
        <w:t>因违法经营受到刑事处罚或者责令停产停业、吊销许可证或者执照、较大数额罚款等行政处罚。</w:t>
      </w:r>
    </w:p>
    <w:p w14:paraId="6F1FF780">
      <w:pPr>
        <w:widowControl/>
        <w:snapToGrid w:val="0"/>
        <w:spacing w:line="460" w:lineRule="exact"/>
        <w:ind w:firstLine="560" w:firstLineChars="200"/>
        <w:jc w:val="left"/>
        <w:rPr>
          <w:rFonts w:hint="eastAsia" w:hAnsi="宋体" w:cs="宋体"/>
          <w:color w:val="auto"/>
          <w:spacing w:val="7"/>
          <w:sz w:val="28"/>
          <w:szCs w:val="28"/>
          <w:highlight w:val="none"/>
          <w:shd w:val="clear" w:color="auto" w:fill="FFFFFF"/>
        </w:rPr>
      </w:pPr>
      <w:r>
        <w:rPr>
          <w:rFonts w:hint="eastAsia" w:hAnsi="宋体" w:cs="宋体"/>
          <w:color w:val="auto"/>
          <w:sz w:val="28"/>
          <w:szCs w:val="28"/>
          <w:highlight w:val="none"/>
        </w:rPr>
        <w:t>在响应截止时间节点，</w:t>
      </w:r>
      <w:r>
        <w:rPr>
          <w:rFonts w:hint="eastAsia" w:hAnsi="宋体" w:cs="宋体"/>
          <w:color w:val="auto"/>
          <w:spacing w:val="7"/>
          <w:sz w:val="28"/>
          <w:szCs w:val="28"/>
          <w:highlight w:val="none"/>
          <w:shd w:val="clear" w:color="auto" w:fill="FFFFFF"/>
        </w:rPr>
        <w:t>未被‘信用中国’网站列入失信被执行人、重大税收违法案件当事人名单、政府采购严重违法失信行为记录名单；未被中国政府采购网列入政府采购严重违法失信行为记录名单。</w:t>
      </w:r>
    </w:p>
    <w:p w14:paraId="60F0ACE0">
      <w:pPr>
        <w:tabs>
          <w:tab w:val="left" w:pos="5325"/>
        </w:tabs>
        <w:snapToGrid w:val="0"/>
        <w:spacing w:line="360" w:lineRule="auto"/>
        <w:ind w:firstLine="560" w:firstLineChars="200"/>
        <w:contextualSpacing/>
        <w:rPr>
          <w:rFonts w:hint="eastAsia" w:hAnsi="宋体" w:cs="宋体"/>
          <w:bCs/>
          <w:color w:val="auto"/>
          <w:sz w:val="28"/>
          <w:szCs w:val="28"/>
          <w:highlight w:val="none"/>
        </w:rPr>
      </w:pPr>
    </w:p>
    <w:p w14:paraId="475B3342">
      <w:pPr>
        <w:snapToGrid w:val="0"/>
        <w:spacing w:line="360" w:lineRule="auto"/>
        <w:ind w:firstLine="200"/>
        <w:rPr>
          <w:rFonts w:hint="eastAsia" w:hAnsi="宋体" w:cs="宋体"/>
          <w:color w:val="auto"/>
          <w:sz w:val="28"/>
          <w:szCs w:val="28"/>
          <w:highlight w:val="none"/>
        </w:rPr>
      </w:pPr>
    </w:p>
    <w:p w14:paraId="570BEE71">
      <w:pPr>
        <w:snapToGrid w:val="0"/>
        <w:spacing w:line="480" w:lineRule="auto"/>
        <w:ind w:right="720" w:firstLine="560" w:firstLineChars="200"/>
        <w:contextualSpacing/>
        <w:jc w:val="right"/>
        <w:rPr>
          <w:rFonts w:hint="eastAsia" w:hAnsi="宋体" w:cs="宋体"/>
          <w:color w:val="auto"/>
          <w:sz w:val="28"/>
          <w:szCs w:val="28"/>
          <w:highlight w:val="none"/>
          <w:u w:val="single"/>
        </w:rPr>
      </w:pPr>
      <w:r>
        <w:rPr>
          <w:rFonts w:hint="eastAsia" w:hAnsi="宋体" w:cs="宋体"/>
          <w:color w:val="auto"/>
          <w:sz w:val="28"/>
          <w:szCs w:val="28"/>
          <w:highlight w:val="none"/>
        </w:rPr>
        <w:t>法定代表人或授权委托人签字：</w:t>
      </w:r>
    </w:p>
    <w:p w14:paraId="577D1FFC">
      <w:pPr>
        <w:snapToGrid w:val="0"/>
        <w:spacing w:line="480" w:lineRule="auto"/>
        <w:ind w:right="720" w:firstLine="560" w:firstLineChars="200"/>
        <w:contextualSpacing/>
        <w:jc w:val="right"/>
        <w:rPr>
          <w:rFonts w:hint="eastAsia" w:hAnsi="宋体" w:cs="宋体"/>
          <w:color w:val="auto"/>
          <w:sz w:val="28"/>
          <w:szCs w:val="28"/>
          <w:highlight w:val="none"/>
        </w:rPr>
      </w:pPr>
      <w:r>
        <w:rPr>
          <w:rFonts w:hint="eastAsia" w:hAnsi="宋体" w:cs="宋体"/>
          <w:color w:val="auto"/>
          <w:sz w:val="28"/>
          <w:szCs w:val="28"/>
          <w:highlight w:val="none"/>
        </w:rPr>
        <w:t>供应商名称（盖章）：</w:t>
      </w:r>
    </w:p>
    <w:p w14:paraId="484FC726">
      <w:pPr>
        <w:snapToGrid w:val="0"/>
        <w:spacing w:line="360" w:lineRule="auto"/>
        <w:ind w:firstLine="560" w:firstLineChars="200"/>
        <w:jc w:val="center"/>
        <w:rPr>
          <w:rFonts w:hint="eastAsia" w:hAnsi="宋体" w:cs="宋体"/>
          <w:color w:val="auto"/>
          <w:sz w:val="28"/>
          <w:szCs w:val="28"/>
          <w:highlight w:val="none"/>
        </w:rPr>
      </w:pPr>
      <w:r>
        <w:rPr>
          <w:rFonts w:hint="eastAsia" w:hAnsi="宋体" w:cs="宋体"/>
          <w:color w:val="auto"/>
          <w:sz w:val="28"/>
          <w:szCs w:val="28"/>
          <w:highlight w:val="none"/>
        </w:rPr>
        <w:t>日期：</w:t>
      </w:r>
    </w:p>
    <w:p w14:paraId="498DF39A">
      <w:pPr>
        <w:rPr>
          <w:rFonts w:hint="eastAsia" w:ascii="宋体" w:hAnsi="宋体" w:cs="宋体"/>
          <w:b/>
          <w:color w:val="auto"/>
          <w:sz w:val="28"/>
          <w:szCs w:val="28"/>
          <w:highlight w:val="none"/>
        </w:rPr>
      </w:pPr>
    </w:p>
    <w:p w14:paraId="39BC91D2">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5859A644">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附件5</w:t>
      </w:r>
    </w:p>
    <w:p w14:paraId="21EF2D11">
      <w:pPr>
        <w:ind w:firstLine="3960" w:firstLineChars="110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承诺函</w:t>
      </w:r>
    </w:p>
    <w:p w14:paraId="3BEE4F3A">
      <w:pPr>
        <w:keepNext w:val="0"/>
        <w:keepLines w:val="0"/>
        <w:pageBreakBefore w:val="0"/>
        <w:tabs>
          <w:tab w:val="left" w:pos="420"/>
        </w:tabs>
        <w:kinsoku/>
        <w:wordWrap/>
        <w:overflowPunct/>
        <w:topLinePunct w:val="0"/>
        <w:autoSpaceDE/>
        <w:autoSpaceDN/>
        <w:bidi w:val="0"/>
        <w:adjustRightInd/>
        <w:snapToGrid/>
        <w:spacing w:line="460" w:lineRule="exact"/>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lang w:eastAsia="zh-CN"/>
        </w:rPr>
        <w:t>南通</w:t>
      </w:r>
      <w:r>
        <w:rPr>
          <w:rFonts w:hint="eastAsia" w:ascii="宋体" w:hAnsi="宋体" w:eastAsia="宋体" w:cs="宋体"/>
          <w:i w:val="0"/>
          <w:iCs w:val="0"/>
          <w:color w:val="auto"/>
          <w:sz w:val="28"/>
          <w:szCs w:val="28"/>
          <w:highlight w:val="none"/>
          <w:u w:val="none"/>
          <w:lang w:val="en-US" w:eastAsia="zh-CN"/>
        </w:rPr>
        <w:t>职业大学</w:t>
      </w:r>
      <w:r>
        <w:rPr>
          <w:rFonts w:hint="eastAsia" w:ascii="宋体" w:hAnsi="宋体" w:eastAsia="宋体" w:cs="宋体"/>
          <w:i w:val="0"/>
          <w:iCs w:val="0"/>
          <w:color w:val="auto"/>
          <w:sz w:val="28"/>
          <w:szCs w:val="28"/>
          <w:highlight w:val="none"/>
          <w:u w:val="none"/>
          <w:lang w:eastAsia="zh-CN"/>
        </w:rPr>
        <w:t>：</w:t>
      </w:r>
    </w:p>
    <w:p w14:paraId="1E04A98D">
      <w:pPr>
        <w:keepNext w:val="0"/>
        <w:keepLines w:val="0"/>
        <w:pageBreakBefore w:val="0"/>
        <w:tabs>
          <w:tab w:val="left" w:pos="420"/>
        </w:tabs>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我方愿就由贵单位组织实施的</w:t>
      </w:r>
      <w:r>
        <w:rPr>
          <w:rFonts w:hint="eastAsia" w:ascii="宋体" w:hAnsi="宋体" w:cs="宋体"/>
          <w:i w:val="0"/>
          <w:iCs w:val="0"/>
          <w:color w:val="auto"/>
          <w:sz w:val="28"/>
          <w:szCs w:val="28"/>
          <w:highlight w:val="none"/>
          <w:u w:val="none"/>
          <w:lang w:eastAsia="zh-CN"/>
        </w:rPr>
        <w:t>南通职业大学钟秀校区食缘汇餐桌椅采购项目</w:t>
      </w:r>
      <w:r>
        <w:rPr>
          <w:rFonts w:hint="eastAsia" w:ascii="宋体" w:hAnsi="宋体" w:eastAsia="宋体" w:cs="宋体"/>
          <w:i w:val="0"/>
          <w:iCs w:val="0"/>
          <w:color w:val="auto"/>
          <w:sz w:val="28"/>
          <w:szCs w:val="28"/>
          <w:highlight w:val="none"/>
          <w:u w:val="none"/>
        </w:rPr>
        <w:t>招标活动进行响应，我方作如下承诺：</w:t>
      </w:r>
    </w:p>
    <w:p w14:paraId="40ED5B04">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i w:val="0"/>
          <w:iCs w:val="0"/>
          <w:color w:val="auto"/>
          <w:sz w:val="28"/>
          <w:szCs w:val="28"/>
          <w:highlight w:val="none"/>
          <w:u w:val="none"/>
        </w:rPr>
      </w:pPr>
      <w:r>
        <w:rPr>
          <w:rFonts w:hint="eastAsia" w:ascii="宋体" w:hAnsi="宋体" w:cs="宋体"/>
          <w:b/>
          <w:bCs/>
          <w:i w:val="0"/>
          <w:iCs w:val="0"/>
          <w:color w:val="auto"/>
          <w:sz w:val="28"/>
          <w:szCs w:val="28"/>
          <w:highlight w:val="none"/>
          <w:u w:val="none"/>
          <w:lang w:val="en-US" w:eastAsia="zh-CN"/>
        </w:rPr>
        <w:t>一、</w:t>
      </w:r>
      <w:r>
        <w:rPr>
          <w:rFonts w:hint="eastAsia" w:ascii="宋体" w:hAnsi="宋体" w:eastAsia="宋体" w:cs="宋体"/>
          <w:b/>
          <w:bCs/>
          <w:i w:val="0"/>
          <w:iCs w:val="0"/>
          <w:color w:val="auto"/>
          <w:sz w:val="28"/>
          <w:szCs w:val="28"/>
          <w:highlight w:val="none"/>
          <w:u w:val="none"/>
        </w:rPr>
        <w:t>技术部分实质性要求</w:t>
      </w:r>
    </w:p>
    <w:p w14:paraId="3996302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1.本项目所有技术参数内的尺寸规格不允许负偏离（正偏离见技术参数要求）。</w:t>
      </w:r>
      <w:r>
        <w:rPr>
          <w:rFonts w:hint="eastAsia" w:ascii="宋体" w:hAnsi="宋体" w:cs="宋体"/>
          <w:i w:val="0"/>
          <w:iCs w:val="0"/>
          <w:color w:val="auto"/>
          <w:sz w:val="28"/>
          <w:szCs w:val="28"/>
          <w:highlight w:val="none"/>
          <w:u w:val="none"/>
          <w:lang w:val="en-US" w:eastAsia="zh-CN"/>
        </w:rPr>
        <w:t>若我方中标，我方</w:t>
      </w:r>
      <w:r>
        <w:rPr>
          <w:rFonts w:hint="eastAsia" w:ascii="宋体" w:hAnsi="宋体" w:eastAsia="宋体" w:cs="宋体"/>
          <w:i w:val="0"/>
          <w:iCs w:val="0"/>
          <w:color w:val="auto"/>
          <w:sz w:val="28"/>
          <w:szCs w:val="28"/>
          <w:highlight w:val="none"/>
          <w:u w:val="none"/>
        </w:rPr>
        <w:t>严格遵守参数规格</w:t>
      </w:r>
      <w:r>
        <w:rPr>
          <w:rFonts w:hint="eastAsia" w:ascii="宋体" w:hAnsi="宋体" w:eastAsia="宋体" w:cs="宋体"/>
          <w:i w:val="0"/>
          <w:iCs w:val="0"/>
          <w:color w:val="auto"/>
          <w:sz w:val="28"/>
          <w:szCs w:val="28"/>
          <w:highlight w:val="none"/>
          <w:u w:val="none"/>
          <w:lang w:eastAsia="zh-CN"/>
        </w:rPr>
        <w:t>，</w:t>
      </w:r>
      <w:r>
        <w:rPr>
          <w:rFonts w:hint="eastAsia" w:ascii="宋体" w:hAnsi="宋体" w:eastAsia="宋体" w:cs="宋体"/>
          <w:i w:val="0"/>
          <w:iCs w:val="0"/>
          <w:color w:val="auto"/>
          <w:sz w:val="28"/>
          <w:szCs w:val="28"/>
          <w:highlight w:val="none"/>
          <w:u w:val="none"/>
        </w:rPr>
        <w:t>可对产品进行优化设计。</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与采购人签订合同后一周内提供</w:t>
      </w:r>
      <w:r>
        <w:rPr>
          <w:rFonts w:hint="eastAsia" w:ascii="宋体" w:hAnsi="宋体" w:eastAsia="宋体" w:cs="宋体"/>
          <w:i w:val="0"/>
          <w:iCs w:val="0"/>
          <w:color w:val="auto"/>
          <w:sz w:val="28"/>
          <w:szCs w:val="28"/>
          <w:highlight w:val="none"/>
          <w:u w:val="none"/>
          <w:lang w:eastAsia="zh-CN"/>
        </w:rPr>
        <w:t>符合采购人实质性需求的样品或</w:t>
      </w:r>
      <w:r>
        <w:rPr>
          <w:rFonts w:hint="eastAsia" w:ascii="宋体" w:hAnsi="宋体" w:eastAsia="宋体" w:cs="宋体"/>
          <w:i w:val="0"/>
          <w:iCs w:val="0"/>
          <w:color w:val="auto"/>
          <w:sz w:val="28"/>
          <w:szCs w:val="28"/>
          <w:highlight w:val="none"/>
          <w:u w:val="none"/>
        </w:rPr>
        <w:t>经过优化设计的样品（同时提供优化说明），待采购人确认后批量生产。低于参数要求的，适用相关违约责任条款。</w:t>
      </w:r>
    </w:p>
    <w:p w14:paraId="14350F6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2.</w:t>
      </w:r>
      <w:r>
        <w:rPr>
          <w:rFonts w:hint="eastAsia" w:ascii="宋体" w:hAnsi="宋体" w:cs="宋体"/>
          <w:i w:val="0"/>
          <w:iCs w:val="0"/>
          <w:color w:val="auto"/>
          <w:sz w:val="28"/>
          <w:szCs w:val="28"/>
          <w:highlight w:val="none"/>
          <w:u w:val="none"/>
          <w:lang w:val="en-US" w:eastAsia="zh-CN"/>
        </w:rPr>
        <w:t>我方自行前往</w:t>
      </w:r>
      <w:r>
        <w:rPr>
          <w:rFonts w:hint="eastAsia" w:ascii="宋体" w:hAnsi="宋体" w:eastAsia="宋体" w:cs="宋体"/>
          <w:i w:val="0"/>
          <w:iCs w:val="0"/>
          <w:color w:val="auto"/>
          <w:sz w:val="28"/>
          <w:szCs w:val="28"/>
          <w:highlight w:val="none"/>
          <w:u w:val="none"/>
        </w:rPr>
        <w:t>现场踏勘以充分了解安装现场位置、道路、储存空间、装卸限制及任何其它足以影响投标报价的情况，任何因忽视或误解现场情况而导致的索赔或供货期延长申请将不获批准，由此发生的任何费用由</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自理。</w:t>
      </w:r>
    </w:p>
    <w:p w14:paraId="34FAA10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cs="宋体"/>
          <w:i w:val="0"/>
          <w:iCs w:val="0"/>
          <w:color w:val="auto"/>
          <w:sz w:val="28"/>
          <w:szCs w:val="28"/>
          <w:highlight w:val="none"/>
          <w:u w:val="none"/>
          <w:lang w:val="en-US" w:eastAsia="zh-CN"/>
        </w:rPr>
        <w:t>3</w:t>
      </w:r>
      <w:r>
        <w:rPr>
          <w:rFonts w:hint="eastAsia" w:ascii="宋体" w:hAnsi="宋体" w:eastAsia="宋体" w:cs="宋体"/>
          <w:i w:val="0"/>
          <w:iCs w:val="0"/>
          <w:color w:val="auto"/>
          <w:sz w:val="28"/>
          <w:szCs w:val="28"/>
          <w:highlight w:val="none"/>
          <w:u w:val="none"/>
        </w:rPr>
        <w:t>.</w:t>
      </w:r>
      <w:r>
        <w:rPr>
          <w:rFonts w:hint="eastAsia" w:ascii="宋体" w:hAnsi="宋体" w:cs="宋体"/>
          <w:i w:val="0"/>
          <w:iCs w:val="0"/>
          <w:color w:val="auto"/>
          <w:sz w:val="28"/>
          <w:szCs w:val="28"/>
          <w:highlight w:val="none"/>
          <w:u w:val="none"/>
          <w:lang w:val="en-US" w:eastAsia="zh-CN"/>
        </w:rPr>
        <w:t>我方承诺</w:t>
      </w:r>
      <w:r>
        <w:rPr>
          <w:rFonts w:hint="eastAsia" w:ascii="宋体" w:hAnsi="宋体" w:eastAsia="宋体" w:cs="宋体"/>
          <w:i w:val="0"/>
          <w:iCs w:val="0"/>
          <w:color w:val="auto"/>
          <w:sz w:val="28"/>
          <w:szCs w:val="28"/>
          <w:highlight w:val="none"/>
          <w:u w:val="none"/>
        </w:rPr>
        <w:t>提供的所有货物满足招标文件要求，符合最新国家相关标准、行业标准、地方标准或者其他标准、规范（含原料和产品的安全、试验、检测、运输、安装等）。货物到达现场后，需报采购人同意后方可安装，对于将不合格的货物使用到本项目，一切损失及后果由</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自行承担。</w:t>
      </w:r>
    </w:p>
    <w:p w14:paraId="737C35D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cs="宋体"/>
          <w:i w:val="0"/>
          <w:iCs w:val="0"/>
          <w:color w:val="auto"/>
          <w:sz w:val="28"/>
          <w:szCs w:val="28"/>
          <w:highlight w:val="none"/>
          <w:u w:val="none"/>
          <w:lang w:val="en-US" w:eastAsia="zh-CN"/>
        </w:rPr>
        <w:t>4</w:t>
      </w:r>
      <w:r>
        <w:rPr>
          <w:rFonts w:hint="eastAsia" w:ascii="宋体" w:hAnsi="宋体" w:eastAsia="宋体" w:cs="宋体"/>
          <w:i w:val="0"/>
          <w:iCs w:val="0"/>
          <w:color w:val="auto"/>
          <w:sz w:val="28"/>
          <w:szCs w:val="28"/>
          <w:highlight w:val="none"/>
          <w:u w:val="none"/>
        </w:rPr>
        <w:t>.</w:t>
      </w:r>
      <w:r>
        <w:rPr>
          <w:rFonts w:hint="eastAsia" w:ascii="宋体" w:hAnsi="宋体" w:cs="宋体"/>
          <w:i w:val="0"/>
          <w:iCs w:val="0"/>
          <w:color w:val="auto"/>
          <w:sz w:val="28"/>
          <w:szCs w:val="28"/>
          <w:highlight w:val="none"/>
          <w:u w:val="none"/>
          <w:lang w:val="en-US" w:eastAsia="zh-CN"/>
        </w:rPr>
        <w:t>我方承诺</w:t>
      </w:r>
      <w:r>
        <w:rPr>
          <w:rFonts w:hint="eastAsia" w:ascii="宋体" w:hAnsi="宋体" w:eastAsia="宋体" w:cs="宋体"/>
          <w:i w:val="0"/>
          <w:iCs w:val="0"/>
          <w:color w:val="auto"/>
          <w:sz w:val="28"/>
          <w:szCs w:val="28"/>
          <w:highlight w:val="none"/>
          <w:u w:val="none"/>
        </w:rPr>
        <w:t>提供的所有货物与分项报价明细表注明的内容相符。</w:t>
      </w:r>
    </w:p>
    <w:p w14:paraId="3D64ACC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lang w:eastAsia="zh-CN"/>
        </w:rPr>
      </w:pPr>
      <w:r>
        <w:rPr>
          <w:rFonts w:hint="eastAsia" w:ascii="宋体" w:hAnsi="宋体" w:cs="宋体"/>
          <w:i w:val="0"/>
          <w:iCs w:val="0"/>
          <w:color w:val="auto"/>
          <w:sz w:val="28"/>
          <w:szCs w:val="28"/>
          <w:highlight w:val="none"/>
          <w:u w:val="none"/>
          <w:lang w:val="en-US" w:eastAsia="zh-CN"/>
        </w:rPr>
        <w:t>5</w:t>
      </w:r>
      <w:r>
        <w:rPr>
          <w:rFonts w:hint="eastAsia" w:ascii="宋体" w:hAnsi="宋体" w:eastAsia="宋体" w:cs="宋体"/>
          <w:i w:val="0"/>
          <w:iCs w:val="0"/>
          <w:color w:val="auto"/>
          <w:sz w:val="28"/>
          <w:szCs w:val="28"/>
          <w:highlight w:val="none"/>
          <w:u w:val="none"/>
        </w:rPr>
        <w:t>.油漆和金属配件使用环保合格的产品。</w:t>
      </w:r>
    </w:p>
    <w:p w14:paraId="2B1CC223">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i w:val="0"/>
          <w:iCs w:val="0"/>
          <w:color w:val="auto"/>
          <w:sz w:val="28"/>
          <w:szCs w:val="28"/>
          <w:highlight w:val="none"/>
          <w:u w:val="none"/>
        </w:rPr>
      </w:pPr>
      <w:r>
        <w:rPr>
          <w:rFonts w:hint="eastAsia" w:ascii="宋体" w:hAnsi="宋体" w:cs="宋体"/>
          <w:b/>
          <w:bCs/>
          <w:i w:val="0"/>
          <w:iCs w:val="0"/>
          <w:color w:val="auto"/>
          <w:sz w:val="28"/>
          <w:szCs w:val="28"/>
          <w:highlight w:val="none"/>
          <w:u w:val="none"/>
          <w:lang w:val="en-US" w:eastAsia="zh-CN"/>
        </w:rPr>
        <w:t>二、</w:t>
      </w:r>
      <w:r>
        <w:rPr>
          <w:rFonts w:hint="eastAsia" w:ascii="宋体" w:hAnsi="宋体" w:eastAsia="宋体" w:cs="宋体"/>
          <w:b/>
          <w:bCs/>
          <w:i w:val="0"/>
          <w:iCs w:val="0"/>
          <w:color w:val="auto"/>
          <w:sz w:val="28"/>
          <w:szCs w:val="28"/>
          <w:highlight w:val="none"/>
          <w:u w:val="none"/>
        </w:rPr>
        <w:t>商务部分实质性要求</w:t>
      </w:r>
    </w:p>
    <w:p w14:paraId="75FD068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1.项目相关期限</w:t>
      </w:r>
    </w:p>
    <w:p w14:paraId="17A9153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（1）履约保证金缴纳期限：</w:t>
      </w:r>
      <w:r>
        <w:rPr>
          <w:rFonts w:hint="eastAsia" w:ascii="宋体" w:hAnsi="宋体" w:cs="宋体"/>
          <w:i w:val="0"/>
          <w:iCs w:val="0"/>
          <w:color w:val="auto"/>
          <w:sz w:val="28"/>
          <w:szCs w:val="28"/>
          <w:highlight w:val="none"/>
          <w:u w:val="none"/>
          <w:lang w:val="en-US" w:eastAsia="zh-CN"/>
        </w:rPr>
        <w:t>若我方中标，我方在</w:t>
      </w:r>
      <w:r>
        <w:rPr>
          <w:rFonts w:hint="eastAsia" w:ascii="宋体" w:hAnsi="宋体" w:eastAsia="宋体" w:cs="宋体"/>
          <w:i w:val="0"/>
          <w:iCs w:val="0"/>
          <w:color w:val="auto"/>
          <w:sz w:val="28"/>
          <w:szCs w:val="28"/>
          <w:highlight w:val="none"/>
          <w:u w:val="none"/>
        </w:rPr>
        <w:t>本项目成交后</w:t>
      </w:r>
      <w:r>
        <w:rPr>
          <w:rFonts w:hint="eastAsia" w:ascii="宋体" w:hAnsi="宋体" w:cs="宋体"/>
          <w:i w:val="0"/>
          <w:iCs w:val="0"/>
          <w:color w:val="auto"/>
          <w:sz w:val="28"/>
          <w:szCs w:val="28"/>
          <w:highlight w:val="none"/>
          <w:u w:val="none"/>
          <w:lang w:val="en-US" w:eastAsia="zh-CN"/>
        </w:rPr>
        <w:t>缴纳本</w:t>
      </w:r>
      <w:r>
        <w:rPr>
          <w:rFonts w:hint="eastAsia" w:ascii="宋体" w:hAnsi="宋体" w:eastAsia="宋体" w:cs="宋体"/>
          <w:i w:val="0"/>
          <w:iCs w:val="0"/>
          <w:color w:val="auto"/>
          <w:sz w:val="28"/>
          <w:szCs w:val="28"/>
          <w:highlight w:val="none"/>
          <w:u w:val="none"/>
        </w:rPr>
        <w:t>项目</w:t>
      </w:r>
      <w:r>
        <w:rPr>
          <w:rFonts w:hint="eastAsia" w:ascii="宋体" w:hAnsi="宋体" w:cs="宋体"/>
          <w:i w:val="0"/>
          <w:iCs w:val="0"/>
          <w:color w:val="auto"/>
          <w:sz w:val="28"/>
          <w:szCs w:val="28"/>
          <w:highlight w:val="none"/>
          <w:u w:val="none"/>
          <w:lang w:val="en-US" w:eastAsia="zh-CN"/>
        </w:rPr>
        <w:t>中标</w:t>
      </w:r>
      <w:r>
        <w:rPr>
          <w:rFonts w:hint="eastAsia" w:ascii="宋体" w:hAnsi="宋体" w:eastAsia="宋体" w:cs="宋体"/>
          <w:i w:val="0"/>
          <w:iCs w:val="0"/>
          <w:color w:val="auto"/>
          <w:sz w:val="28"/>
          <w:szCs w:val="28"/>
          <w:highlight w:val="none"/>
          <w:u w:val="none"/>
        </w:rPr>
        <w:t>价（合同总价款）的10%。履约保证金在成交通知书发出之日起至合同签订前汇入采购人指定账户（应当以数字人民币、支票、汇票或者金融机构、担保机构出具的保函等非现金形式提交），</w:t>
      </w:r>
      <w:r>
        <w:rPr>
          <w:rFonts w:hint="eastAsia" w:ascii="宋体" w:hAnsi="宋体" w:cs="宋体"/>
          <w:i w:val="0"/>
          <w:iCs w:val="0"/>
          <w:color w:val="auto"/>
          <w:sz w:val="28"/>
          <w:szCs w:val="28"/>
          <w:highlight w:val="none"/>
          <w:u w:val="none"/>
          <w:lang w:val="en-US" w:eastAsia="zh-CN"/>
        </w:rPr>
        <w:t>我方凭</w:t>
      </w:r>
      <w:r>
        <w:rPr>
          <w:rFonts w:hint="eastAsia" w:ascii="宋体" w:hAnsi="宋体" w:eastAsia="宋体" w:cs="宋体"/>
          <w:i w:val="0"/>
          <w:iCs w:val="0"/>
          <w:color w:val="auto"/>
          <w:sz w:val="28"/>
          <w:szCs w:val="28"/>
          <w:highlight w:val="none"/>
          <w:u w:val="none"/>
        </w:rPr>
        <w:t>成交通知书与采购人签订合同。</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超期付款或未有协商，采购人可以依法取消</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的中标资格，并报告本级财政部门处理。</w:t>
      </w:r>
    </w:p>
    <w:p w14:paraId="6CE2A34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（2）签订合同期限：自中标（成交）通知书发出之日起</w:t>
      </w:r>
      <w:r>
        <w:rPr>
          <w:rFonts w:hint="eastAsia" w:ascii="宋体" w:hAnsi="宋体" w:eastAsia="宋体" w:cs="宋体"/>
          <w:i w:val="0"/>
          <w:iCs w:val="0"/>
          <w:color w:val="auto"/>
          <w:sz w:val="28"/>
          <w:szCs w:val="28"/>
          <w:highlight w:val="none"/>
          <w:u w:val="none"/>
          <w:lang w:val="en-US" w:eastAsia="zh-CN"/>
        </w:rPr>
        <w:t>7</w:t>
      </w:r>
      <w:r>
        <w:rPr>
          <w:rFonts w:hint="eastAsia" w:ascii="宋体" w:hAnsi="宋体" w:eastAsia="宋体" w:cs="宋体"/>
          <w:i w:val="0"/>
          <w:iCs w:val="0"/>
          <w:color w:val="auto"/>
          <w:sz w:val="28"/>
          <w:szCs w:val="28"/>
          <w:highlight w:val="none"/>
          <w:u w:val="none"/>
        </w:rPr>
        <w:t>个工作日内。</w:t>
      </w:r>
    </w:p>
    <w:p w14:paraId="02AB75C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（3）交货期限：</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制定明确可行的生产进度表，严格按进度安排生产安装并接受采购人过程监管监督。按招投标文件完成供货安装。</w:t>
      </w:r>
    </w:p>
    <w:p w14:paraId="2E1558F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（4）在</w:t>
      </w:r>
      <w:r>
        <w:rPr>
          <w:rFonts w:hint="eastAsia" w:ascii="宋体" w:hAnsi="宋体" w:eastAsia="宋体" w:cs="宋体"/>
          <w:i w:val="0"/>
          <w:iCs w:val="0"/>
          <w:color w:val="auto"/>
          <w:sz w:val="28"/>
          <w:szCs w:val="28"/>
          <w:highlight w:val="none"/>
          <w:u w:val="none"/>
          <w:lang w:val="en-US" w:eastAsia="zh-CN"/>
        </w:rPr>
        <w:t>规定时间内</w:t>
      </w:r>
      <w:r>
        <w:rPr>
          <w:rFonts w:hint="eastAsia" w:ascii="宋体" w:hAnsi="宋体" w:eastAsia="宋体" w:cs="宋体"/>
          <w:i w:val="0"/>
          <w:iCs w:val="0"/>
          <w:color w:val="auto"/>
          <w:sz w:val="28"/>
          <w:szCs w:val="28"/>
          <w:highlight w:val="none"/>
          <w:u w:val="none"/>
        </w:rPr>
        <w:t>产品送达</w:t>
      </w:r>
      <w:r>
        <w:rPr>
          <w:rFonts w:hint="eastAsia" w:ascii="宋体" w:hAnsi="宋体" w:eastAsia="宋体" w:cs="宋体"/>
          <w:i w:val="0"/>
          <w:iCs w:val="0"/>
          <w:color w:val="auto"/>
          <w:sz w:val="28"/>
          <w:szCs w:val="28"/>
          <w:highlight w:val="none"/>
          <w:u w:val="none"/>
          <w:lang w:val="en-US" w:eastAsia="zh-CN"/>
        </w:rPr>
        <w:t>安装</w:t>
      </w:r>
      <w:r>
        <w:rPr>
          <w:rFonts w:hint="eastAsia" w:ascii="宋体" w:hAnsi="宋体" w:eastAsia="宋体" w:cs="宋体"/>
          <w:i w:val="0"/>
          <w:iCs w:val="0"/>
          <w:color w:val="auto"/>
          <w:sz w:val="28"/>
          <w:szCs w:val="28"/>
          <w:highlight w:val="none"/>
          <w:u w:val="none"/>
        </w:rPr>
        <w:t>后</w:t>
      </w:r>
      <w:r>
        <w:rPr>
          <w:rFonts w:hint="eastAsia" w:ascii="宋体" w:hAnsi="宋体" w:eastAsia="宋体" w:cs="宋体"/>
          <w:i w:val="0"/>
          <w:iCs w:val="0"/>
          <w:color w:val="auto"/>
          <w:sz w:val="28"/>
          <w:szCs w:val="28"/>
          <w:highlight w:val="none"/>
          <w:u w:val="none"/>
          <w:lang w:eastAsia="zh-CN"/>
        </w:rPr>
        <w:t>，</w:t>
      </w:r>
      <w:r>
        <w:rPr>
          <w:rFonts w:hint="eastAsia" w:ascii="宋体" w:hAnsi="宋体" w:eastAsia="宋体" w:cs="宋体"/>
          <w:i w:val="0"/>
          <w:iCs w:val="0"/>
          <w:color w:val="auto"/>
          <w:sz w:val="28"/>
          <w:szCs w:val="28"/>
          <w:highlight w:val="none"/>
          <w:u w:val="none"/>
          <w:lang w:val="en-US" w:eastAsia="zh-CN"/>
        </w:rPr>
        <w:t>进行</w:t>
      </w:r>
      <w:r>
        <w:rPr>
          <w:rFonts w:hint="eastAsia" w:ascii="宋体" w:hAnsi="宋体" w:eastAsia="宋体" w:cs="宋体"/>
          <w:i w:val="0"/>
          <w:iCs w:val="0"/>
          <w:color w:val="auto"/>
          <w:sz w:val="28"/>
          <w:szCs w:val="28"/>
          <w:highlight w:val="none"/>
          <w:u w:val="none"/>
        </w:rPr>
        <w:t>原材料</w:t>
      </w:r>
      <w:r>
        <w:rPr>
          <w:rFonts w:hint="eastAsia" w:ascii="宋体" w:hAnsi="宋体" w:eastAsia="宋体" w:cs="宋体"/>
          <w:i w:val="0"/>
          <w:iCs w:val="0"/>
          <w:color w:val="auto"/>
          <w:sz w:val="28"/>
          <w:szCs w:val="28"/>
          <w:highlight w:val="none"/>
          <w:u w:val="none"/>
          <w:lang w:eastAsia="zh-CN"/>
        </w:rPr>
        <w:t>、</w:t>
      </w:r>
      <w:r>
        <w:rPr>
          <w:rFonts w:hint="eastAsia" w:ascii="宋体" w:hAnsi="宋体" w:eastAsia="宋体" w:cs="宋体"/>
          <w:i w:val="0"/>
          <w:iCs w:val="0"/>
          <w:color w:val="auto"/>
          <w:sz w:val="28"/>
          <w:szCs w:val="28"/>
          <w:highlight w:val="none"/>
          <w:u w:val="none"/>
        </w:rPr>
        <w:t>成品抽样检测；报告须由市级及以上质检部门出具（报告具有CMA认证标识并加盖检验检测专用章）；检验检测报告结果须符合相关国家标准（按就高原则选用相关标准）的要求</w:t>
      </w:r>
      <w:r>
        <w:rPr>
          <w:rFonts w:hint="eastAsia" w:ascii="宋体" w:hAnsi="宋体" w:eastAsia="宋体" w:cs="宋体"/>
          <w:i w:val="0"/>
          <w:iCs w:val="0"/>
          <w:color w:val="auto"/>
          <w:sz w:val="28"/>
          <w:szCs w:val="28"/>
          <w:highlight w:val="none"/>
          <w:u w:val="none"/>
          <w:lang w:eastAsia="zh-CN"/>
        </w:rPr>
        <w:t>。</w:t>
      </w:r>
    </w:p>
    <w:p w14:paraId="0BA442F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（5）</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所投产品安装后，委托具有相关资质的权威检测机构进行</w:t>
      </w:r>
      <w:r>
        <w:rPr>
          <w:rFonts w:hint="eastAsia" w:ascii="宋体" w:hAnsi="宋体" w:eastAsia="宋体" w:cs="宋体"/>
          <w:i w:val="0"/>
          <w:iCs w:val="0"/>
          <w:color w:val="auto"/>
          <w:sz w:val="28"/>
          <w:szCs w:val="28"/>
          <w:highlight w:val="none"/>
          <w:u w:val="none"/>
          <w:lang w:val="en-US" w:eastAsia="zh-CN"/>
        </w:rPr>
        <w:t>前后各</w:t>
      </w:r>
      <w:r>
        <w:rPr>
          <w:rFonts w:hint="eastAsia" w:ascii="宋体" w:hAnsi="宋体" w:eastAsia="宋体" w:cs="宋体"/>
          <w:i w:val="0"/>
          <w:iCs w:val="0"/>
          <w:color w:val="auto"/>
          <w:sz w:val="28"/>
          <w:szCs w:val="28"/>
          <w:highlight w:val="none"/>
          <w:u w:val="none"/>
        </w:rPr>
        <w:t>一次室内环境空气质量检验检测，确保产品环保质量达到国家有关标准。室内环境空气质量检验检测项目中应至少含“甲醛”“苯类”“TVOC”等。</w:t>
      </w:r>
    </w:p>
    <w:p w14:paraId="20BB8BD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2.</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接受采购人的生产过程监控监督及合理要求，并按要求提供相关资料。</w:t>
      </w:r>
    </w:p>
    <w:p w14:paraId="6A2524F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3.</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满足采购标的数量、交付或者实施的时间和地点要求。</w:t>
      </w:r>
    </w:p>
    <w:p w14:paraId="1538D5C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t>4.</w:t>
      </w:r>
      <w:r>
        <w:rPr>
          <w:rFonts w:hint="eastAsia" w:ascii="宋体" w:hAnsi="宋体" w:cs="宋体"/>
          <w:i w:val="0"/>
          <w:iCs w:val="0"/>
          <w:color w:val="auto"/>
          <w:sz w:val="28"/>
          <w:szCs w:val="28"/>
          <w:highlight w:val="none"/>
          <w:u w:val="none"/>
          <w:lang w:val="en-US" w:eastAsia="zh-CN"/>
        </w:rPr>
        <w:t>我方</w:t>
      </w:r>
      <w:r>
        <w:rPr>
          <w:rFonts w:hint="eastAsia" w:ascii="宋体" w:hAnsi="宋体" w:eastAsia="宋体" w:cs="宋体"/>
          <w:i w:val="0"/>
          <w:iCs w:val="0"/>
          <w:color w:val="auto"/>
          <w:sz w:val="28"/>
          <w:szCs w:val="28"/>
          <w:highlight w:val="none"/>
          <w:u w:val="none"/>
        </w:rPr>
        <w:t>严格遵守有关要求，认真研读并接受违约责任条款。</w:t>
      </w:r>
    </w:p>
    <w:p w14:paraId="08248AB4">
      <w:pPr>
        <w:pStyle w:val="22"/>
        <w:keepNext w:val="0"/>
        <w:keepLines w:val="0"/>
        <w:pageBreakBefore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kern w:val="2"/>
          <w:sz w:val="28"/>
          <w:szCs w:val="28"/>
          <w:highlight w:val="none"/>
          <w:u w:val="none"/>
        </w:rPr>
      </w:pPr>
    </w:p>
    <w:p w14:paraId="77E7B3CB">
      <w:pPr>
        <w:pStyle w:val="22"/>
        <w:keepNext w:val="0"/>
        <w:keepLines w:val="0"/>
        <w:pageBreakBefore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2"/>
          <w:sz w:val="28"/>
          <w:szCs w:val="28"/>
          <w:highlight w:val="none"/>
          <w:u w:val="none"/>
        </w:rPr>
        <w:t>我方承诺：违反上述任何一条承诺，自愿接受</w:t>
      </w:r>
      <w:r>
        <w:rPr>
          <w:rFonts w:hint="eastAsia" w:ascii="宋体" w:hAnsi="宋体" w:eastAsia="宋体" w:cs="宋体"/>
          <w:i w:val="0"/>
          <w:iCs w:val="0"/>
          <w:color w:val="auto"/>
          <w:kern w:val="2"/>
          <w:sz w:val="28"/>
          <w:szCs w:val="28"/>
          <w:highlight w:val="none"/>
          <w:u w:val="none"/>
          <w:lang w:eastAsia="zh-CN"/>
        </w:rPr>
        <w:t>采购人</w:t>
      </w:r>
      <w:r>
        <w:rPr>
          <w:rFonts w:hint="eastAsia" w:ascii="宋体" w:hAnsi="宋体" w:eastAsia="宋体" w:cs="宋体"/>
          <w:i w:val="0"/>
          <w:iCs w:val="0"/>
          <w:color w:val="auto"/>
          <w:kern w:val="2"/>
          <w:sz w:val="28"/>
          <w:szCs w:val="28"/>
          <w:highlight w:val="none"/>
          <w:u w:val="none"/>
        </w:rPr>
        <w:t>处罚，包括同意</w:t>
      </w:r>
      <w:r>
        <w:rPr>
          <w:rFonts w:hint="eastAsia" w:ascii="宋体" w:hAnsi="宋体" w:eastAsia="宋体" w:cs="宋体"/>
          <w:i w:val="0"/>
          <w:iCs w:val="0"/>
          <w:color w:val="auto"/>
          <w:kern w:val="2"/>
          <w:sz w:val="28"/>
          <w:szCs w:val="28"/>
          <w:highlight w:val="none"/>
          <w:u w:val="none"/>
          <w:lang w:eastAsia="zh-CN"/>
        </w:rPr>
        <w:t>采购人</w:t>
      </w:r>
      <w:r>
        <w:rPr>
          <w:rFonts w:hint="eastAsia" w:ascii="宋体" w:hAnsi="宋体" w:eastAsia="宋体" w:cs="宋体"/>
          <w:i w:val="0"/>
          <w:iCs w:val="0"/>
          <w:color w:val="auto"/>
          <w:kern w:val="2"/>
          <w:sz w:val="28"/>
          <w:szCs w:val="28"/>
          <w:highlight w:val="none"/>
          <w:u w:val="none"/>
        </w:rPr>
        <w:t>取消我方中标资格并不予退还履约保证金，将我方列入黑名单等。</w:t>
      </w:r>
    </w:p>
    <w:p w14:paraId="3CFC5D7E">
      <w:pPr>
        <w:spacing w:line="360" w:lineRule="auto"/>
        <w:ind w:firstLine="42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p>
    <w:p w14:paraId="668C0436">
      <w:pPr>
        <w:spacing w:line="360" w:lineRule="auto"/>
        <w:ind w:firstLine="3920" w:firstLineChars="14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投标人法定代表人（签字或盖章）：</w:t>
      </w:r>
    </w:p>
    <w:p w14:paraId="537A8242">
      <w:pPr>
        <w:spacing w:line="360" w:lineRule="auto"/>
        <w:ind w:left="1700" w:firstLine="4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投标人公章：</w:t>
      </w:r>
    </w:p>
    <w:p w14:paraId="137A6102">
      <w:pPr>
        <w:spacing w:line="360" w:lineRule="auto"/>
        <w:ind w:firstLine="3920" w:firstLineChars="14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p>
    <w:p w14:paraId="51D5A04F">
      <w:pPr>
        <w:keepNext w:val="0"/>
        <w:keepLines w:val="0"/>
        <w:pageBreakBefore w:val="0"/>
        <w:tabs>
          <w:tab w:val="left" w:pos="420"/>
        </w:tabs>
        <w:kinsoku/>
        <w:wordWrap/>
        <w:overflowPunct/>
        <w:topLinePunct w:val="0"/>
        <w:autoSpaceDE/>
        <w:autoSpaceDN/>
        <w:bidi w:val="0"/>
        <w:adjustRightInd/>
        <w:snapToGrid/>
        <w:spacing w:line="460" w:lineRule="exact"/>
        <w:ind w:firstLine="560" w:firstLineChars="200"/>
        <w:textAlignment w:val="auto"/>
        <w:rPr>
          <w:rFonts w:hint="default" w:ascii="宋体" w:hAnsi="宋体" w:eastAsia="宋体" w:cs="宋体"/>
          <w:i w:val="0"/>
          <w:iCs w:val="0"/>
          <w:color w:val="auto"/>
          <w:sz w:val="28"/>
          <w:szCs w:val="28"/>
          <w:highlight w:val="none"/>
          <w:u w:val="none"/>
          <w:lang w:val="en-US" w:eastAsia="zh-CN"/>
        </w:rPr>
      </w:pPr>
    </w:p>
    <w:p w14:paraId="20406998">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3D67BE57">
      <w:pPr>
        <w:spacing w:line="48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6</w:t>
      </w:r>
    </w:p>
    <w:p w14:paraId="37D2D83A">
      <w:pPr>
        <w:spacing w:line="480" w:lineRule="exact"/>
        <w:jc w:val="center"/>
        <w:rPr>
          <w:rFonts w:hint="eastAsia" w:ascii="宋体" w:hAnsi="宋体" w:cs="宋体"/>
          <w:b/>
          <w:color w:val="auto"/>
          <w:sz w:val="28"/>
          <w:szCs w:val="28"/>
          <w:highlight w:val="none"/>
        </w:rPr>
      </w:pPr>
    </w:p>
    <w:p w14:paraId="10AF70D1">
      <w:pPr>
        <w:spacing w:line="480" w:lineRule="exact"/>
        <w:jc w:val="center"/>
        <w:rPr>
          <w:rFonts w:hint="eastAsia" w:ascii="宋体" w:hAnsi="宋体" w:cs="宋体"/>
          <w:b/>
          <w:color w:val="auto"/>
          <w:sz w:val="28"/>
          <w:szCs w:val="28"/>
          <w:highlight w:val="none"/>
        </w:rPr>
      </w:pPr>
    </w:p>
    <w:p w14:paraId="35ADF1BB">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36"/>
        <w:tblW w:w="8835" w:type="dxa"/>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0"/>
        <w:gridCol w:w="2790"/>
        <w:gridCol w:w="2460"/>
        <w:gridCol w:w="2565"/>
      </w:tblGrid>
      <w:tr w14:paraId="21485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0" w:type="dxa"/>
            <w:vAlign w:val="center"/>
          </w:tcPr>
          <w:p w14:paraId="45BFBBBB">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2790" w:type="dxa"/>
            <w:vAlign w:val="center"/>
          </w:tcPr>
          <w:p w14:paraId="4F960208">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2460" w:type="dxa"/>
            <w:vAlign w:val="center"/>
          </w:tcPr>
          <w:p w14:paraId="1C172979">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565" w:type="dxa"/>
            <w:vAlign w:val="center"/>
          </w:tcPr>
          <w:p w14:paraId="12F361C4">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0C2F1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0" w:hRule="atLeast"/>
        </w:trPr>
        <w:tc>
          <w:tcPr>
            <w:tcW w:w="1020" w:type="dxa"/>
            <w:vAlign w:val="center"/>
          </w:tcPr>
          <w:p w14:paraId="42FC1062">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2790" w:type="dxa"/>
            <w:vAlign w:val="center"/>
          </w:tcPr>
          <w:p w14:paraId="03DF7A05">
            <w:pPr>
              <w:rPr>
                <w:rFonts w:hint="eastAsia" w:ascii="宋体" w:hAnsi="宋体" w:cs="宋体"/>
                <w:color w:val="auto"/>
                <w:sz w:val="28"/>
                <w:szCs w:val="28"/>
                <w:highlight w:val="none"/>
              </w:rPr>
            </w:pPr>
          </w:p>
        </w:tc>
        <w:tc>
          <w:tcPr>
            <w:tcW w:w="2460" w:type="dxa"/>
            <w:vAlign w:val="center"/>
          </w:tcPr>
          <w:p w14:paraId="5B7BBE58">
            <w:pPr>
              <w:jc w:val="center"/>
              <w:rPr>
                <w:rFonts w:hint="eastAsia" w:ascii="宋体" w:hAnsi="宋体" w:cs="宋体"/>
                <w:color w:val="auto"/>
                <w:sz w:val="28"/>
                <w:szCs w:val="28"/>
                <w:highlight w:val="none"/>
              </w:rPr>
            </w:pPr>
          </w:p>
        </w:tc>
        <w:tc>
          <w:tcPr>
            <w:tcW w:w="2565" w:type="dxa"/>
            <w:vAlign w:val="center"/>
          </w:tcPr>
          <w:p w14:paraId="002AC6BB">
            <w:pPr>
              <w:jc w:val="center"/>
              <w:rPr>
                <w:rFonts w:hint="eastAsia" w:ascii="宋体" w:hAnsi="宋体" w:cs="宋体"/>
                <w:color w:val="auto"/>
                <w:sz w:val="28"/>
                <w:szCs w:val="28"/>
                <w:highlight w:val="none"/>
              </w:rPr>
            </w:pPr>
          </w:p>
        </w:tc>
      </w:tr>
      <w:tr w14:paraId="190F5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6D1381DD">
            <w:pPr>
              <w:jc w:val="center"/>
              <w:rPr>
                <w:rFonts w:hint="eastAsia" w:ascii="宋体" w:hAnsi="宋体" w:cs="宋体"/>
                <w:color w:val="auto"/>
                <w:sz w:val="28"/>
                <w:szCs w:val="28"/>
                <w:highlight w:val="none"/>
              </w:rPr>
            </w:pPr>
          </w:p>
        </w:tc>
        <w:tc>
          <w:tcPr>
            <w:tcW w:w="2790" w:type="dxa"/>
            <w:vAlign w:val="center"/>
          </w:tcPr>
          <w:p w14:paraId="303A52A4">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2460" w:type="dxa"/>
            <w:vAlign w:val="center"/>
          </w:tcPr>
          <w:p w14:paraId="23388AAF">
            <w:pPr>
              <w:jc w:val="center"/>
              <w:rPr>
                <w:rFonts w:hint="eastAsia" w:ascii="宋体" w:hAnsi="宋体" w:cs="宋体"/>
                <w:color w:val="auto"/>
                <w:sz w:val="28"/>
                <w:szCs w:val="28"/>
                <w:highlight w:val="none"/>
              </w:rPr>
            </w:pPr>
          </w:p>
        </w:tc>
        <w:tc>
          <w:tcPr>
            <w:tcW w:w="2565" w:type="dxa"/>
            <w:vAlign w:val="center"/>
          </w:tcPr>
          <w:p w14:paraId="1E79727B">
            <w:pPr>
              <w:jc w:val="center"/>
              <w:rPr>
                <w:rFonts w:hint="eastAsia" w:ascii="宋体" w:hAnsi="宋体" w:cs="宋体"/>
                <w:color w:val="auto"/>
                <w:sz w:val="28"/>
                <w:szCs w:val="28"/>
                <w:highlight w:val="none"/>
              </w:rPr>
            </w:pPr>
          </w:p>
        </w:tc>
      </w:tr>
    </w:tbl>
    <w:p w14:paraId="07985465">
      <w:pPr>
        <w:spacing w:line="480" w:lineRule="exact"/>
        <w:jc w:val="center"/>
        <w:rPr>
          <w:rFonts w:hint="eastAsia" w:ascii="宋体" w:hAnsi="宋体" w:cs="宋体"/>
          <w:b/>
          <w:color w:val="auto"/>
          <w:sz w:val="28"/>
          <w:szCs w:val="28"/>
          <w:highlight w:val="none"/>
        </w:rPr>
      </w:pPr>
    </w:p>
    <w:p w14:paraId="7163CB42">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-1证明材料1，证明材料2，……</w:t>
      </w:r>
    </w:p>
    <w:p w14:paraId="0A45C257">
      <w:pPr>
        <w:spacing w:line="480" w:lineRule="exact"/>
        <w:rPr>
          <w:rFonts w:hint="eastAsia" w:ascii="宋体" w:hAnsi="宋体" w:cs="宋体"/>
          <w:color w:val="auto"/>
          <w:sz w:val="28"/>
          <w:szCs w:val="28"/>
          <w:highlight w:val="none"/>
        </w:rPr>
      </w:pPr>
    </w:p>
    <w:p w14:paraId="6C59B091">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3134BB2F">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宋体" w:hAnsi="宋体" w:eastAsia="宋体" w:cs="宋体"/>
          <w:color w:val="auto"/>
          <w:sz w:val="28"/>
          <w:szCs w:val="28"/>
          <w:highlight w:val="none"/>
        </w:rPr>
      </w:pPr>
      <w:bookmarkStart w:id="107" w:name="_Toc16702"/>
      <w:r>
        <w:rPr>
          <w:rFonts w:hint="eastAsia" w:ascii="宋体" w:hAnsi="宋体" w:eastAsia="宋体" w:cs="宋体"/>
          <w:color w:val="auto"/>
          <w:sz w:val="28"/>
          <w:szCs w:val="28"/>
          <w:highlight w:val="none"/>
        </w:rPr>
        <w:t>1.投标人需对</w:t>
      </w:r>
      <w:r>
        <w:rPr>
          <w:rFonts w:hint="eastAsia" w:ascii="宋体" w:hAnsi="宋体" w:eastAsia="宋体" w:cs="宋体"/>
          <w:color w:val="auto"/>
          <w:sz w:val="28"/>
          <w:szCs w:val="28"/>
          <w:highlight w:val="none"/>
          <w:lang w:eastAsia="zh-CN"/>
        </w:rPr>
        <w:t>第三部分项目需求“</w:t>
      </w:r>
      <w:r>
        <w:rPr>
          <w:rFonts w:hint="eastAsia" w:ascii="宋体" w:hAnsi="宋体" w:eastAsia="宋体" w:cs="宋体"/>
          <w:color w:val="auto"/>
          <w:sz w:val="28"/>
          <w:szCs w:val="28"/>
          <w:highlight w:val="none"/>
        </w:rPr>
        <w:t>5.项目技术参数及产品标准等</w:t>
      </w:r>
      <w:r>
        <w:rPr>
          <w:rFonts w:hint="eastAsia" w:ascii="宋体" w:hAnsi="宋体" w:eastAsia="宋体" w:cs="宋体"/>
          <w:color w:val="auto"/>
          <w:sz w:val="28"/>
          <w:szCs w:val="28"/>
          <w:highlight w:val="none"/>
          <w:lang w:eastAsia="zh-CN"/>
        </w:rPr>
        <w:t>”中的“</w:t>
      </w:r>
      <w:r>
        <w:rPr>
          <w:rFonts w:hint="eastAsia" w:ascii="宋体" w:hAnsi="宋体" w:eastAsia="宋体" w:cs="宋体"/>
          <w:color w:val="auto"/>
          <w:sz w:val="28"/>
          <w:szCs w:val="28"/>
          <w:highlight w:val="none"/>
        </w:rPr>
        <w:t>技术</w:t>
      </w:r>
      <w:r>
        <w:rPr>
          <w:rFonts w:hint="eastAsia" w:ascii="宋体" w:hAnsi="宋体" w:eastAsia="宋体" w:cs="宋体"/>
          <w:color w:val="auto"/>
          <w:sz w:val="28"/>
          <w:szCs w:val="28"/>
          <w:highlight w:val="none"/>
          <w:lang w:eastAsia="zh-CN"/>
        </w:rPr>
        <w:t>参数</w:t>
      </w:r>
      <w:r>
        <w:rPr>
          <w:rFonts w:hint="eastAsia" w:ascii="宋体" w:hAnsi="宋体" w:eastAsia="宋体" w:cs="宋体"/>
          <w:color w:val="auto"/>
          <w:sz w:val="28"/>
          <w:szCs w:val="28"/>
          <w:highlight w:val="none"/>
        </w:rPr>
        <w:t>要求</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逐条做出明确响应</w:t>
      </w:r>
      <w:r>
        <w:rPr>
          <w:rFonts w:hint="eastAsia" w:ascii="宋体" w:hAnsi="宋体" w:eastAsia="宋体" w:cs="宋体"/>
          <w:color w:val="auto"/>
          <w:sz w:val="28"/>
          <w:szCs w:val="28"/>
          <w:highlight w:val="none"/>
          <w:lang w:eastAsia="zh-CN"/>
        </w:rPr>
        <w:t>，并按要求提供检测报告</w:t>
      </w:r>
      <w:r>
        <w:rPr>
          <w:rFonts w:hint="eastAsia" w:ascii="宋体" w:hAnsi="宋体" w:eastAsia="宋体" w:cs="宋体"/>
          <w:color w:val="auto"/>
          <w:sz w:val="28"/>
          <w:szCs w:val="28"/>
          <w:highlight w:val="none"/>
        </w:rPr>
        <w:t>。</w:t>
      </w:r>
      <w:bookmarkEnd w:id="107"/>
    </w:p>
    <w:p w14:paraId="7B30FC63">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2.如果招标文件要求提供证明材料，投标人需将证明材料列于该表之下。</w:t>
      </w:r>
    </w:p>
    <w:p w14:paraId="1BD30052">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3.本项目技术参数不接受负偏离（未按要求提供检测报告的，视为负偏离），有负偏离的按无效标处理。</w:t>
      </w:r>
    </w:p>
    <w:p w14:paraId="308287B3">
      <w:pPr>
        <w:spacing w:line="480" w:lineRule="exact"/>
        <w:outlineLvl w:val="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7</w:t>
      </w:r>
    </w:p>
    <w:p w14:paraId="70730F1B">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36"/>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1EC36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545" w:type="dxa"/>
            <w:vAlign w:val="center"/>
          </w:tcPr>
          <w:p w14:paraId="7F073158">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775F32F5">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766EB3CF">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vAlign w:val="center"/>
          </w:tcPr>
          <w:p w14:paraId="632A0567">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07337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50361FC">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75BFECC9">
            <w:pPr>
              <w:spacing w:line="480" w:lineRule="exact"/>
              <w:jc w:val="center"/>
              <w:rPr>
                <w:rFonts w:hint="eastAsia" w:ascii="宋体" w:hAnsi="宋体" w:cs="宋体"/>
                <w:color w:val="auto"/>
                <w:sz w:val="28"/>
                <w:szCs w:val="28"/>
                <w:highlight w:val="none"/>
              </w:rPr>
            </w:pPr>
          </w:p>
        </w:tc>
        <w:tc>
          <w:tcPr>
            <w:tcW w:w="2999" w:type="dxa"/>
          </w:tcPr>
          <w:p w14:paraId="54D4EAF4">
            <w:pPr>
              <w:spacing w:line="480" w:lineRule="exact"/>
              <w:jc w:val="center"/>
              <w:rPr>
                <w:rFonts w:hint="eastAsia" w:ascii="宋体" w:hAnsi="宋体" w:cs="宋体"/>
                <w:color w:val="auto"/>
                <w:sz w:val="28"/>
                <w:szCs w:val="28"/>
                <w:highlight w:val="none"/>
              </w:rPr>
            </w:pPr>
          </w:p>
        </w:tc>
        <w:tc>
          <w:tcPr>
            <w:tcW w:w="2320" w:type="dxa"/>
          </w:tcPr>
          <w:p w14:paraId="2E6BF2FE">
            <w:pPr>
              <w:spacing w:line="480" w:lineRule="exact"/>
              <w:jc w:val="center"/>
              <w:rPr>
                <w:rFonts w:hint="eastAsia" w:ascii="宋体" w:hAnsi="宋体" w:cs="宋体"/>
                <w:color w:val="auto"/>
                <w:sz w:val="28"/>
                <w:szCs w:val="28"/>
                <w:highlight w:val="none"/>
              </w:rPr>
            </w:pPr>
          </w:p>
        </w:tc>
      </w:tr>
      <w:tr w14:paraId="394E5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5167C2C">
            <w:pPr>
              <w:spacing w:line="480" w:lineRule="exact"/>
              <w:jc w:val="center"/>
              <w:rPr>
                <w:rFonts w:hint="eastAsia" w:ascii="宋体" w:hAnsi="宋体" w:cs="宋体"/>
                <w:color w:val="auto"/>
                <w:sz w:val="28"/>
                <w:szCs w:val="28"/>
                <w:highlight w:val="none"/>
              </w:rPr>
            </w:pPr>
          </w:p>
        </w:tc>
        <w:tc>
          <w:tcPr>
            <w:tcW w:w="3063" w:type="dxa"/>
          </w:tcPr>
          <w:p w14:paraId="1F66CC23">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6D349C46">
            <w:pPr>
              <w:spacing w:line="480" w:lineRule="exact"/>
              <w:jc w:val="center"/>
              <w:rPr>
                <w:rFonts w:hint="eastAsia" w:ascii="宋体" w:hAnsi="宋体" w:cs="宋体"/>
                <w:color w:val="auto"/>
                <w:sz w:val="28"/>
                <w:szCs w:val="28"/>
                <w:highlight w:val="none"/>
              </w:rPr>
            </w:pPr>
          </w:p>
        </w:tc>
        <w:tc>
          <w:tcPr>
            <w:tcW w:w="2320" w:type="dxa"/>
          </w:tcPr>
          <w:p w14:paraId="152A5107">
            <w:pPr>
              <w:spacing w:line="480" w:lineRule="exact"/>
              <w:jc w:val="center"/>
              <w:rPr>
                <w:rFonts w:hint="eastAsia" w:ascii="宋体" w:hAnsi="宋体" w:cs="宋体"/>
                <w:color w:val="auto"/>
                <w:sz w:val="28"/>
                <w:szCs w:val="28"/>
                <w:highlight w:val="none"/>
              </w:rPr>
            </w:pPr>
          </w:p>
        </w:tc>
      </w:tr>
    </w:tbl>
    <w:p w14:paraId="039C00DC">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-1证明材料1，证明材料2，……</w:t>
      </w:r>
    </w:p>
    <w:p w14:paraId="4B115071">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149AEE2F">
      <w:pPr>
        <w:numPr>
          <w:ilvl w:val="0"/>
          <w:numId w:val="6"/>
        </w:num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本项目商务需求不接受负偏离，有偏离的条款投标人需做出明确响应。</w:t>
      </w:r>
    </w:p>
    <w:p w14:paraId="111264A8">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6FE8B618">
      <w:pPr>
        <w:spacing w:line="480" w:lineRule="exact"/>
        <w:rPr>
          <w:rFonts w:hint="eastAsia" w:ascii="宋体" w:hAnsi="宋体" w:cs="宋体"/>
          <w:b/>
          <w:color w:val="auto"/>
          <w:sz w:val="28"/>
          <w:szCs w:val="28"/>
          <w:highlight w:val="none"/>
        </w:rPr>
      </w:pPr>
    </w:p>
    <w:p w14:paraId="1C36BBF4">
      <w:pPr>
        <w:snapToGrid w:val="0"/>
        <w:spacing w:line="400" w:lineRule="exact"/>
        <w:ind w:firstLine="540" w:firstLineChars="192"/>
        <w:contextualSpacing/>
        <w:rPr>
          <w:rFonts w:hint="eastAsia" w:ascii="宋体" w:hAnsi="宋体" w:cs="宋体"/>
          <w:b/>
          <w:color w:val="auto"/>
          <w:kern w:val="0"/>
          <w:sz w:val="28"/>
          <w:szCs w:val="28"/>
          <w:highlight w:val="none"/>
        </w:rPr>
      </w:pPr>
    </w:p>
    <w:p w14:paraId="608FB8DD">
      <w:pPr>
        <w:snapToGrid w:val="0"/>
        <w:spacing w:line="400" w:lineRule="exact"/>
        <w:ind w:firstLine="540" w:firstLineChars="192"/>
        <w:contextualSpacing/>
        <w:rPr>
          <w:rFonts w:hint="eastAsia" w:ascii="宋体" w:hAnsi="宋体" w:cs="宋体"/>
          <w:b/>
          <w:color w:val="auto"/>
          <w:kern w:val="0"/>
          <w:sz w:val="28"/>
          <w:szCs w:val="28"/>
          <w:highlight w:val="none"/>
        </w:rPr>
      </w:pPr>
    </w:p>
    <w:p w14:paraId="5E0BDB57">
      <w:pPr>
        <w:snapToGrid w:val="0"/>
        <w:spacing w:line="400" w:lineRule="exact"/>
        <w:ind w:firstLine="540" w:firstLineChars="192"/>
        <w:contextualSpacing/>
        <w:rPr>
          <w:rFonts w:hint="eastAsia" w:ascii="宋体" w:hAnsi="宋体" w:cs="宋体"/>
          <w:b/>
          <w:color w:val="auto"/>
          <w:kern w:val="0"/>
          <w:sz w:val="28"/>
          <w:szCs w:val="28"/>
          <w:highlight w:val="none"/>
        </w:rPr>
      </w:pPr>
    </w:p>
    <w:p w14:paraId="67AA0C19">
      <w:pPr>
        <w:snapToGrid w:val="0"/>
        <w:spacing w:line="400" w:lineRule="exact"/>
        <w:ind w:firstLine="540" w:firstLineChars="192"/>
        <w:contextualSpacing/>
        <w:rPr>
          <w:rFonts w:hint="eastAsia" w:ascii="宋体" w:hAnsi="宋体" w:cs="宋体"/>
          <w:b/>
          <w:color w:val="auto"/>
          <w:kern w:val="0"/>
          <w:sz w:val="28"/>
          <w:szCs w:val="28"/>
          <w:highlight w:val="none"/>
        </w:rPr>
      </w:pPr>
    </w:p>
    <w:p w14:paraId="2DB91AC8">
      <w:pPr>
        <w:snapToGrid w:val="0"/>
        <w:spacing w:line="400" w:lineRule="exact"/>
        <w:ind w:firstLine="540" w:firstLineChars="192"/>
        <w:contextualSpacing/>
        <w:rPr>
          <w:rFonts w:hint="eastAsia" w:ascii="宋体" w:hAnsi="宋体" w:cs="宋体"/>
          <w:b/>
          <w:color w:val="auto"/>
          <w:kern w:val="0"/>
          <w:sz w:val="28"/>
          <w:szCs w:val="28"/>
          <w:highlight w:val="none"/>
        </w:rPr>
      </w:pPr>
    </w:p>
    <w:p w14:paraId="38C5D012">
      <w:pPr>
        <w:snapToGrid w:val="0"/>
        <w:spacing w:line="400" w:lineRule="exact"/>
        <w:ind w:firstLine="540" w:firstLineChars="192"/>
        <w:contextualSpacing/>
        <w:rPr>
          <w:rFonts w:hint="eastAsia" w:ascii="宋体" w:hAnsi="宋体" w:cs="宋体"/>
          <w:b/>
          <w:color w:val="auto"/>
          <w:kern w:val="0"/>
          <w:sz w:val="28"/>
          <w:szCs w:val="28"/>
          <w:highlight w:val="none"/>
        </w:rPr>
      </w:pPr>
    </w:p>
    <w:p w14:paraId="403E3222">
      <w:pPr>
        <w:snapToGrid w:val="0"/>
        <w:spacing w:line="400" w:lineRule="exact"/>
        <w:ind w:firstLine="540" w:firstLineChars="192"/>
        <w:contextualSpacing/>
        <w:rPr>
          <w:rFonts w:hint="eastAsia" w:ascii="宋体" w:hAnsi="宋体" w:cs="宋体"/>
          <w:b/>
          <w:color w:val="auto"/>
          <w:kern w:val="0"/>
          <w:sz w:val="28"/>
          <w:szCs w:val="28"/>
          <w:highlight w:val="none"/>
        </w:rPr>
      </w:pPr>
    </w:p>
    <w:p w14:paraId="6D7607BE">
      <w:pPr>
        <w:snapToGrid w:val="0"/>
        <w:spacing w:line="400" w:lineRule="exact"/>
        <w:ind w:firstLine="540" w:firstLineChars="192"/>
        <w:contextualSpacing/>
        <w:rPr>
          <w:rFonts w:hint="eastAsia" w:ascii="宋体" w:hAnsi="宋体" w:cs="宋体"/>
          <w:b/>
          <w:color w:val="auto"/>
          <w:kern w:val="0"/>
          <w:sz w:val="28"/>
          <w:szCs w:val="28"/>
          <w:highlight w:val="none"/>
        </w:rPr>
      </w:pPr>
    </w:p>
    <w:p w14:paraId="1C059916">
      <w:pPr>
        <w:snapToGrid w:val="0"/>
        <w:spacing w:line="400" w:lineRule="exact"/>
        <w:ind w:firstLine="540" w:firstLineChars="192"/>
        <w:contextualSpacing/>
        <w:rPr>
          <w:rFonts w:hint="eastAsia" w:ascii="宋体" w:hAnsi="宋体" w:cs="宋体"/>
          <w:b/>
          <w:color w:val="auto"/>
          <w:kern w:val="0"/>
          <w:sz w:val="28"/>
          <w:szCs w:val="28"/>
          <w:highlight w:val="none"/>
        </w:rPr>
      </w:pPr>
    </w:p>
    <w:p w14:paraId="4970499E">
      <w:pPr>
        <w:snapToGrid w:val="0"/>
        <w:spacing w:line="400" w:lineRule="exact"/>
        <w:contextualSpacing/>
        <w:rPr>
          <w:rFonts w:hint="eastAsia" w:ascii="宋体" w:hAnsi="宋体" w:cs="宋体"/>
          <w:b/>
          <w:color w:val="auto"/>
          <w:sz w:val="32"/>
          <w:szCs w:val="32"/>
          <w:highlight w:val="none"/>
          <w:lang w:bidi="ar"/>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lang w:bidi="ar"/>
        </w:rPr>
        <w:br w:type="page"/>
      </w:r>
    </w:p>
    <w:p w14:paraId="23CDBBF6">
      <w:pPr>
        <w:snapToGrid w:val="0"/>
        <w:spacing w:line="400" w:lineRule="exact"/>
        <w:contextualSpacing/>
        <w:rPr>
          <w:rFonts w:hint="eastAsia" w:ascii="宋体" w:hAnsi="宋体" w:eastAsia="宋体" w:cs="宋体"/>
          <w:color w:val="auto"/>
          <w:kern w:val="0"/>
          <w:sz w:val="32"/>
          <w:szCs w:val="32"/>
          <w:highlight w:val="none"/>
          <w:lang w:eastAsia="zh-CN"/>
        </w:rPr>
      </w:pPr>
      <w:r>
        <w:rPr>
          <w:rFonts w:hint="eastAsia" w:ascii="宋体" w:hAnsi="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8</w:t>
      </w:r>
    </w:p>
    <w:p w14:paraId="56970850">
      <w:pPr>
        <w:widowControl/>
        <w:spacing w:before="100" w:beforeAutospacing="1" w:after="100" w:afterAutospacing="1" w:line="360" w:lineRule="auto"/>
        <w:jc w:val="center"/>
        <w:rPr>
          <w:rFonts w:hint="eastAsia" w:ascii="宋体" w:hAnsi="宋体" w:cs="宋体"/>
          <w:color w:val="auto"/>
          <w:kern w:val="0"/>
          <w:sz w:val="32"/>
          <w:szCs w:val="32"/>
          <w:highlight w:val="none"/>
        </w:rPr>
      </w:pPr>
      <w:r>
        <w:rPr>
          <w:rFonts w:hint="eastAsia" w:ascii="宋体" w:hAnsi="宋体" w:cs="宋体"/>
          <w:b/>
          <w:bCs/>
          <w:color w:val="auto"/>
          <w:kern w:val="0"/>
          <w:sz w:val="32"/>
          <w:szCs w:val="32"/>
          <w:highlight w:val="none"/>
        </w:rPr>
        <w:t>报价总表</w:t>
      </w:r>
    </w:p>
    <w:p w14:paraId="046EED73">
      <w:pPr>
        <w:spacing w:line="360" w:lineRule="auto"/>
        <w:rPr>
          <w:rFonts w:hint="eastAsia" w:ascii="宋体" w:hAnsi="宋体" w:cs="宋体"/>
          <w:color w:val="auto"/>
          <w:kern w:val="0"/>
          <w:sz w:val="28"/>
          <w:szCs w:val="28"/>
          <w:highlight w:val="none"/>
          <w:u w:val="single"/>
        </w:rPr>
      </w:pPr>
      <w:r>
        <w:rPr>
          <w:rFonts w:hint="eastAsia" w:ascii="宋体" w:hAnsi="宋体" w:cs="宋体"/>
          <w:color w:val="auto"/>
          <w:kern w:val="0"/>
          <w:sz w:val="28"/>
          <w:szCs w:val="28"/>
          <w:highlight w:val="none"/>
        </w:rPr>
        <w:t>投标人全称（加盖公章）：</w:t>
      </w:r>
    </w:p>
    <w:p w14:paraId="15301A98">
      <w:pPr>
        <w:spacing w:line="360" w:lineRule="auto"/>
        <w:rPr>
          <w:rFonts w:hint="eastAsia" w:ascii="宋体" w:hAnsi="宋体" w:cs="宋体"/>
          <w:color w:val="auto"/>
          <w:kern w:val="0"/>
          <w:sz w:val="28"/>
          <w:szCs w:val="28"/>
          <w:highlight w:val="none"/>
          <w:u w:val="single"/>
        </w:rPr>
      </w:pPr>
      <w:r>
        <w:rPr>
          <w:rFonts w:hint="eastAsia" w:ascii="宋体" w:hAnsi="宋体" w:cs="宋体"/>
          <w:color w:val="auto"/>
          <w:kern w:val="0"/>
          <w:sz w:val="28"/>
          <w:szCs w:val="28"/>
          <w:highlight w:val="none"/>
        </w:rPr>
        <w:t>项目名称：</w:t>
      </w:r>
    </w:p>
    <w:p w14:paraId="09C74F84">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项目编号：</w:t>
      </w:r>
    </w:p>
    <w:tbl>
      <w:tblPr>
        <w:tblStyle w:val="36"/>
        <w:tblW w:w="52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9"/>
        <w:gridCol w:w="3062"/>
        <w:gridCol w:w="3062"/>
      </w:tblGrid>
      <w:tr w14:paraId="228A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2759" w:type="dxa"/>
          </w:tcPr>
          <w:p w14:paraId="3DB44E20">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rPr>
              <w:t>货物、服务名称</w:t>
            </w:r>
          </w:p>
        </w:tc>
        <w:tc>
          <w:tcPr>
            <w:tcW w:w="3062" w:type="dxa"/>
          </w:tcPr>
          <w:p w14:paraId="1B5644AE">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rPr>
              <w:t>投标总报价</w:t>
            </w:r>
          </w:p>
        </w:tc>
        <w:tc>
          <w:tcPr>
            <w:tcW w:w="3062" w:type="dxa"/>
          </w:tcPr>
          <w:p w14:paraId="5780833E">
            <w:pPr>
              <w:spacing w:line="360" w:lineRule="auto"/>
              <w:jc w:val="center"/>
              <w:rPr>
                <w:rFonts w:hint="eastAsia" w:ascii="宋体" w:hAnsi="宋体" w:cs="宋体"/>
                <w:color w:val="auto"/>
                <w:kern w:val="0"/>
                <w:sz w:val="28"/>
                <w:szCs w:val="28"/>
                <w:highlight w:val="none"/>
              </w:rPr>
            </w:pPr>
            <w:r>
              <w:rPr>
                <w:rFonts w:hint="eastAsia" w:ascii="宋体" w:hAnsi="宋体" w:cs="宋体"/>
                <w:b/>
                <w:color w:val="auto"/>
                <w:sz w:val="28"/>
                <w:szCs w:val="28"/>
                <w:highlight w:val="none"/>
              </w:rPr>
              <w:t>供货期</w:t>
            </w:r>
          </w:p>
        </w:tc>
      </w:tr>
      <w:tr w14:paraId="0BF20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2759" w:type="dxa"/>
          </w:tcPr>
          <w:p w14:paraId="20F6B4A9">
            <w:pPr>
              <w:spacing w:line="360" w:lineRule="auto"/>
              <w:jc w:val="left"/>
              <w:rPr>
                <w:rFonts w:hint="eastAsia" w:ascii="宋体" w:hAnsi="宋体" w:cs="宋体"/>
                <w:color w:val="auto"/>
                <w:sz w:val="28"/>
                <w:szCs w:val="28"/>
                <w:highlight w:val="none"/>
              </w:rPr>
            </w:pPr>
          </w:p>
        </w:tc>
        <w:tc>
          <w:tcPr>
            <w:tcW w:w="3062" w:type="dxa"/>
            <w:vAlign w:val="center"/>
          </w:tcPr>
          <w:p w14:paraId="1CBF97BA">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大写：人民币</w:t>
            </w:r>
          </w:p>
          <w:p w14:paraId="3B9C2DF4">
            <w:pPr>
              <w:spacing w:line="360" w:lineRule="auto"/>
              <w:rPr>
                <w:rFonts w:hint="eastAsia" w:ascii="宋体" w:hAnsi="宋体" w:cs="宋体"/>
                <w:color w:val="auto"/>
                <w:sz w:val="28"/>
                <w:szCs w:val="28"/>
                <w:highlight w:val="none"/>
                <w:u w:val="single"/>
              </w:rPr>
            </w:pPr>
            <w:r>
              <w:rPr>
                <w:rFonts w:hint="eastAsia" w:ascii="宋体" w:hAnsi="宋体" w:cs="宋体"/>
                <w:color w:val="auto"/>
                <w:kern w:val="0"/>
                <w:sz w:val="28"/>
                <w:szCs w:val="28"/>
                <w:highlight w:val="none"/>
              </w:rPr>
              <w:t>小写：元（人民币）</w:t>
            </w:r>
          </w:p>
        </w:tc>
        <w:tc>
          <w:tcPr>
            <w:tcW w:w="3062" w:type="dxa"/>
            <w:vAlign w:val="center"/>
          </w:tcPr>
          <w:p w14:paraId="1AD04643">
            <w:pPr>
              <w:spacing w:line="360" w:lineRule="auto"/>
              <w:rPr>
                <w:rFonts w:hint="eastAsia" w:ascii="宋体" w:hAnsi="宋体" w:cs="宋体"/>
                <w:color w:val="auto"/>
                <w:kern w:val="0"/>
                <w:sz w:val="28"/>
                <w:szCs w:val="28"/>
                <w:highlight w:val="none"/>
              </w:rPr>
            </w:pPr>
          </w:p>
        </w:tc>
      </w:tr>
    </w:tbl>
    <w:p w14:paraId="2E545446">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日期：</w:t>
      </w:r>
    </w:p>
    <w:p w14:paraId="3A3083B8">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填写说明：</w:t>
      </w:r>
    </w:p>
    <w:p w14:paraId="03BE50F7">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（1）本表为格式表，不得自行改动，必须提供。</w:t>
      </w:r>
    </w:p>
    <w:p w14:paraId="42687E41">
      <w:pPr>
        <w:tabs>
          <w:tab w:val="left" w:pos="340"/>
        </w:tabs>
        <w:kinsoku w:val="0"/>
        <w:topLinePunct/>
        <w:snapToGrid w:val="0"/>
        <w:spacing w:line="360" w:lineRule="auto"/>
        <w:ind w:firstLine="560" w:firstLineChars="200"/>
        <w:rPr>
          <w:rFonts w:hint="eastAsia" w:ascii="宋体" w:hAnsi="宋体" w:cs="宋体"/>
          <w:b/>
          <w:bCs/>
          <w:color w:val="auto"/>
          <w:sz w:val="28"/>
          <w:szCs w:val="28"/>
          <w:highlight w:val="none"/>
        </w:rPr>
      </w:pPr>
      <w:r>
        <w:rPr>
          <w:rFonts w:hint="eastAsia" w:ascii="宋体" w:hAnsi="宋体" w:cs="宋体"/>
          <w:color w:val="auto"/>
          <w:sz w:val="28"/>
          <w:szCs w:val="28"/>
          <w:highlight w:val="none"/>
        </w:rPr>
        <w:t>（2）</w:t>
      </w:r>
      <w:r>
        <w:rPr>
          <w:rFonts w:hint="eastAsia" w:ascii="宋体" w:hAnsi="宋体" w:cs="宋体"/>
          <w:b/>
          <w:bCs/>
          <w:color w:val="auto"/>
          <w:sz w:val="28"/>
          <w:szCs w:val="28"/>
          <w:highlight w:val="none"/>
        </w:rPr>
        <w:t>本项目报价为固定价格报价，投标人应充分考虑服务实施期间各类市场价格和政策性价格调整因素，确定价格风险计入总报价，今后不作调整。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7B099C34">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（3）投标报价在合同执行期间是固定不变和不可变更的，不因市场变化因素而变动，投标人在计算报价时应考虑风险因素。</w:t>
      </w:r>
    </w:p>
    <w:p w14:paraId="0DCEA4A0">
      <w:pPr>
        <w:spacing w:line="460" w:lineRule="exact"/>
        <w:rPr>
          <w:rFonts w:hint="eastAsia" w:ascii="宋体" w:hAnsi="宋体" w:cs="宋体"/>
          <w:color w:val="auto"/>
          <w:kern w:val="0"/>
          <w:sz w:val="32"/>
          <w:szCs w:val="32"/>
          <w:highlight w:val="none"/>
        </w:rPr>
        <w:sectPr>
          <w:pgSz w:w="11906" w:h="16838"/>
          <w:pgMar w:top="1440" w:right="1797" w:bottom="1440" w:left="1797" w:header="851" w:footer="992" w:gutter="0"/>
          <w:cols w:space="720" w:num="1"/>
          <w:docGrid w:type="lines" w:linePitch="312" w:charSpace="0"/>
        </w:sectPr>
      </w:pPr>
    </w:p>
    <w:p w14:paraId="36514F9B">
      <w:pPr>
        <w:snapToGrid w:val="0"/>
        <w:spacing w:line="360" w:lineRule="auto"/>
        <w:rPr>
          <w:rFonts w:hint="eastAsia" w:ascii="宋体" w:hAnsi="宋体" w:eastAsia="宋体" w:cs="宋体"/>
          <w:color w:val="auto"/>
          <w:kern w:val="0"/>
          <w:sz w:val="32"/>
          <w:szCs w:val="32"/>
          <w:highlight w:val="none"/>
          <w:lang w:eastAsia="zh-CN"/>
        </w:rPr>
      </w:pPr>
      <w:r>
        <w:rPr>
          <w:rFonts w:hint="eastAsia" w:ascii="宋体" w:hAnsi="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9</w:t>
      </w:r>
    </w:p>
    <w:p w14:paraId="65EA7D3D">
      <w:pPr>
        <w:snapToGrid w:val="0"/>
        <w:spacing w:line="360" w:lineRule="auto"/>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分项报价表</w:t>
      </w:r>
    </w:p>
    <w:tbl>
      <w:tblPr>
        <w:tblStyle w:val="36"/>
        <w:tblW w:w="103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5"/>
        <w:gridCol w:w="958"/>
        <w:gridCol w:w="1440"/>
        <w:gridCol w:w="855"/>
        <w:gridCol w:w="1380"/>
        <w:gridCol w:w="900"/>
        <w:gridCol w:w="870"/>
        <w:gridCol w:w="900"/>
        <w:gridCol w:w="1320"/>
        <w:gridCol w:w="977"/>
      </w:tblGrid>
      <w:tr w14:paraId="5CCDA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jc w:val="center"/>
        </w:trPr>
        <w:tc>
          <w:tcPr>
            <w:tcW w:w="765" w:type="dxa"/>
            <w:tcMar>
              <w:top w:w="57" w:type="dxa"/>
              <w:left w:w="57" w:type="dxa"/>
              <w:bottom w:w="57" w:type="dxa"/>
              <w:right w:w="57" w:type="dxa"/>
            </w:tcMar>
            <w:vAlign w:val="center"/>
          </w:tcPr>
          <w:p w14:paraId="4322379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2398" w:type="dxa"/>
            <w:gridSpan w:val="2"/>
            <w:tcMar>
              <w:top w:w="57" w:type="dxa"/>
              <w:left w:w="57" w:type="dxa"/>
              <w:bottom w:w="57" w:type="dxa"/>
              <w:right w:w="57" w:type="dxa"/>
            </w:tcMar>
            <w:vAlign w:val="center"/>
          </w:tcPr>
          <w:p w14:paraId="24C3612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产品名称</w:t>
            </w:r>
          </w:p>
        </w:tc>
        <w:tc>
          <w:tcPr>
            <w:tcW w:w="855" w:type="dxa"/>
            <w:tcMar>
              <w:top w:w="57" w:type="dxa"/>
              <w:left w:w="57" w:type="dxa"/>
              <w:bottom w:w="57" w:type="dxa"/>
              <w:right w:w="57" w:type="dxa"/>
            </w:tcMar>
            <w:vAlign w:val="center"/>
          </w:tcPr>
          <w:p w14:paraId="33A9446B">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品牌</w:t>
            </w:r>
          </w:p>
        </w:tc>
        <w:tc>
          <w:tcPr>
            <w:tcW w:w="1380" w:type="dxa"/>
            <w:tcMar>
              <w:top w:w="57" w:type="dxa"/>
              <w:left w:w="57" w:type="dxa"/>
              <w:bottom w:w="57" w:type="dxa"/>
              <w:right w:w="57" w:type="dxa"/>
            </w:tcMar>
            <w:vAlign w:val="center"/>
          </w:tcPr>
          <w:p w14:paraId="3480146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规格型号</w:t>
            </w:r>
          </w:p>
        </w:tc>
        <w:tc>
          <w:tcPr>
            <w:tcW w:w="900" w:type="dxa"/>
            <w:tcMar>
              <w:top w:w="57" w:type="dxa"/>
              <w:left w:w="57" w:type="dxa"/>
              <w:bottom w:w="57" w:type="dxa"/>
              <w:right w:w="57" w:type="dxa"/>
            </w:tcMar>
            <w:vAlign w:val="center"/>
          </w:tcPr>
          <w:p w14:paraId="04EB772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产地</w:t>
            </w:r>
          </w:p>
        </w:tc>
        <w:tc>
          <w:tcPr>
            <w:tcW w:w="870" w:type="dxa"/>
            <w:tcMar>
              <w:top w:w="57" w:type="dxa"/>
              <w:left w:w="57" w:type="dxa"/>
              <w:bottom w:w="57" w:type="dxa"/>
              <w:right w:w="57" w:type="dxa"/>
            </w:tcMar>
            <w:vAlign w:val="center"/>
          </w:tcPr>
          <w:p w14:paraId="7905EBF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生产厂家</w:t>
            </w:r>
          </w:p>
        </w:tc>
        <w:tc>
          <w:tcPr>
            <w:tcW w:w="900" w:type="dxa"/>
            <w:tcMar>
              <w:top w:w="57" w:type="dxa"/>
              <w:left w:w="57" w:type="dxa"/>
              <w:bottom w:w="57" w:type="dxa"/>
              <w:right w:w="57" w:type="dxa"/>
            </w:tcMar>
            <w:vAlign w:val="center"/>
          </w:tcPr>
          <w:p w14:paraId="35991BF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数量</w:t>
            </w:r>
          </w:p>
        </w:tc>
        <w:tc>
          <w:tcPr>
            <w:tcW w:w="1320" w:type="dxa"/>
            <w:tcMar>
              <w:top w:w="57" w:type="dxa"/>
              <w:left w:w="57" w:type="dxa"/>
              <w:bottom w:w="57" w:type="dxa"/>
              <w:right w:w="57" w:type="dxa"/>
            </w:tcMar>
            <w:vAlign w:val="center"/>
          </w:tcPr>
          <w:p w14:paraId="562E3BA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分项单价</w:t>
            </w:r>
          </w:p>
          <w:p w14:paraId="6DCBFC4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（元）</w:t>
            </w:r>
          </w:p>
        </w:tc>
        <w:tc>
          <w:tcPr>
            <w:tcW w:w="977" w:type="dxa"/>
            <w:tcMar>
              <w:top w:w="57" w:type="dxa"/>
              <w:left w:w="57" w:type="dxa"/>
              <w:bottom w:w="57" w:type="dxa"/>
              <w:right w:w="57" w:type="dxa"/>
            </w:tcMar>
            <w:vAlign w:val="center"/>
          </w:tcPr>
          <w:p w14:paraId="2561F48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分项总价</w:t>
            </w:r>
          </w:p>
          <w:p w14:paraId="0F002B4C">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（元）</w:t>
            </w:r>
          </w:p>
        </w:tc>
      </w:tr>
      <w:tr w14:paraId="71305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9" w:hRule="atLeast"/>
          <w:jc w:val="center"/>
        </w:trPr>
        <w:tc>
          <w:tcPr>
            <w:tcW w:w="765" w:type="dxa"/>
            <w:tcBorders>
              <w:bottom w:val="single" w:color="auto" w:sz="4" w:space="0"/>
            </w:tcBorders>
            <w:tcMar>
              <w:top w:w="57" w:type="dxa"/>
              <w:left w:w="57" w:type="dxa"/>
              <w:bottom w:w="57" w:type="dxa"/>
              <w:right w:w="57" w:type="dxa"/>
            </w:tcMar>
            <w:vAlign w:val="center"/>
          </w:tcPr>
          <w:p w14:paraId="1EFC2B9B">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958" w:type="dxa"/>
            <w:tcBorders>
              <w:bottom w:val="single" w:color="auto" w:sz="4" w:space="0"/>
            </w:tcBorders>
            <w:tcMar>
              <w:top w:w="57" w:type="dxa"/>
              <w:left w:w="57" w:type="dxa"/>
              <w:bottom w:w="57" w:type="dxa"/>
              <w:right w:w="57" w:type="dxa"/>
            </w:tcMar>
            <w:vAlign w:val="center"/>
          </w:tcPr>
          <w:p w14:paraId="1AE4EBB7">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产品1</w:t>
            </w:r>
          </w:p>
        </w:tc>
        <w:tc>
          <w:tcPr>
            <w:tcW w:w="1440" w:type="dxa"/>
            <w:tcMar>
              <w:top w:w="57" w:type="dxa"/>
              <w:left w:w="57" w:type="dxa"/>
              <w:bottom w:w="57" w:type="dxa"/>
              <w:right w:w="57" w:type="dxa"/>
            </w:tcMar>
            <w:vAlign w:val="center"/>
          </w:tcPr>
          <w:p w14:paraId="78E5652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长餐桌</w:t>
            </w:r>
          </w:p>
        </w:tc>
        <w:tc>
          <w:tcPr>
            <w:tcW w:w="855" w:type="dxa"/>
            <w:tcMar>
              <w:top w:w="57" w:type="dxa"/>
              <w:left w:w="57" w:type="dxa"/>
              <w:bottom w:w="57" w:type="dxa"/>
              <w:right w:w="57" w:type="dxa"/>
            </w:tcMar>
            <w:vAlign w:val="center"/>
          </w:tcPr>
          <w:p w14:paraId="5FE64E5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75893B6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4001B1A7">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30E2347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4F15BAC9">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240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179DDDB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508A661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01EF8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9" w:hRule="atLeast"/>
          <w:jc w:val="center"/>
        </w:trPr>
        <w:tc>
          <w:tcPr>
            <w:tcW w:w="765" w:type="dxa"/>
            <w:tcBorders>
              <w:top w:val="single" w:color="auto" w:sz="4" w:space="0"/>
            </w:tcBorders>
            <w:tcMar>
              <w:top w:w="57" w:type="dxa"/>
              <w:left w:w="57" w:type="dxa"/>
              <w:bottom w:w="57" w:type="dxa"/>
              <w:right w:w="57" w:type="dxa"/>
            </w:tcMar>
            <w:vAlign w:val="center"/>
          </w:tcPr>
          <w:p w14:paraId="33BDDD7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p>
        </w:tc>
        <w:tc>
          <w:tcPr>
            <w:tcW w:w="958" w:type="dxa"/>
            <w:tcBorders>
              <w:top w:val="single" w:color="auto" w:sz="4" w:space="0"/>
            </w:tcBorders>
            <w:tcMar>
              <w:top w:w="57" w:type="dxa"/>
              <w:left w:w="57" w:type="dxa"/>
              <w:bottom w:w="57" w:type="dxa"/>
              <w:right w:w="57" w:type="dxa"/>
            </w:tcMar>
            <w:vAlign w:val="center"/>
          </w:tcPr>
          <w:p w14:paraId="08959D82">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产品2</w:t>
            </w:r>
          </w:p>
        </w:tc>
        <w:tc>
          <w:tcPr>
            <w:tcW w:w="1440" w:type="dxa"/>
            <w:tcMar>
              <w:top w:w="57" w:type="dxa"/>
              <w:left w:w="57" w:type="dxa"/>
              <w:bottom w:w="57" w:type="dxa"/>
              <w:right w:w="57" w:type="dxa"/>
            </w:tcMar>
            <w:vAlign w:val="center"/>
          </w:tcPr>
          <w:p w14:paraId="4F8C173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椅子</w:t>
            </w:r>
          </w:p>
        </w:tc>
        <w:tc>
          <w:tcPr>
            <w:tcW w:w="855" w:type="dxa"/>
            <w:tcMar>
              <w:top w:w="57" w:type="dxa"/>
              <w:left w:w="57" w:type="dxa"/>
              <w:bottom w:w="57" w:type="dxa"/>
              <w:right w:w="57" w:type="dxa"/>
            </w:tcMar>
            <w:vAlign w:val="center"/>
          </w:tcPr>
          <w:p w14:paraId="62133002">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2B48B60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5225CC4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1600981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25CC352B">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960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5BA79B82">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0D2F58A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24520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765" w:type="dxa"/>
            <w:tcBorders>
              <w:bottom w:val="single" w:color="auto" w:sz="4" w:space="0"/>
            </w:tcBorders>
            <w:tcMar>
              <w:top w:w="57" w:type="dxa"/>
              <w:left w:w="57" w:type="dxa"/>
              <w:bottom w:w="57" w:type="dxa"/>
              <w:right w:w="57" w:type="dxa"/>
            </w:tcMar>
            <w:vAlign w:val="center"/>
          </w:tcPr>
          <w:p w14:paraId="243C9899">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3</w:t>
            </w:r>
          </w:p>
        </w:tc>
        <w:tc>
          <w:tcPr>
            <w:tcW w:w="958" w:type="dxa"/>
            <w:tcBorders>
              <w:bottom w:val="single" w:color="auto" w:sz="4" w:space="0"/>
            </w:tcBorders>
            <w:tcMar>
              <w:top w:w="57" w:type="dxa"/>
              <w:left w:w="57" w:type="dxa"/>
              <w:bottom w:w="57" w:type="dxa"/>
              <w:right w:w="57" w:type="dxa"/>
            </w:tcMar>
            <w:vAlign w:val="center"/>
          </w:tcPr>
          <w:p w14:paraId="0CB0AC2B">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产品3</w:t>
            </w:r>
          </w:p>
        </w:tc>
        <w:tc>
          <w:tcPr>
            <w:tcW w:w="1440" w:type="dxa"/>
            <w:tcMar>
              <w:top w:w="57" w:type="dxa"/>
              <w:left w:w="57" w:type="dxa"/>
              <w:bottom w:w="57" w:type="dxa"/>
              <w:right w:w="57" w:type="dxa"/>
            </w:tcMar>
            <w:vAlign w:val="center"/>
          </w:tcPr>
          <w:p w14:paraId="36CB94E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圆</w:t>
            </w:r>
            <w:r>
              <w:rPr>
                <w:rFonts w:hint="eastAsia" w:ascii="宋体" w:hAnsi="宋体" w:eastAsia="宋体" w:cs="宋体"/>
                <w:color w:val="auto"/>
                <w:sz w:val="28"/>
                <w:szCs w:val="28"/>
                <w:highlight w:val="none"/>
              </w:rPr>
              <w:t>餐桌</w:t>
            </w:r>
          </w:p>
        </w:tc>
        <w:tc>
          <w:tcPr>
            <w:tcW w:w="855" w:type="dxa"/>
            <w:tcMar>
              <w:top w:w="57" w:type="dxa"/>
              <w:left w:w="57" w:type="dxa"/>
              <w:bottom w:w="57" w:type="dxa"/>
              <w:right w:w="57" w:type="dxa"/>
            </w:tcMar>
            <w:vAlign w:val="center"/>
          </w:tcPr>
          <w:p w14:paraId="369D741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33F5477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77161C6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7F575942">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571DF8CC">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80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4645D15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75F7365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360F1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765" w:type="dxa"/>
            <w:tcBorders>
              <w:top w:val="single" w:color="auto" w:sz="4" w:space="0"/>
              <w:bottom w:val="single" w:color="auto" w:sz="4" w:space="0"/>
            </w:tcBorders>
            <w:tcMar>
              <w:top w:w="57" w:type="dxa"/>
              <w:left w:w="57" w:type="dxa"/>
              <w:bottom w:w="57" w:type="dxa"/>
              <w:right w:w="57" w:type="dxa"/>
            </w:tcMar>
            <w:vAlign w:val="center"/>
          </w:tcPr>
          <w:p w14:paraId="315777D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p>
        </w:tc>
        <w:tc>
          <w:tcPr>
            <w:tcW w:w="958" w:type="dxa"/>
            <w:tcBorders>
              <w:top w:val="single" w:color="auto" w:sz="4" w:space="0"/>
              <w:bottom w:val="single" w:color="auto" w:sz="4" w:space="0"/>
            </w:tcBorders>
            <w:tcMar>
              <w:top w:w="57" w:type="dxa"/>
              <w:left w:w="57" w:type="dxa"/>
              <w:bottom w:w="57" w:type="dxa"/>
              <w:right w:w="57" w:type="dxa"/>
            </w:tcMar>
            <w:vAlign w:val="center"/>
          </w:tcPr>
          <w:p w14:paraId="20AFC700">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产品4</w:t>
            </w:r>
          </w:p>
        </w:tc>
        <w:tc>
          <w:tcPr>
            <w:tcW w:w="1440" w:type="dxa"/>
            <w:tcMar>
              <w:top w:w="57" w:type="dxa"/>
              <w:left w:w="57" w:type="dxa"/>
              <w:bottom w:w="57" w:type="dxa"/>
              <w:right w:w="57" w:type="dxa"/>
            </w:tcMar>
            <w:vAlign w:val="center"/>
          </w:tcPr>
          <w:p w14:paraId="6D03E20D">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椅子</w:t>
            </w:r>
          </w:p>
        </w:tc>
        <w:tc>
          <w:tcPr>
            <w:tcW w:w="855" w:type="dxa"/>
            <w:tcMar>
              <w:top w:w="57" w:type="dxa"/>
              <w:left w:w="57" w:type="dxa"/>
              <w:bottom w:w="57" w:type="dxa"/>
              <w:right w:w="57" w:type="dxa"/>
            </w:tcMar>
            <w:vAlign w:val="center"/>
          </w:tcPr>
          <w:p w14:paraId="70E1BE3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2E84FC0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02D899D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0E80091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29AD8A09">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640</w:t>
            </w:r>
            <w:r>
              <w:rPr>
                <w:rFonts w:hint="eastAsia" w:ascii="宋体" w:hAnsi="宋体" w:eastAsia="宋体" w:cs="宋体"/>
                <w:b w:val="0"/>
                <w:bCs/>
                <w:color w:val="auto"/>
                <w:sz w:val="28"/>
                <w:szCs w:val="28"/>
                <w:highlight w:val="none"/>
              </w:rPr>
              <w:t>张</w:t>
            </w:r>
          </w:p>
        </w:tc>
        <w:tc>
          <w:tcPr>
            <w:tcW w:w="1320" w:type="dxa"/>
            <w:tcMar>
              <w:top w:w="57" w:type="dxa"/>
              <w:left w:w="57" w:type="dxa"/>
              <w:bottom w:w="57" w:type="dxa"/>
              <w:right w:w="57" w:type="dxa"/>
            </w:tcMar>
            <w:vAlign w:val="center"/>
          </w:tcPr>
          <w:p w14:paraId="0747739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1C0E40E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79263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jc w:val="center"/>
        </w:trPr>
        <w:tc>
          <w:tcPr>
            <w:tcW w:w="765" w:type="dxa"/>
            <w:tcBorders>
              <w:top w:val="single" w:color="auto" w:sz="4" w:space="0"/>
            </w:tcBorders>
            <w:tcMar>
              <w:top w:w="57" w:type="dxa"/>
              <w:left w:w="57" w:type="dxa"/>
              <w:bottom w:w="57" w:type="dxa"/>
              <w:right w:w="57" w:type="dxa"/>
            </w:tcMar>
            <w:vAlign w:val="center"/>
          </w:tcPr>
          <w:p w14:paraId="3AC5760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w:t>
            </w:r>
          </w:p>
        </w:tc>
        <w:tc>
          <w:tcPr>
            <w:tcW w:w="958" w:type="dxa"/>
            <w:tcBorders>
              <w:top w:val="single" w:color="auto" w:sz="4" w:space="0"/>
            </w:tcBorders>
            <w:tcMar>
              <w:top w:w="57" w:type="dxa"/>
              <w:left w:w="57" w:type="dxa"/>
              <w:bottom w:w="57" w:type="dxa"/>
              <w:right w:w="57" w:type="dxa"/>
            </w:tcMar>
            <w:vAlign w:val="center"/>
          </w:tcPr>
          <w:p w14:paraId="1D677F8B">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产品5</w:t>
            </w:r>
          </w:p>
        </w:tc>
        <w:tc>
          <w:tcPr>
            <w:tcW w:w="1440" w:type="dxa"/>
            <w:tcMar>
              <w:top w:w="57" w:type="dxa"/>
              <w:left w:w="57" w:type="dxa"/>
              <w:bottom w:w="57" w:type="dxa"/>
              <w:right w:w="57" w:type="dxa"/>
            </w:tcMar>
            <w:vAlign w:val="center"/>
          </w:tcPr>
          <w:p w14:paraId="11AC989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圆桌配套钢化玻璃</w:t>
            </w:r>
          </w:p>
        </w:tc>
        <w:tc>
          <w:tcPr>
            <w:tcW w:w="855" w:type="dxa"/>
            <w:tcMar>
              <w:top w:w="57" w:type="dxa"/>
              <w:left w:w="57" w:type="dxa"/>
              <w:bottom w:w="57" w:type="dxa"/>
              <w:right w:w="57" w:type="dxa"/>
            </w:tcMar>
            <w:vAlign w:val="center"/>
          </w:tcPr>
          <w:p w14:paraId="4EB9359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008EE87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37DA42B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1F62619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top"/>
          </w:tcPr>
          <w:p w14:paraId="2C1F3657">
            <w:pPr>
              <w:spacing w:line="360" w:lineRule="auto"/>
              <w:outlineLvl w:val="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80张</w:t>
            </w:r>
          </w:p>
        </w:tc>
        <w:tc>
          <w:tcPr>
            <w:tcW w:w="1320" w:type="dxa"/>
            <w:tcMar>
              <w:top w:w="57" w:type="dxa"/>
              <w:left w:w="57" w:type="dxa"/>
              <w:bottom w:w="57" w:type="dxa"/>
              <w:right w:w="57" w:type="dxa"/>
            </w:tcMar>
            <w:vAlign w:val="center"/>
          </w:tcPr>
          <w:p w14:paraId="2BC637E0">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1BC78C0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29925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jc w:val="center"/>
        </w:trPr>
        <w:tc>
          <w:tcPr>
            <w:tcW w:w="765" w:type="dxa"/>
            <w:tcMar>
              <w:top w:w="57" w:type="dxa"/>
              <w:left w:w="57" w:type="dxa"/>
              <w:bottom w:w="57" w:type="dxa"/>
              <w:right w:w="57" w:type="dxa"/>
            </w:tcMar>
            <w:vAlign w:val="center"/>
          </w:tcPr>
          <w:p w14:paraId="679E4CE8">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6</w:t>
            </w:r>
          </w:p>
        </w:tc>
        <w:tc>
          <w:tcPr>
            <w:tcW w:w="2398" w:type="dxa"/>
            <w:gridSpan w:val="2"/>
            <w:tcMar>
              <w:top w:w="57" w:type="dxa"/>
              <w:left w:w="57" w:type="dxa"/>
              <w:bottom w:w="57" w:type="dxa"/>
              <w:right w:w="57" w:type="dxa"/>
            </w:tcMar>
            <w:vAlign w:val="center"/>
          </w:tcPr>
          <w:p w14:paraId="7B7C8097">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其他</w:t>
            </w:r>
          </w:p>
        </w:tc>
        <w:tc>
          <w:tcPr>
            <w:tcW w:w="855" w:type="dxa"/>
            <w:tcMar>
              <w:top w:w="57" w:type="dxa"/>
              <w:left w:w="57" w:type="dxa"/>
              <w:bottom w:w="57" w:type="dxa"/>
              <w:right w:w="57" w:type="dxa"/>
            </w:tcMar>
            <w:vAlign w:val="center"/>
          </w:tcPr>
          <w:p w14:paraId="37B922F9">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80" w:type="dxa"/>
            <w:tcMar>
              <w:top w:w="57" w:type="dxa"/>
              <w:left w:w="57" w:type="dxa"/>
              <w:bottom w:w="57" w:type="dxa"/>
              <w:right w:w="57" w:type="dxa"/>
            </w:tcMar>
            <w:vAlign w:val="center"/>
          </w:tcPr>
          <w:p w14:paraId="37D827A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38D17AD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870" w:type="dxa"/>
            <w:tcMar>
              <w:top w:w="57" w:type="dxa"/>
              <w:left w:w="57" w:type="dxa"/>
              <w:bottom w:w="57" w:type="dxa"/>
              <w:right w:w="57" w:type="dxa"/>
            </w:tcMar>
            <w:vAlign w:val="center"/>
          </w:tcPr>
          <w:p w14:paraId="21392C2A">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00" w:type="dxa"/>
            <w:tcMar>
              <w:top w:w="57" w:type="dxa"/>
              <w:left w:w="57" w:type="dxa"/>
              <w:bottom w:w="57" w:type="dxa"/>
              <w:right w:w="57" w:type="dxa"/>
            </w:tcMar>
            <w:vAlign w:val="center"/>
          </w:tcPr>
          <w:p w14:paraId="64724031">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1320" w:type="dxa"/>
            <w:tcMar>
              <w:top w:w="57" w:type="dxa"/>
              <w:left w:w="57" w:type="dxa"/>
              <w:bottom w:w="57" w:type="dxa"/>
              <w:right w:w="57" w:type="dxa"/>
            </w:tcMar>
            <w:vAlign w:val="center"/>
          </w:tcPr>
          <w:p w14:paraId="06CF4EF4">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c>
          <w:tcPr>
            <w:tcW w:w="977" w:type="dxa"/>
            <w:tcMar>
              <w:top w:w="57" w:type="dxa"/>
              <w:left w:w="57" w:type="dxa"/>
              <w:bottom w:w="57" w:type="dxa"/>
              <w:right w:w="57" w:type="dxa"/>
            </w:tcMar>
            <w:vAlign w:val="center"/>
          </w:tcPr>
          <w:p w14:paraId="317F43B5">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p>
        </w:tc>
      </w:tr>
      <w:tr w14:paraId="2A7BB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6" w:hRule="atLeast"/>
          <w:jc w:val="center"/>
        </w:trPr>
        <w:tc>
          <w:tcPr>
            <w:tcW w:w="3163" w:type="dxa"/>
            <w:gridSpan w:val="3"/>
            <w:tcMar>
              <w:top w:w="57" w:type="dxa"/>
              <w:left w:w="57" w:type="dxa"/>
              <w:bottom w:w="57" w:type="dxa"/>
              <w:right w:w="57" w:type="dxa"/>
            </w:tcMar>
            <w:vAlign w:val="center"/>
          </w:tcPr>
          <w:p w14:paraId="60065A33">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投标总报价（元）</w:t>
            </w:r>
          </w:p>
        </w:tc>
        <w:tc>
          <w:tcPr>
            <w:tcW w:w="7202" w:type="dxa"/>
            <w:gridSpan w:val="7"/>
            <w:tcMar>
              <w:top w:w="57" w:type="dxa"/>
              <w:left w:w="57" w:type="dxa"/>
              <w:bottom w:w="57" w:type="dxa"/>
              <w:right w:w="57" w:type="dxa"/>
            </w:tcMar>
            <w:vAlign w:val="center"/>
          </w:tcPr>
          <w:p w14:paraId="6C90B139">
            <w:pPr>
              <w:keepNext w:val="0"/>
              <w:keepLines w:val="0"/>
              <w:pageBreakBefore w:val="0"/>
              <w:kinsoku/>
              <w:wordWrap/>
              <w:overflowPunct/>
              <w:topLinePunct w:val="0"/>
              <w:autoSpaceDE/>
              <w:autoSpaceDN/>
              <w:bidi w:val="0"/>
              <w:adjustRightInd/>
              <w:snapToGrid/>
              <w:spacing w:line="300" w:lineRule="exact"/>
              <w:jc w:val="lef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小写：</w:t>
            </w:r>
          </w:p>
        </w:tc>
      </w:tr>
    </w:tbl>
    <w:p w14:paraId="08E3FA8F">
      <w:pPr>
        <w:widowControl/>
        <w:adjustRightInd w:val="0"/>
        <w:spacing w:line="480" w:lineRule="auto"/>
        <w:rPr>
          <w:rFonts w:hint="eastAsia" w:ascii="宋体" w:hAnsi="宋体" w:cs="宋体"/>
          <w:color w:val="auto"/>
          <w:kern w:val="0"/>
          <w:sz w:val="20"/>
          <w:szCs w:val="21"/>
          <w:highlight w:val="none"/>
          <w:lang w:val="zh-CN"/>
        </w:rPr>
      </w:pPr>
    </w:p>
    <w:p w14:paraId="5FAC5CCD">
      <w:pPr>
        <w:widowControl/>
        <w:adjustRightInd w:val="0"/>
        <w:spacing w:line="480" w:lineRule="auto"/>
        <w:jc w:val="center"/>
        <w:rPr>
          <w:rFonts w:hint="eastAsia" w:ascii="宋体" w:hAnsi="宋体" w:cs="宋体"/>
          <w:color w:val="auto"/>
          <w:kern w:val="0"/>
          <w:sz w:val="20"/>
          <w:szCs w:val="21"/>
          <w:highlight w:val="none"/>
          <w:lang w:val="zh-CN"/>
        </w:rPr>
      </w:pPr>
    </w:p>
    <w:p w14:paraId="4F4617BB">
      <w:pPr>
        <w:spacing w:line="360" w:lineRule="auto"/>
        <w:ind w:firstLine="3080" w:firstLineChars="1100"/>
        <w:jc w:val="center"/>
        <w:rPr>
          <w:rFonts w:hint="eastAsia" w:ascii="宋体" w:hAnsi="宋体" w:cs="宋体"/>
          <w:color w:val="auto"/>
          <w:kern w:val="0"/>
          <w:sz w:val="28"/>
          <w:szCs w:val="28"/>
          <w:highlight w:val="none"/>
          <w:lang w:val="zh-CN" w:bidi="ar"/>
        </w:rPr>
      </w:pPr>
    </w:p>
    <w:p w14:paraId="29881179">
      <w:pPr>
        <w:spacing w:line="360" w:lineRule="auto"/>
        <w:ind w:firstLine="3080" w:firstLineChars="1100"/>
        <w:jc w:val="center"/>
        <w:rPr>
          <w:rFonts w:hint="eastAsia" w:ascii="宋体" w:hAnsi="宋体" w:cs="宋体"/>
          <w:color w:val="auto"/>
          <w:kern w:val="0"/>
          <w:sz w:val="28"/>
          <w:szCs w:val="28"/>
          <w:highlight w:val="none"/>
          <w:lang w:val="zh-CN" w:bidi="ar"/>
        </w:rPr>
      </w:pPr>
    </w:p>
    <w:p w14:paraId="236CBFE5">
      <w:pPr>
        <w:spacing w:line="360" w:lineRule="auto"/>
        <w:ind w:firstLine="3080" w:firstLineChars="1100"/>
        <w:jc w:val="center"/>
        <w:rPr>
          <w:rFonts w:hint="eastAsia" w:ascii="宋体" w:hAnsi="宋体" w:cs="宋体"/>
          <w:color w:val="auto"/>
          <w:kern w:val="0"/>
          <w:sz w:val="28"/>
          <w:szCs w:val="28"/>
          <w:highlight w:val="none"/>
          <w:lang w:val="zh-CN" w:bidi="ar"/>
        </w:rPr>
      </w:pPr>
    </w:p>
    <w:p w14:paraId="1E3EBDDE">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5E3AB0E1">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7ACDED4">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时间：年月日</w:t>
      </w:r>
    </w:p>
    <w:p w14:paraId="5EACD741">
      <w:pPr>
        <w:rPr>
          <w:rFonts w:hint="eastAsia" w:ascii="宋体" w:hAnsi="宋体" w:cs="宋体"/>
          <w:bCs/>
          <w:color w:val="auto"/>
          <w:sz w:val="32"/>
          <w:szCs w:val="32"/>
          <w:highlight w:val="none"/>
          <w:lang w:bidi="ar"/>
        </w:rPr>
      </w:pPr>
    </w:p>
    <w:p w14:paraId="3C387FAD">
      <w:pPr>
        <w:rPr>
          <w:rFonts w:hint="eastAsia" w:ascii="宋体" w:hAnsi="宋体" w:cs="宋体"/>
          <w:bCs/>
          <w:color w:val="auto"/>
          <w:sz w:val="32"/>
          <w:szCs w:val="32"/>
          <w:highlight w:val="none"/>
          <w:lang w:bidi="ar"/>
        </w:rPr>
      </w:pPr>
      <w:r>
        <w:rPr>
          <w:rFonts w:hint="eastAsia" w:ascii="宋体" w:hAnsi="宋体" w:cs="宋体"/>
          <w:bCs/>
          <w:color w:val="auto"/>
          <w:sz w:val="32"/>
          <w:szCs w:val="32"/>
          <w:highlight w:val="none"/>
          <w:lang w:bidi="ar"/>
        </w:rPr>
        <w:br w:type="page"/>
      </w:r>
    </w:p>
    <w:p w14:paraId="3DA542A5">
      <w:pPr>
        <w:jc w:val="left"/>
        <w:rPr>
          <w:rFonts w:hint="default" w:ascii="宋体" w:hAnsi="宋体" w:eastAsia="宋体" w:cs="宋体"/>
          <w:bCs/>
          <w:color w:val="auto"/>
          <w:sz w:val="32"/>
          <w:szCs w:val="32"/>
          <w:highlight w:val="none"/>
          <w:lang w:val="en-US" w:eastAsia="zh-CN" w:bidi="ar"/>
        </w:rPr>
      </w:pPr>
      <w:r>
        <w:rPr>
          <w:rFonts w:hint="eastAsia" w:ascii="宋体" w:hAnsi="宋体" w:cs="宋体"/>
          <w:bCs/>
          <w:color w:val="auto"/>
          <w:sz w:val="32"/>
          <w:szCs w:val="32"/>
          <w:highlight w:val="none"/>
          <w:lang w:bidi="ar"/>
        </w:rPr>
        <w:t>附件</w:t>
      </w:r>
      <w:r>
        <w:rPr>
          <w:rFonts w:hint="eastAsia" w:ascii="宋体" w:hAnsi="宋体" w:cs="宋体"/>
          <w:bCs/>
          <w:color w:val="auto"/>
          <w:sz w:val="32"/>
          <w:szCs w:val="32"/>
          <w:highlight w:val="none"/>
          <w:lang w:val="en-US" w:eastAsia="zh-CN" w:bidi="ar"/>
        </w:rPr>
        <w:t>10</w:t>
      </w:r>
    </w:p>
    <w:p w14:paraId="6C59AEC8">
      <w:pPr>
        <w:spacing w:before="240" w:line="312" w:lineRule="auto"/>
        <w:jc w:val="center"/>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投标人信用承诺书</w:t>
      </w:r>
    </w:p>
    <w:p w14:paraId="5920E339">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为营造公开、公平、公正的招标采购交易环境，树立诚信守法的投标人形象，本人代表本单位作出以下承诺：</w:t>
      </w:r>
    </w:p>
    <w:p w14:paraId="32BCF032">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一、本单位对所提交的单位基本信息、法定代表人、项目负责人、技术负责人、从业资质和资格、业绩、财务状况、信誉等所有资料，均合法、真实、准确、有效，无任何伪造、修改、虚假成分。</w:t>
      </w:r>
    </w:p>
    <w:p w14:paraId="00825D75">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二、严格依照国家、省、市关于政府采购及采购单位自行采购相关法律法规、规章、规范性文件，依法参与本次采购投标活动，恪守职业道德，促进廉洁采购。</w:t>
      </w:r>
    </w:p>
    <w:p w14:paraId="1627356D">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三、自我约束、自我管理，守合同、重信用，不参与围标串标、弄虚作假、骗取中标、干扰评标、违约毁约、恶意质疑投诉等行为，自觉维护本次采购活动的良好秩序。</w:t>
      </w:r>
    </w:p>
    <w:p w14:paraId="2AA2AFBC">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四、本单位自愿接受采购人、采购代理机构及采购单位纪检监察部门的依法监督检查。如发生违法违规或失信行为，自愿接受相应处理，并依法承担全部法律责任。</w:t>
      </w:r>
    </w:p>
    <w:p w14:paraId="038C8057">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五、自觉保护采购相关信息安全，严格履行保密义务，不泄露招标文件、投标文件及评审过程中的非公开信息。</w:t>
      </w:r>
    </w:p>
    <w:p w14:paraId="20BF7A47">
      <w:pPr>
        <w:spacing w:line="440" w:lineRule="exact"/>
        <w:ind w:firstLine="560" w:firstLineChars="200"/>
        <w:rPr>
          <w:rFonts w:hint="eastAsia" w:ascii="宋体" w:hAnsi="宋体" w:cs="宋体"/>
          <w:color w:val="auto"/>
          <w:kern w:val="0"/>
          <w:sz w:val="28"/>
          <w:szCs w:val="28"/>
          <w:highlight w:val="none"/>
          <w:lang w:val="zh-CN" w:bidi="ar"/>
        </w:rPr>
      </w:pPr>
      <w:r>
        <w:rPr>
          <w:rFonts w:hint="eastAsia" w:ascii="宋体" w:hAnsi="宋体" w:cs="宋体"/>
          <w:color w:val="auto"/>
          <w:kern w:val="0"/>
          <w:sz w:val="28"/>
          <w:szCs w:val="28"/>
          <w:highlight w:val="none"/>
          <w:lang w:bidi="ar"/>
        </w:rPr>
        <w:t>六、上述承诺已在本单位内部告知全体参与人员，承诺内容真实有效，愿接受社会监督。</w:t>
      </w:r>
    </w:p>
    <w:p w14:paraId="7E850E8C">
      <w:pPr>
        <w:spacing w:line="440" w:lineRule="exact"/>
        <w:ind w:firstLine="562" w:firstLineChars="200"/>
        <w:rPr>
          <w:rFonts w:hint="eastAsia" w:ascii="宋体" w:hAnsi="宋体" w:cs="宋体"/>
          <w:b/>
          <w:bCs/>
          <w:color w:val="auto"/>
          <w:kern w:val="0"/>
          <w:sz w:val="28"/>
          <w:szCs w:val="28"/>
          <w:highlight w:val="none"/>
          <w:lang w:val="zh-CN" w:bidi="ar"/>
        </w:rPr>
      </w:pPr>
      <w:r>
        <w:rPr>
          <w:rFonts w:hint="eastAsia" w:ascii="宋体" w:hAnsi="宋体" w:cs="宋体"/>
          <w:b/>
          <w:bCs/>
          <w:color w:val="auto"/>
          <w:kern w:val="0"/>
          <w:sz w:val="28"/>
          <w:szCs w:val="28"/>
          <w:highlight w:val="none"/>
          <w:lang w:bidi="ar"/>
        </w:rPr>
        <w:t>如有违反上述承诺的行为，本单位自愿承担相应责任，同意采购人按规定取消投标/中标资格、列入采购单位采购失信名单，并依法追究法律责任。</w:t>
      </w:r>
    </w:p>
    <w:p w14:paraId="5BF4B646">
      <w:pPr>
        <w:spacing w:line="360" w:lineRule="auto"/>
        <w:ind w:firstLine="3080" w:firstLineChars="1100"/>
        <w:rPr>
          <w:rFonts w:hint="eastAsia" w:ascii="宋体" w:hAnsi="宋体" w:eastAsia="宋体" w:cs="宋体"/>
          <w:color w:val="auto"/>
          <w:sz w:val="28"/>
          <w:szCs w:val="28"/>
          <w:highlight w:val="none"/>
          <w:lang w:eastAsia="zh-CN"/>
        </w:rPr>
      </w:pPr>
    </w:p>
    <w:p w14:paraId="16B88385">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2D09960D">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842EC58">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时间：年月日</w:t>
      </w:r>
    </w:p>
    <w:p w14:paraId="2C08C5A4">
      <w:pPr>
        <w:rPr>
          <w:rFonts w:hint="eastAsia" w:ascii="宋体" w:hAnsi="宋体" w:cs="宋体"/>
          <w:color w:val="auto"/>
          <w:sz w:val="32"/>
          <w:szCs w:val="32"/>
          <w:highlight w:val="none"/>
        </w:rPr>
      </w:pPr>
    </w:p>
    <w:p w14:paraId="07B5CFF3">
      <w:pPr>
        <w:snapToGrid w:val="0"/>
        <w:spacing w:line="300" w:lineRule="auto"/>
        <w:outlineLvl w:val="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附件1</w:t>
      </w:r>
      <w:r>
        <w:rPr>
          <w:rFonts w:hint="eastAsia" w:ascii="宋体" w:hAnsi="宋体" w:cs="宋体"/>
          <w:color w:val="auto"/>
          <w:sz w:val="32"/>
          <w:szCs w:val="32"/>
          <w:highlight w:val="none"/>
          <w:lang w:val="en-US" w:eastAsia="zh-CN"/>
        </w:rPr>
        <w:t>1</w:t>
      </w:r>
    </w:p>
    <w:p w14:paraId="107362AB">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质询函范本</w:t>
      </w:r>
    </w:p>
    <w:p w14:paraId="03CFB3D7">
      <w:pPr>
        <w:adjustRightInd w:val="0"/>
        <w:snapToGrid w:val="0"/>
        <w:spacing w:before="312" w:beforeLines="100"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一、质询投标人基本信息</w:t>
      </w:r>
    </w:p>
    <w:p w14:paraId="588DD5D3">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质询投标人：</w:t>
      </w:r>
    </w:p>
    <w:p w14:paraId="1FF52922">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4277E958">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4918C79A">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授权代表：</w:t>
      </w:r>
    </w:p>
    <w:p w14:paraId="74FB743F">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联系电话：</w:t>
      </w:r>
    </w:p>
    <w:p w14:paraId="070FC4CE">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地址：邮编：</w:t>
      </w:r>
    </w:p>
    <w:p w14:paraId="21021A25">
      <w:pPr>
        <w:adjustRightInd w:val="0"/>
        <w:snapToGrid w:val="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二、质询项目基本情况</w:t>
      </w:r>
    </w:p>
    <w:p w14:paraId="0929F4CA">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质询项目的名称：</w:t>
      </w:r>
    </w:p>
    <w:p w14:paraId="48A5DD60">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质询项目的编号：包号：</w:t>
      </w:r>
    </w:p>
    <w:p w14:paraId="4098434A">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采购人名称：</w:t>
      </w:r>
    </w:p>
    <w:p w14:paraId="71899F2A">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招标文件获取日期：</w:t>
      </w:r>
    </w:p>
    <w:p w14:paraId="79D9D272">
      <w:pPr>
        <w:adjustRightInd w:val="0"/>
        <w:snapToGrid w:val="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三、质询事项具体内容</w:t>
      </w:r>
    </w:p>
    <w:p w14:paraId="00784FAF">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质询事项1：</w:t>
      </w:r>
    </w:p>
    <w:p w14:paraId="1AC9D6D9">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事实依据：</w:t>
      </w:r>
    </w:p>
    <w:p w14:paraId="281A62F1">
      <w:pPr>
        <w:adjustRightInd w:val="0"/>
        <w:snapToGrid w:val="0"/>
        <w:spacing w:line="360" w:lineRule="auto"/>
        <w:rPr>
          <w:rFonts w:hint="eastAsia" w:ascii="宋体" w:hAnsi="宋体" w:cs="宋体"/>
          <w:color w:val="auto"/>
          <w:sz w:val="28"/>
          <w:szCs w:val="28"/>
          <w:highlight w:val="none"/>
        </w:rPr>
      </w:pPr>
    </w:p>
    <w:p w14:paraId="74EA17B3">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法律依据：</w:t>
      </w:r>
    </w:p>
    <w:p w14:paraId="526535C4">
      <w:pPr>
        <w:adjustRightInd w:val="0"/>
        <w:snapToGrid w:val="0"/>
        <w:spacing w:line="360" w:lineRule="auto"/>
        <w:rPr>
          <w:rFonts w:hint="eastAsia" w:ascii="宋体" w:hAnsi="宋体" w:cs="宋体"/>
          <w:color w:val="auto"/>
          <w:sz w:val="28"/>
          <w:szCs w:val="28"/>
          <w:highlight w:val="none"/>
          <w:u w:val="dotted"/>
        </w:rPr>
      </w:pPr>
    </w:p>
    <w:p w14:paraId="655C7C4A">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质询事项2</w:t>
      </w:r>
    </w:p>
    <w:p w14:paraId="32D88EE6">
      <w:pPr>
        <w:adjustRightInd w:val="0"/>
        <w:snapToGrid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w:t>
      </w:r>
    </w:p>
    <w:p w14:paraId="151FD111">
      <w:pPr>
        <w:adjustRightInd w:val="0"/>
        <w:snapToGrid w:val="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四、与质询事项相关的质询请求</w:t>
      </w:r>
    </w:p>
    <w:p w14:paraId="7FD6D03C">
      <w:pPr>
        <w:adjustRightInd w:val="0"/>
        <w:snapToGrid w:val="0"/>
        <w:spacing w:line="360" w:lineRule="auto"/>
        <w:rPr>
          <w:rFonts w:hint="eastAsia" w:ascii="宋体" w:hAnsi="宋体" w:cs="宋体"/>
          <w:color w:val="auto"/>
          <w:sz w:val="28"/>
          <w:szCs w:val="28"/>
          <w:highlight w:val="none"/>
          <w:u w:val="dotted"/>
        </w:rPr>
      </w:pPr>
      <w:r>
        <w:rPr>
          <w:rFonts w:hint="eastAsia" w:ascii="宋体" w:hAnsi="宋体" w:cs="宋体"/>
          <w:color w:val="auto"/>
          <w:sz w:val="28"/>
          <w:szCs w:val="28"/>
          <w:highlight w:val="none"/>
        </w:rPr>
        <w:t>请求：</w:t>
      </w:r>
    </w:p>
    <w:p w14:paraId="52E2DB39">
      <w:pP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签字(签章)：公章：</w:t>
      </w:r>
    </w:p>
    <w:p w14:paraId="6B31B8BD">
      <w:pP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日期：</w:t>
      </w:r>
    </w:p>
    <w:p w14:paraId="5CBC9DC3">
      <w:pPr>
        <w:rPr>
          <w:rFonts w:hint="eastAsia" w:ascii="宋体" w:hAnsi="宋体" w:cs="宋体"/>
          <w:color w:val="auto"/>
          <w:sz w:val="28"/>
          <w:szCs w:val="28"/>
          <w:highlight w:val="none"/>
        </w:rPr>
      </w:pPr>
    </w:p>
    <w:p w14:paraId="7FC76BA9">
      <w:pPr>
        <w:pStyle w:val="35"/>
        <w:ind w:firstLine="280"/>
        <w:rPr>
          <w:rFonts w:hint="eastAsia" w:ascii="宋体" w:hAnsi="宋体" w:cs="宋体"/>
          <w:color w:val="auto"/>
          <w:sz w:val="28"/>
          <w:szCs w:val="28"/>
          <w:highlight w:val="none"/>
        </w:rPr>
      </w:pPr>
    </w:p>
    <w:p w14:paraId="52A469A4">
      <w:pPr>
        <w:rPr>
          <w:rFonts w:hint="eastAsia" w:ascii="宋体" w:hAnsi="宋体" w:cs="宋体"/>
          <w:b/>
          <w:color w:val="auto"/>
          <w:sz w:val="28"/>
          <w:szCs w:val="28"/>
          <w:highlight w:val="none"/>
        </w:rPr>
      </w:pPr>
      <w:r>
        <w:rPr>
          <w:rFonts w:hint="eastAsia" w:ascii="宋体" w:hAnsi="宋体" w:cs="宋体"/>
          <w:b/>
          <w:color w:val="auto"/>
          <w:sz w:val="28"/>
          <w:szCs w:val="28"/>
          <w:highlight w:val="none"/>
        </w:rPr>
        <w:t>质询函制作说明：</w:t>
      </w:r>
    </w:p>
    <w:p w14:paraId="0FAA8539">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1.投标人提出质询时，应提交质询函和必要的证明材料。</w:t>
      </w:r>
    </w:p>
    <w:p w14:paraId="68823E12">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2.质询投标人若委托代理人进行质询的，质询函应按要求列明“授权代表”的有关内容，并在附件中提交由质询</w:t>
      </w:r>
      <w:r>
        <w:rPr>
          <w:rFonts w:hint="eastAsia" w:ascii="宋体" w:hAnsi="宋体" w:cs="宋体"/>
          <w:color w:val="auto"/>
          <w:kern w:val="0"/>
          <w:sz w:val="28"/>
          <w:szCs w:val="28"/>
          <w:highlight w:val="none"/>
        </w:rPr>
        <w:t>投标人签署的授权委托书。授权委托书应载明代理人的姓名或者名称、代理事项、具体权限、期限和相关事项。</w:t>
      </w:r>
    </w:p>
    <w:p w14:paraId="06E3283E">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3.质询投标人若对项目的某一分包进行质询，质询函中应列明具体分包号。</w:t>
      </w:r>
    </w:p>
    <w:p w14:paraId="40D9FE54">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4.质询函的质询事项应具体、明确，并有必要的事实依据和法律依据。</w:t>
      </w:r>
    </w:p>
    <w:p w14:paraId="1D96926F">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5.质询函的质询请求应与质询事项相关。</w:t>
      </w:r>
    </w:p>
    <w:p w14:paraId="1972CB80">
      <w:pPr>
        <w:widowControl/>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6.质询投标人为自然人的，质询函应由本人签字；质询投标人为法人或者其他组织的，质询函应由法定代表人、主要负责人，或者其授权代表签字或者盖章，并加盖公章。</w:t>
      </w: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4674F6A-7423-4264-A6B3-1D175B9562C1}"/>
  </w:font>
  <w:font w:name="Arial">
    <w:panose1 w:val="020B0604020202020204"/>
    <w:charset w:val="01"/>
    <w:family w:val="swiss"/>
    <w:pitch w:val="default"/>
    <w:sig w:usb0="E0002EFF" w:usb1="C000785B" w:usb2="00000009" w:usb3="00000000" w:csb0="400001FF" w:csb1="FFFF0000"/>
    <w:embedRegular r:id="rId2" w:fontKey="{71A43EBF-3B97-4317-BC99-277CA3A8A4E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PMingLiU-ExtB">
    <w:panose1 w:val="02020500000000000000"/>
    <w:charset w:val="88"/>
    <w:family w:val="roman"/>
    <w:pitch w:val="default"/>
    <w:sig w:usb0="8000002F" w:usb1="02000008" w:usb2="00000000" w:usb3="00000000" w:csb0="00100001"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6" w:usb3="00000000" w:csb0="6006009F" w:csb1="DFD70000"/>
  </w:font>
  <w:font w:name="方正仿宋_GBK">
    <w:panose1 w:val="02000000000000000000"/>
    <w:charset w:val="86"/>
    <w:family w:val="auto"/>
    <w:pitch w:val="default"/>
    <w:sig w:usb0="A00002BF" w:usb1="38CF7CFA" w:usb2="00082016" w:usb3="00000000" w:csb0="00040001" w:csb1="00000000"/>
    <w:embedRegular r:id="rId3" w:fontKey="{190B7058-65F2-4225-89A1-2B547F78607D}"/>
  </w:font>
  <w:font w:name="WPSEMBED10">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8EFDE">
    <w:pPr>
      <w:pStyle w:val="28"/>
      <w:jc w:val="center"/>
    </w:pPr>
    <w:r>
      <w:fldChar w:fldCharType="begin"/>
    </w:r>
    <w:r>
      <w:instrText xml:space="preserve">PAGE   \* MERGEFORMAT</w:instrText>
    </w:r>
    <w:r>
      <w:fldChar w:fldCharType="separate"/>
    </w:r>
    <w:r>
      <w:rPr>
        <w:lang w:val="zh-CN"/>
      </w:rPr>
      <w:t>21</w:t>
    </w:r>
    <w:r>
      <w:fldChar w:fldCharType="end"/>
    </w:r>
  </w:p>
  <w:p w14:paraId="47957247">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98E19">
    <w:pPr>
      <w:pStyle w:val="29"/>
      <w:pBdr>
        <w:bottom w:val="none" w:color="auto" w:sz="0" w:space="0"/>
      </w:pBdr>
    </w:pPr>
    <w:r>
      <mc:AlternateContent>
        <mc:Choice Requires="wps">
          <w:drawing>
            <wp:anchor distT="0" distB="0" distL="0" distR="0" simplePos="0" relativeHeight="251661312" behindDoc="0" locked="0" layoutInCell="1" allowOverlap="1">
              <wp:simplePos x="0" y="0"/>
              <wp:positionH relativeFrom="page">
                <wp:align>right</wp:align>
              </wp:positionH>
              <wp:positionV relativeFrom="page">
                <wp:align>top</wp:align>
              </wp:positionV>
              <wp:extent cx="443865" cy="443865"/>
              <wp:effectExtent l="0" t="0" r="0" b="16510"/>
              <wp:wrapNone/>
              <wp:docPr id="5" name="文本框 5"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276EAE9">
                          <w:pPr>
                            <w:rPr>
                              <w:rFonts w:ascii="Arial" w:hAnsi="Arial" w:eastAsia="Arial" w:cs="Arial"/>
                              <w:color w:val="000000"/>
                              <w:sz w:val="16"/>
                              <w:szCs w:val="16"/>
                            </w:rPr>
                          </w:pP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1312;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Dv7GtQAAAADAQAADwAAAAAAAAABACAAAAAiAAAAZHJzL2Rv&#10;d25yZXYueG1sUEsBAhQAFAAAAAgAh07iQCD8Rt8+AgAAagQAAA4AAAAAAAAAAQAgAAAAIwEAAGRy&#10;cy9lMm9Eb2MueG1sUEsFBgAAAAAGAAYAWQEAANMFAAAAAA==&#10;">
              <v:fill on="f" focussize="0,0"/>
              <v:stroke on="f"/>
              <v:imagedata o:title=""/>
              <o:lock v:ext="edit" aspectratio="f"/>
              <v:textbox inset="0mm,15pt,20pt,0mm" style="mso-fit-shape-to-text:t;">
                <w:txbxContent>
                  <w:p w14:paraId="0276EAE9">
                    <w:pPr>
                      <w:rPr>
                        <w:rFonts w:ascii="Arial" w:hAnsi="Arial" w:eastAsia="Arial" w:cs="Arial"/>
                        <w:color w:val="000000"/>
                        <w:sz w:val="16"/>
                        <w:szCs w:val="1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CD573">
    <w:pPr>
      <w:pStyle w:val="29"/>
    </w:pPr>
    <w:r>
      <mc:AlternateContent>
        <mc:Choice Requires="wps">
          <w:drawing>
            <wp:anchor distT="0" distB="0" distL="0" distR="0" simplePos="0" relativeHeight="251660288" behindDoc="0" locked="0" layoutInCell="1" allowOverlap="1">
              <wp:simplePos x="0" y="0"/>
              <wp:positionH relativeFrom="page">
                <wp:align>right</wp:align>
              </wp:positionH>
              <wp:positionV relativeFrom="page">
                <wp:align>top</wp:align>
              </wp:positionV>
              <wp:extent cx="443865" cy="443865"/>
              <wp:effectExtent l="0" t="0" r="0" b="16510"/>
              <wp:wrapNone/>
              <wp:docPr id="4" name="文本框 4"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0D7752">
                          <w:pPr>
                            <w:rPr>
                              <w:rFonts w:ascii="Arial" w:hAnsi="Arial" w:eastAsia="Arial" w:cs="Arial"/>
                              <w:color w:val="000000"/>
                              <w:sz w:val="16"/>
                              <w:szCs w:val="16"/>
                            </w:rPr>
                          </w:pPr>
                          <w:r>
                            <w:rPr>
                              <w:rFonts w:ascii="Arial" w:hAnsi="Arial" w:eastAsia="Arial" w:cs="Arial"/>
                              <w:color w:val="000000"/>
                              <w:sz w:val="16"/>
                              <w:szCs w:val="16"/>
                            </w:rPr>
                            <w:t>KONEInternal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0288;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w7+xrUAAAAAwEAAA8AAAAAAAAAAQAgAAAAIgAAAGRycy9k&#10;b3ducmV2LnhtbFBLAQIUABQAAAAIAIdO4kAKwCJ3PwIAAGoEAAAOAAAAAAAAAAEAIAAAACMBAABk&#10;cnMvZTJvRG9jLnhtbFBLBQYAAAAABgAGAFkBAADUBQAAAAA=&#10;">
              <v:fill on="f" focussize="0,0"/>
              <v:stroke on="f"/>
              <v:imagedata o:title=""/>
              <o:lock v:ext="edit" aspectratio="f"/>
              <v:textbox inset="0mm,15pt,20pt,0mm" style="mso-fit-shape-to-text:t;">
                <w:txbxContent>
                  <w:p w14:paraId="1A0D7752">
                    <w:pPr>
                      <w:rPr>
                        <w:rFonts w:ascii="Arial" w:hAnsi="Arial" w:eastAsia="Arial" w:cs="Arial"/>
                        <w:color w:val="000000"/>
                        <w:sz w:val="16"/>
                        <w:szCs w:val="16"/>
                      </w:rPr>
                    </w:pPr>
                    <w:r>
                      <w:rPr>
                        <w:rFonts w:ascii="Arial" w:hAnsi="Arial" w:eastAsia="Arial" w:cs="Arial"/>
                        <w:color w:val="000000"/>
                        <w:sz w:val="16"/>
                        <w:szCs w:val="16"/>
                      </w:rPr>
                      <w:t>KONEInternal</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A1F76">
    <w:pPr>
      <w:pStyle w:val="29"/>
    </w:pPr>
    <w:r>
      <mc:AlternateContent>
        <mc:Choice Requires="wps">
          <w:drawing>
            <wp:anchor distT="0" distB="0" distL="0" distR="0" simplePos="0" relativeHeight="251659264" behindDoc="0" locked="0" layoutInCell="1" allowOverlap="1">
              <wp:simplePos x="0" y="0"/>
              <wp:positionH relativeFrom="page">
                <wp:align>right</wp:align>
              </wp:positionH>
              <wp:positionV relativeFrom="page">
                <wp:align>top</wp:align>
              </wp:positionV>
              <wp:extent cx="443865" cy="443865"/>
              <wp:effectExtent l="0" t="0" r="0" b="16510"/>
              <wp:wrapNone/>
              <wp:docPr id="3" name="文本框 3"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77D4DF">
                          <w:pPr>
                            <w:rPr>
                              <w:rFonts w:ascii="Arial" w:hAnsi="Arial" w:eastAsia="Arial" w:cs="Arial"/>
                              <w:color w:val="000000"/>
                              <w:sz w:val="16"/>
                              <w:szCs w:val="16"/>
                            </w:rPr>
                          </w:pPr>
                          <w:r>
                            <w:rPr>
                              <w:rFonts w:ascii="Arial" w:hAnsi="Arial" w:eastAsia="Arial" w:cs="Arial"/>
                              <w:color w:val="000000"/>
                              <w:sz w:val="16"/>
                              <w:szCs w:val="16"/>
                            </w:rPr>
                            <w:t>KONEInternal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59264;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8O/sa1AAAAAMBAAAPAAAAAAAAAAEAIAAAACIAAABkcnMv&#10;ZG93bnJldi54bWxQSwECFAAUAAAACACHTuJAXnj8mEACAABqBAAADgAAAAAAAAABACAAAAAjAQAA&#10;ZHJzL2Uyb0RvYy54bWxQSwUGAAAAAAYABgBZAQAA1QUAAAAA&#10;">
              <v:fill on="f" focussize="0,0"/>
              <v:stroke on="f"/>
              <v:imagedata o:title=""/>
              <o:lock v:ext="edit" aspectratio="f"/>
              <v:textbox inset="0mm,15pt,20pt,0mm" style="mso-fit-shape-to-text:t;">
                <w:txbxContent>
                  <w:p w14:paraId="6B77D4DF">
                    <w:pPr>
                      <w:rPr>
                        <w:rFonts w:ascii="Arial" w:hAnsi="Arial" w:eastAsia="Arial" w:cs="Arial"/>
                        <w:color w:val="000000"/>
                        <w:sz w:val="16"/>
                        <w:szCs w:val="16"/>
                      </w:rPr>
                    </w:pPr>
                    <w:r>
                      <w:rPr>
                        <w:rFonts w:ascii="Arial" w:hAnsi="Arial" w:eastAsia="Arial" w:cs="Arial"/>
                        <w:color w:val="000000"/>
                        <w:sz w:val="16"/>
                        <w:szCs w:val="16"/>
                      </w:rPr>
                      <w:t>KONEInternal</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AE3B14B8"/>
    <w:multiLevelType w:val="singleLevel"/>
    <w:tmpl w:val="AE3B14B8"/>
    <w:lvl w:ilvl="0" w:tentative="0">
      <w:start w:val="1"/>
      <w:numFmt w:val="decimal"/>
      <w:suff w:val="nothing"/>
      <w:lvlText w:val="%1、"/>
      <w:lvlJc w:val="left"/>
    </w:lvl>
  </w:abstractNum>
  <w:abstractNum w:abstractNumId="2">
    <w:nsid w:val="C8879AEF"/>
    <w:multiLevelType w:val="multilevel"/>
    <w:tmpl w:val="C8879AEF"/>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38DA3F37"/>
    <w:multiLevelType w:val="multilevel"/>
    <w:tmpl w:val="38DA3F37"/>
    <w:lvl w:ilvl="0" w:tentative="0">
      <w:start w:val="1"/>
      <w:numFmt w:val="bullet"/>
      <w:pStyle w:val="130"/>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abstractNum w:abstractNumId="5">
    <w:nsid w:val="6DE2EDC4"/>
    <w:multiLevelType w:val="singleLevel"/>
    <w:tmpl w:val="6DE2EDC4"/>
    <w:lvl w:ilvl="0" w:tentative="0">
      <w:start w:val="1"/>
      <w:numFmt w:val="decimal"/>
      <w:lvlText w:val="%1."/>
      <w:lvlJc w:val="left"/>
      <w:pPr>
        <w:tabs>
          <w:tab w:val="left" w:pos="312"/>
        </w:tabs>
      </w:p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F69D2"/>
    <w:rsid w:val="0317318F"/>
    <w:rsid w:val="036A7762"/>
    <w:rsid w:val="038119D5"/>
    <w:rsid w:val="0388408C"/>
    <w:rsid w:val="03D33559"/>
    <w:rsid w:val="03F33C28"/>
    <w:rsid w:val="056E24FE"/>
    <w:rsid w:val="07391722"/>
    <w:rsid w:val="0C1110C3"/>
    <w:rsid w:val="0C727688"/>
    <w:rsid w:val="0E396FD3"/>
    <w:rsid w:val="161B58D5"/>
    <w:rsid w:val="211F34E2"/>
    <w:rsid w:val="28EB10B1"/>
    <w:rsid w:val="298B75C9"/>
    <w:rsid w:val="2A325C6F"/>
    <w:rsid w:val="2A760A6C"/>
    <w:rsid w:val="2B225570"/>
    <w:rsid w:val="2B2C75A8"/>
    <w:rsid w:val="348428C3"/>
    <w:rsid w:val="361B6516"/>
    <w:rsid w:val="386D6DD1"/>
    <w:rsid w:val="3A1219DE"/>
    <w:rsid w:val="3A47779C"/>
    <w:rsid w:val="3D393726"/>
    <w:rsid w:val="3DF5589F"/>
    <w:rsid w:val="3F2720F1"/>
    <w:rsid w:val="3FA24E33"/>
    <w:rsid w:val="43BD0C0D"/>
    <w:rsid w:val="488B12E3"/>
    <w:rsid w:val="4A560171"/>
    <w:rsid w:val="4BA161C5"/>
    <w:rsid w:val="4DBE1C1A"/>
    <w:rsid w:val="512647E8"/>
    <w:rsid w:val="520F6DE4"/>
    <w:rsid w:val="52535DBF"/>
    <w:rsid w:val="535844AE"/>
    <w:rsid w:val="55B861F4"/>
    <w:rsid w:val="56C105BC"/>
    <w:rsid w:val="56FC5368"/>
    <w:rsid w:val="57B7729E"/>
    <w:rsid w:val="585360FB"/>
    <w:rsid w:val="590A2647"/>
    <w:rsid w:val="5A8738CB"/>
    <w:rsid w:val="5AD703AE"/>
    <w:rsid w:val="5B305D11"/>
    <w:rsid w:val="5C471564"/>
    <w:rsid w:val="5CF14729"/>
    <w:rsid w:val="5F6144D4"/>
    <w:rsid w:val="621F2EAD"/>
    <w:rsid w:val="62DB23CE"/>
    <w:rsid w:val="63277B66"/>
    <w:rsid w:val="67917B37"/>
    <w:rsid w:val="69E06B54"/>
    <w:rsid w:val="745D33A4"/>
    <w:rsid w:val="75AE413E"/>
    <w:rsid w:val="764741E2"/>
    <w:rsid w:val="776E39F1"/>
    <w:rsid w:val="794B3E77"/>
    <w:rsid w:val="7AF45459"/>
    <w:rsid w:val="7BBA5457"/>
    <w:rsid w:val="7D497E9A"/>
    <w:rsid w:val="7D8B3ACD"/>
    <w:rsid w:val="FFFEEA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qFormat="1" w:unhideWhenUsed="0" w:uiPriority="9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48"/>
    <w:qFormat/>
    <w:uiPriority w:val="0"/>
    <w:pPr>
      <w:keepNext/>
      <w:keepLines/>
      <w:spacing w:before="340" w:after="330" w:line="578" w:lineRule="auto"/>
      <w:outlineLvl w:val="0"/>
    </w:pPr>
    <w:rPr>
      <w:b/>
      <w:bCs/>
      <w:kern w:val="44"/>
      <w:sz w:val="44"/>
      <w:szCs w:val="44"/>
    </w:rPr>
  </w:style>
  <w:style w:type="paragraph" w:styleId="7">
    <w:name w:val="heading 2"/>
    <w:basedOn w:val="1"/>
    <w:next w:val="1"/>
    <w:link w:val="49"/>
    <w:qFormat/>
    <w:uiPriority w:val="0"/>
    <w:pPr>
      <w:keepNext/>
      <w:keepLines/>
      <w:spacing w:before="260" w:after="260" w:line="416" w:lineRule="auto"/>
      <w:outlineLvl w:val="1"/>
    </w:pPr>
    <w:rPr>
      <w:rFonts w:ascii="Arial" w:hAnsi="Arial" w:eastAsia="黑体"/>
      <w:b/>
      <w:bCs/>
      <w:kern w:val="0"/>
      <w:sz w:val="32"/>
      <w:szCs w:val="32"/>
    </w:rPr>
  </w:style>
  <w:style w:type="paragraph" w:styleId="8">
    <w:name w:val="heading 3"/>
    <w:basedOn w:val="1"/>
    <w:next w:val="1"/>
    <w:link w:val="50"/>
    <w:qFormat/>
    <w:uiPriority w:val="0"/>
    <w:pPr>
      <w:keepNext/>
      <w:keepLines/>
      <w:spacing w:before="260" w:after="260" w:line="416" w:lineRule="auto"/>
      <w:outlineLvl w:val="2"/>
    </w:pPr>
    <w:rPr>
      <w:b/>
      <w:bCs/>
      <w:kern w:val="0"/>
      <w:sz w:val="32"/>
      <w:szCs w:val="32"/>
    </w:rPr>
  </w:style>
  <w:style w:type="paragraph" w:styleId="9">
    <w:name w:val="heading 4"/>
    <w:basedOn w:val="1"/>
    <w:next w:val="1"/>
    <w:link w:val="47"/>
    <w:qFormat/>
    <w:uiPriority w:val="0"/>
    <w:pPr>
      <w:keepNext/>
      <w:jc w:val="center"/>
      <w:outlineLvl w:val="3"/>
    </w:pPr>
    <w:rPr>
      <w:rFonts w:eastAsia="新宋体"/>
      <w:kern w:val="0"/>
      <w:sz w:val="30"/>
      <w:szCs w:val="21"/>
    </w:rPr>
  </w:style>
  <w:style w:type="paragraph" w:styleId="10">
    <w:name w:val="heading 5"/>
    <w:basedOn w:val="1"/>
    <w:next w:val="1"/>
    <w:link w:val="51"/>
    <w:qFormat/>
    <w:uiPriority w:val="0"/>
    <w:pPr>
      <w:keepNext/>
      <w:keepLines/>
      <w:spacing w:before="280" w:after="290" w:line="376" w:lineRule="auto"/>
      <w:outlineLvl w:val="4"/>
    </w:pPr>
    <w:rPr>
      <w:b/>
      <w:bCs/>
      <w:kern w:val="0"/>
      <w:sz w:val="28"/>
      <w:szCs w:val="28"/>
    </w:rPr>
  </w:style>
  <w:style w:type="paragraph" w:styleId="11">
    <w:name w:val="heading 6"/>
    <w:basedOn w:val="1"/>
    <w:next w:val="1"/>
    <w:link w:val="52"/>
    <w:qFormat/>
    <w:uiPriority w:val="0"/>
    <w:pPr>
      <w:keepNext/>
      <w:jc w:val="center"/>
      <w:outlineLvl w:val="5"/>
    </w:pPr>
    <w:rPr>
      <w:b/>
      <w:kern w:val="0"/>
      <w:sz w:val="44"/>
      <w:szCs w:val="20"/>
    </w:rPr>
  </w:style>
  <w:style w:type="paragraph" w:styleId="12">
    <w:name w:val="heading 7"/>
    <w:basedOn w:val="1"/>
    <w:next w:val="1"/>
    <w:link w:val="53"/>
    <w:qFormat/>
    <w:uiPriority w:val="0"/>
    <w:pPr>
      <w:keepNext/>
      <w:keepLines/>
      <w:spacing w:before="240" w:after="64" w:line="320" w:lineRule="auto"/>
      <w:outlineLvl w:val="6"/>
    </w:pPr>
    <w:rPr>
      <w:b/>
      <w:bCs/>
      <w:kern w:val="0"/>
      <w:sz w:val="24"/>
    </w:rPr>
  </w:style>
  <w:style w:type="paragraph" w:styleId="13">
    <w:name w:val="heading 8"/>
    <w:basedOn w:val="1"/>
    <w:next w:val="1"/>
    <w:link w:val="54"/>
    <w:qFormat/>
    <w:uiPriority w:val="0"/>
    <w:pPr>
      <w:keepNext/>
      <w:keepLines/>
      <w:spacing w:before="240" w:after="64" w:line="320" w:lineRule="auto"/>
      <w:outlineLvl w:val="7"/>
    </w:pPr>
    <w:rPr>
      <w:rFonts w:ascii="Arial" w:hAnsi="Arial" w:eastAsia="黑体"/>
      <w:kern w:val="0"/>
      <w:sz w:val="24"/>
    </w:rPr>
  </w:style>
  <w:style w:type="paragraph" w:styleId="14">
    <w:name w:val="heading 9"/>
    <w:basedOn w:val="1"/>
    <w:next w:val="1"/>
    <w:link w:val="55"/>
    <w:qFormat/>
    <w:uiPriority w:val="0"/>
    <w:pPr>
      <w:keepNext/>
      <w:keepLines/>
      <w:spacing w:before="240" w:after="64" w:line="320" w:lineRule="auto"/>
      <w:outlineLvl w:val="8"/>
    </w:pPr>
    <w:rPr>
      <w:rFonts w:ascii="Arial" w:hAnsi="Arial" w:eastAsia="黑体"/>
      <w:kern w:val="0"/>
      <w:sz w:val="24"/>
      <w:szCs w:val="21"/>
    </w:rPr>
  </w:style>
  <w:style w:type="character" w:default="1" w:styleId="38">
    <w:name w:val="Default Paragraph Font"/>
    <w:unhideWhenUsed/>
    <w:qFormat/>
    <w:uiPriority w:val="1"/>
  </w:style>
  <w:style w:type="table" w:default="1" w:styleId="36">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5"/>
    <w:unhideWhenUsed/>
    <w:qFormat/>
    <w:uiPriority w:val="99"/>
    <w:pPr>
      <w:ind w:firstLine="200" w:firstLineChars="200"/>
    </w:pPr>
  </w:style>
  <w:style w:type="paragraph" w:styleId="3">
    <w:name w:val="Body Text Indent"/>
    <w:basedOn w:val="1"/>
    <w:next w:val="4"/>
    <w:link w:val="61"/>
    <w:qFormat/>
    <w:uiPriority w:val="0"/>
    <w:pPr>
      <w:ind w:left="765"/>
    </w:pPr>
    <w:rPr>
      <w:rFonts w:ascii="仿宋_GB2312" w:eastAsia="仿宋_GB2312"/>
      <w:kern w:val="0"/>
      <w:sz w:val="28"/>
      <w:szCs w:val="20"/>
    </w:rPr>
  </w:style>
  <w:style w:type="paragraph" w:styleId="4">
    <w:name w:val="envelope return"/>
    <w:basedOn w:val="1"/>
    <w:unhideWhenUsed/>
    <w:qFormat/>
    <w:uiPriority w:val="99"/>
    <w:pPr>
      <w:snapToGrid w:val="0"/>
    </w:pPr>
    <w:rPr>
      <w:rFonts w:ascii="Arial" w:hAnsi="Arial"/>
    </w:rPr>
  </w:style>
  <w:style w:type="paragraph" w:styleId="5">
    <w:name w:val="Body Text Indent 3"/>
    <w:basedOn w:val="1"/>
    <w:link w:val="68"/>
    <w:qFormat/>
    <w:uiPriority w:val="0"/>
    <w:pPr>
      <w:spacing w:after="120"/>
      <w:ind w:left="420" w:leftChars="200"/>
    </w:pPr>
    <w:rPr>
      <w:kern w:val="0"/>
      <w:sz w:val="16"/>
      <w:szCs w:val="16"/>
    </w:rPr>
  </w:style>
  <w:style w:type="paragraph" w:styleId="15">
    <w:name w:val="toc 7"/>
    <w:basedOn w:val="1"/>
    <w:next w:val="1"/>
    <w:semiHidden/>
    <w:qFormat/>
    <w:uiPriority w:val="99"/>
    <w:pPr>
      <w:ind w:left="1260"/>
      <w:jc w:val="left"/>
    </w:pPr>
  </w:style>
  <w:style w:type="paragraph" w:styleId="16">
    <w:name w:val="Note Heading"/>
    <w:basedOn w:val="1"/>
    <w:next w:val="1"/>
    <w:qFormat/>
    <w:uiPriority w:val="0"/>
    <w:rPr>
      <w:rFonts w:ascii="Verdana" w:hAnsi="Verdana"/>
      <w:szCs w:val="20"/>
    </w:rPr>
  </w:style>
  <w:style w:type="paragraph" w:styleId="17">
    <w:name w:val="Normal Indent"/>
    <w:basedOn w:val="1"/>
    <w:next w:val="1"/>
    <w:link w:val="56"/>
    <w:qFormat/>
    <w:uiPriority w:val="0"/>
    <w:pPr>
      <w:ind w:firstLine="420"/>
    </w:pPr>
    <w:rPr>
      <w:kern w:val="0"/>
      <w:sz w:val="20"/>
      <w:szCs w:val="20"/>
    </w:rPr>
  </w:style>
  <w:style w:type="paragraph" w:styleId="18">
    <w:name w:val="Document Map"/>
    <w:basedOn w:val="1"/>
    <w:link w:val="57"/>
    <w:semiHidden/>
    <w:qFormat/>
    <w:uiPriority w:val="0"/>
    <w:pPr>
      <w:shd w:val="clear" w:color="auto" w:fill="000080"/>
    </w:pPr>
    <w:rPr>
      <w:kern w:val="0"/>
      <w:sz w:val="20"/>
    </w:rPr>
  </w:style>
  <w:style w:type="paragraph" w:styleId="19">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20">
    <w:name w:val="annotation text"/>
    <w:basedOn w:val="1"/>
    <w:link w:val="58"/>
    <w:unhideWhenUsed/>
    <w:qFormat/>
    <w:uiPriority w:val="99"/>
    <w:pPr>
      <w:jc w:val="left"/>
    </w:pPr>
  </w:style>
  <w:style w:type="paragraph" w:styleId="21">
    <w:name w:val="Body Text 3"/>
    <w:basedOn w:val="1"/>
    <w:link w:val="59"/>
    <w:qFormat/>
    <w:uiPriority w:val="0"/>
    <w:pPr>
      <w:spacing w:after="120"/>
    </w:pPr>
    <w:rPr>
      <w:kern w:val="0"/>
      <w:sz w:val="16"/>
      <w:szCs w:val="16"/>
    </w:rPr>
  </w:style>
  <w:style w:type="paragraph" w:styleId="22">
    <w:name w:val="Body Text"/>
    <w:basedOn w:val="1"/>
    <w:next w:val="1"/>
    <w:link w:val="60"/>
    <w:qFormat/>
    <w:uiPriority w:val="0"/>
    <w:rPr>
      <w:rFonts w:ascii="仿宋_GB2312" w:eastAsia="仿宋_GB2312"/>
      <w:kern w:val="0"/>
      <w:sz w:val="24"/>
      <w:szCs w:val="20"/>
    </w:rPr>
  </w:style>
  <w:style w:type="paragraph" w:styleId="23">
    <w:name w:val="Block Text"/>
    <w:basedOn w:val="1"/>
    <w:qFormat/>
    <w:uiPriority w:val="0"/>
    <w:pPr>
      <w:spacing w:line="360" w:lineRule="auto"/>
      <w:ind w:right="210" w:rightChars="100" w:firstLine="560" w:firstLineChars="200"/>
    </w:pPr>
    <w:rPr>
      <w:rFonts w:ascii="宋体" w:hAnsi="宋体"/>
      <w:color w:val="000000"/>
      <w:spacing w:val="20"/>
      <w:kern w:val="24"/>
      <w:sz w:val="24"/>
      <w:szCs w:val="18"/>
    </w:rPr>
  </w:style>
  <w:style w:type="paragraph" w:styleId="24">
    <w:name w:val="Plain Text"/>
    <w:basedOn w:val="1"/>
    <w:link w:val="62"/>
    <w:qFormat/>
    <w:uiPriority w:val="0"/>
    <w:rPr>
      <w:rFonts w:ascii="宋体" w:hAnsi="Courier New"/>
      <w:kern w:val="0"/>
      <w:sz w:val="20"/>
      <w:szCs w:val="21"/>
    </w:rPr>
  </w:style>
  <w:style w:type="paragraph" w:styleId="25">
    <w:name w:val="Date"/>
    <w:basedOn w:val="1"/>
    <w:next w:val="1"/>
    <w:link w:val="63"/>
    <w:qFormat/>
    <w:uiPriority w:val="0"/>
    <w:rPr>
      <w:kern w:val="0"/>
      <w:sz w:val="24"/>
      <w:szCs w:val="20"/>
    </w:rPr>
  </w:style>
  <w:style w:type="paragraph" w:styleId="26">
    <w:name w:val="Body Text Indent 2"/>
    <w:basedOn w:val="1"/>
    <w:link w:val="64"/>
    <w:qFormat/>
    <w:uiPriority w:val="0"/>
    <w:pPr>
      <w:spacing w:line="500" w:lineRule="exact"/>
      <w:ind w:firstLine="560" w:firstLineChars="200"/>
    </w:pPr>
    <w:rPr>
      <w:rFonts w:eastAsia="仿宋_GB2312"/>
      <w:kern w:val="0"/>
      <w:sz w:val="28"/>
      <w:szCs w:val="20"/>
    </w:rPr>
  </w:style>
  <w:style w:type="paragraph" w:styleId="27">
    <w:name w:val="Balloon Text"/>
    <w:basedOn w:val="1"/>
    <w:link w:val="65"/>
    <w:semiHidden/>
    <w:qFormat/>
    <w:uiPriority w:val="0"/>
    <w:rPr>
      <w:kern w:val="0"/>
      <w:sz w:val="18"/>
      <w:szCs w:val="18"/>
    </w:rPr>
  </w:style>
  <w:style w:type="paragraph" w:styleId="28">
    <w:name w:val="footer"/>
    <w:basedOn w:val="1"/>
    <w:link w:val="66"/>
    <w:qFormat/>
    <w:uiPriority w:val="99"/>
    <w:pPr>
      <w:tabs>
        <w:tab w:val="center" w:pos="4153"/>
        <w:tab w:val="right" w:pos="8306"/>
      </w:tabs>
      <w:snapToGrid w:val="0"/>
      <w:jc w:val="left"/>
    </w:pPr>
    <w:rPr>
      <w:kern w:val="0"/>
      <w:sz w:val="18"/>
      <w:szCs w:val="20"/>
    </w:rPr>
  </w:style>
  <w:style w:type="paragraph" w:styleId="29">
    <w:name w:val="header"/>
    <w:basedOn w:val="1"/>
    <w:link w:val="67"/>
    <w:qFormat/>
    <w:uiPriority w:val="0"/>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rPr>
      <w:sz w:val="24"/>
    </w:rPr>
  </w:style>
  <w:style w:type="paragraph" w:styleId="31">
    <w:name w:val="List"/>
    <w:basedOn w:val="1"/>
    <w:qFormat/>
    <w:uiPriority w:val="0"/>
    <w:pPr>
      <w:ind w:left="200" w:hanging="200" w:hangingChars="200"/>
    </w:pPr>
  </w:style>
  <w:style w:type="paragraph" w:styleId="32">
    <w:name w:val="Body Text 2"/>
    <w:basedOn w:val="1"/>
    <w:link w:val="69"/>
    <w:qFormat/>
    <w:uiPriority w:val="0"/>
    <w:pPr>
      <w:snapToGrid w:val="0"/>
    </w:pPr>
    <w:rPr>
      <w:b/>
      <w:bCs/>
      <w:kern w:val="0"/>
      <w:sz w:val="18"/>
    </w:rPr>
  </w:style>
  <w:style w:type="paragraph" w:styleId="33">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4">
    <w:name w:val="annotation subject"/>
    <w:basedOn w:val="20"/>
    <w:next w:val="20"/>
    <w:link w:val="70"/>
    <w:unhideWhenUsed/>
    <w:qFormat/>
    <w:uiPriority w:val="99"/>
    <w:rPr>
      <w:b/>
      <w:bCs/>
    </w:rPr>
  </w:style>
  <w:style w:type="paragraph" w:styleId="35">
    <w:name w:val="Body Text First Indent"/>
    <w:basedOn w:val="22"/>
    <w:next w:val="2"/>
    <w:link w:val="71"/>
    <w:qFormat/>
    <w:uiPriority w:val="0"/>
    <w:pPr>
      <w:spacing w:after="120"/>
      <w:ind w:firstLine="420" w:firstLineChars="100"/>
    </w:pPr>
    <w:rPr>
      <w:rFonts w:ascii="Times New Roman" w:eastAsia="宋体"/>
      <w:szCs w:val="24"/>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qFormat/>
    <w:uiPriority w:val="0"/>
    <w:rPr>
      <w:b/>
      <w:bCs/>
    </w:rPr>
  </w:style>
  <w:style w:type="character" w:styleId="40">
    <w:name w:val="page number"/>
    <w:qFormat/>
    <w:uiPriority w:val="0"/>
  </w:style>
  <w:style w:type="character" w:styleId="41">
    <w:name w:val="FollowedHyperlink"/>
    <w:qFormat/>
    <w:uiPriority w:val="0"/>
    <w:rPr>
      <w:color w:val="800080"/>
      <w:u w:val="single"/>
    </w:rPr>
  </w:style>
  <w:style w:type="character" w:styleId="42">
    <w:name w:val="Hyperlink"/>
    <w:qFormat/>
    <w:uiPriority w:val="0"/>
    <w:rPr>
      <w:color w:val="0000FF"/>
      <w:u w:val="single"/>
    </w:rPr>
  </w:style>
  <w:style w:type="character" w:styleId="43">
    <w:name w:val="annotation reference"/>
    <w:unhideWhenUsed/>
    <w:qFormat/>
    <w:uiPriority w:val="99"/>
    <w:rPr>
      <w:sz w:val="21"/>
      <w:szCs w:val="21"/>
    </w:rPr>
  </w:style>
  <w:style w:type="paragraph" w:customStyle="1" w:styleId="44">
    <w:name w:val="Heading 2"/>
    <w:basedOn w:val="1"/>
    <w:next w:val="1"/>
    <w:unhideWhenUsed/>
    <w:qFormat/>
    <w:uiPriority w:val="9"/>
    <w:pPr>
      <w:keepNext/>
      <w:keepLines/>
      <w:spacing w:before="360" w:after="200"/>
      <w:outlineLvl w:val="1"/>
    </w:pPr>
    <w:rPr>
      <w:rFonts w:ascii="Arial" w:hAnsi="Arial" w:eastAsia="Arial"/>
      <w:sz w:val="34"/>
      <w:szCs w:val="20"/>
      <w:lang w:eastAsia="en-US"/>
    </w:rPr>
  </w:style>
  <w:style w:type="paragraph" w:customStyle="1" w:styleId="45">
    <w:name w:val="Default1"/>
    <w:qFormat/>
    <w:uiPriority w:val="0"/>
    <w:pPr>
      <w:widowControl w:val="0"/>
      <w:autoSpaceDE w:val="0"/>
      <w:autoSpaceDN w:val="0"/>
    </w:pPr>
    <w:rPr>
      <w:rFonts w:hint="eastAsia" w:ascii="Times New Roman" w:hAnsi="Times New Roman" w:eastAsia="宋体" w:cs="Times New Roman"/>
      <w:color w:val="000000"/>
      <w:sz w:val="24"/>
      <w:lang w:val="en-US" w:eastAsia="zh-CN" w:bidi="ar-SA"/>
    </w:rPr>
  </w:style>
  <w:style w:type="paragraph" w:customStyle="1" w:styleId="46">
    <w:name w:val="列出段落1"/>
    <w:basedOn w:val="1"/>
    <w:qFormat/>
    <w:uiPriority w:val="34"/>
    <w:pPr>
      <w:widowControl/>
      <w:ind w:left="720"/>
      <w:contextualSpacing/>
      <w:jc w:val="left"/>
    </w:pPr>
    <w:rPr>
      <w:kern w:val="0"/>
      <w:sz w:val="24"/>
      <w:lang w:eastAsia="en-US" w:bidi="en-US"/>
    </w:rPr>
  </w:style>
  <w:style w:type="character" w:customStyle="1" w:styleId="47">
    <w:name w:val="标题 4 字符"/>
    <w:link w:val="9"/>
    <w:qFormat/>
    <w:uiPriority w:val="0"/>
    <w:rPr>
      <w:rFonts w:ascii="Times New Roman" w:hAnsi="Times New Roman" w:eastAsia="新宋体" w:cs="Times New Roman"/>
      <w:sz w:val="30"/>
      <w:szCs w:val="21"/>
    </w:rPr>
  </w:style>
  <w:style w:type="character" w:customStyle="1" w:styleId="48">
    <w:name w:val="标题 1 字符"/>
    <w:link w:val="6"/>
    <w:qFormat/>
    <w:uiPriority w:val="0"/>
    <w:rPr>
      <w:rFonts w:ascii="Times New Roman" w:hAnsi="Times New Roman" w:eastAsia="宋体" w:cs="Times New Roman"/>
      <w:b/>
      <w:bCs/>
      <w:kern w:val="44"/>
      <w:sz w:val="44"/>
      <w:szCs w:val="44"/>
    </w:rPr>
  </w:style>
  <w:style w:type="character" w:customStyle="1" w:styleId="49">
    <w:name w:val="标题 2 字符"/>
    <w:link w:val="7"/>
    <w:qFormat/>
    <w:uiPriority w:val="0"/>
    <w:rPr>
      <w:rFonts w:ascii="Arial" w:hAnsi="Arial" w:eastAsia="黑体" w:cs="Times New Roman"/>
      <w:b/>
      <w:bCs/>
      <w:sz w:val="32"/>
      <w:szCs w:val="32"/>
    </w:rPr>
  </w:style>
  <w:style w:type="character" w:customStyle="1" w:styleId="50">
    <w:name w:val="标题 3 字符"/>
    <w:link w:val="8"/>
    <w:qFormat/>
    <w:uiPriority w:val="0"/>
    <w:rPr>
      <w:rFonts w:ascii="Times New Roman" w:hAnsi="Times New Roman" w:eastAsia="宋体" w:cs="Times New Roman"/>
      <w:b/>
      <w:bCs/>
      <w:sz w:val="32"/>
      <w:szCs w:val="32"/>
    </w:rPr>
  </w:style>
  <w:style w:type="character" w:customStyle="1" w:styleId="51">
    <w:name w:val="标题 5 字符"/>
    <w:link w:val="10"/>
    <w:qFormat/>
    <w:uiPriority w:val="0"/>
    <w:rPr>
      <w:rFonts w:ascii="Times New Roman" w:hAnsi="Times New Roman" w:eastAsia="宋体" w:cs="Times New Roman"/>
      <w:b/>
      <w:bCs/>
      <w:sz w:val="28"/>
      <w:szCs w:val="28"/>
    </w:rPr>
  </w:style>
  <w:style w:type="character" w:customStyle="1" w:styleId="52">
    <w:name w:val="标题 6 字符"/>
    <w:link w:val="11"/>
    <w:qFormat/>
    <w:uiPriority w:val="0"/>
    <w:rPr>
      <w:rFonts w:ascii="Times New Roman" w:hAnsi="Times New Roman" w:eastAsia="宋体" w:cs="Times New Roman"/>
      <w:b/>
      <w:sz w:val="44"/>
      <w:szCs w:val="20"/>
    </w:rPr>
  </w:style>
  <w:style w:type="character" w:customStyle="1" w:styleId="53">
    <w:name w:val="标题 7 字符"/>
    <w:link w:val="12"/>
    <w:qFormat/>
    <w:uiPriority w:val="0"/>
    <w:rPr>
      <w:rFonts w:ascii="Times New Roman" w:hAnsi="Times New Roman" w:eastAsia="宋体" w:cs="Times New Roman"/>
      <w:b/>
      <w:bCs/>
      <w:sz w:val="24"/>
      <w:szCs w:val="24"/>
    </w:rPr>
  </w:style>
  <w:style w:type="character" w:customStyle="1" w:styleId="54">
    <w:name w:val="标题 8 字符"/>
    <w:link w:val="13"/>
    <w:qFormat/>
    <w:uiPriority w:val="0"/>
    <w:rPr>
      <w:rFonts w:ascii="Arial" w:hAnsi="Arial" w:eastAsia="黑体" w:cs="Times New Roman"/>
      <w:sz w:val="24"/>
      <w:szCs w:val="24"/>
    </w:rPr>
  </w:style>
  <w:style w:type="character" w:customStyle="1" w:styleId="55">
    <w:name w:val="标题 9 字符"/>
    <w:link w:val="14"/>
    <w:qFormat/>
    <w:uiPriority w:val="0"/>
    <w:rPr>
      <w:rFonts w:ascii="Arial" w:hAnsi="Arial" w:eastAsia="黑体" w:cs="Times New Roman"/>
      <w:sz w:val="24"/>
      <w:szCs w:val="21"/>
    </w:rPr>
  </w:style>
  <w:style w:type="character" w:customStyle="1" w:styleId="56">
    <w:name w:val="正文缩进 字符"/>
    <w:link w:val="17"/>
    <w:qFormat/>
    <w:uiPriority w:val="0"/>
    <w:rPr>
      <w:rFonts w:ascii="Times New Roman" w:hAnsi="Times New Roman" w:eastAsia="宋体" w:cs="Times New Roman"/>
      <w:kern w:val="0"/>
      <w:sz w:val="20"/>
      <w:szCs w:val="20"/>
    </w:rPr>
  </w:style>
  <w:style w:type="character" w:customStyle="1" w:styleId="57">
    <w:name w:val="文档结构图 字符"/>
    <w:link w:val="18"/>
    <w:semiHidden/>
    <w:qFormat/>
    <w:uiPriority w:val="0"/>
    <w:rPr>
      <w:szCs w:val="24"/>
      <w:shd w:val="clear" w:color="auto" w:fill="000080"/>
    </w:rPr>
  </w:style>
  <w:style w:type="character" w:customStyle="1" w:styleId="58">
    <w:name w:val="批注文字 字符"/>
    <w:link w:val="20"/>
    <w:qFormat/>
    <w:uiPriority w:val="99"/>
    <w:rPr>
      <w:kern w:val="2"/>
      <w:sz w:val="21"/>
      <w:szCs w:val="24"/>
    </w:rPr>
  </w:style>
  <w:style w:type="character" w:customStyle="1" w:styleId="59">
    <w:name w:val="正文文本 3 字符"/>
    <w:link w:val="21"/>
    <w:qFormat/>
    <w:uiPriority w:val="0"/>
    <w:rPr>
      <w:rFonts w:ascii="Times New Roman" w:hAnsi="Times New Roman" w:eastAsia="宋体" w:cs="Times New Roman"/>
      <w:sz w:val="16"/>
      <w:szCs w:val="16"/>
    </w:rPr>
  </w:style>
  <w:style w:type="character" w:customStyle="1" w:styleId="60">
    <w:name w:val="正文文本 字符"/>
    <w:link w:val="22"/>
    <w:qFormat/>
    <w:uiPriority w:val="0"/>
    <w:rPr>
      <w:rFonts w:ascii="仿宋_GB2312" w:hAnsi="Times New Roman" w:eastAsia="仿宋_GB2312" w:cs="Times New Roman"/>
      <w:sz w:val="24"/>
      <w:szCs w:val="20"/>
    </w:rPr>
  </w:style>
  <w:style w:type="character" w:customStyle="1" w:styleId="61">
    <w:name w:val="正文文本缩进 字符"/>
    <w:link w:val="3"/>
    <w:qFormat/>
    <w:uiPriority w:val="0"/>
    <w:rPr>
      <w:rFonts w:ascii="仿宋_GB2312" w:hAnsi="Times New Roman" w:eastAsia="仿宋_GB2312" w:cs="Times New Roman"/>
      <w:sz w:val="28"/>
      <w:szCs w:val="20"/>
    </w:rPr>
  </w:style>
  <w:style w:type="character" w:customStyle="1" w:styleId="62">
    <w:name w:val="纯文本 字符"/>
    <w:link w:val="24"/>
    <w:qFormat/>
    <w:uiPriority w:val="0"/>
    <w:rPr>
      <w:rFonts w:ascii="宋体" w:hAnsi="Courier New" w:eastAsia="宋体" w:cs="Courier New"/>
      <w:szCs w:val="21"/>
    </w:rPr>
  </w:style>
  <w:style w:type="character" w:customStyle="1" w:styleId="63">
    <w:name w:val="日期 字符"/>
    <w:link w:val="25"/>
    <w:qFormat/>
    <w:uiPriority w:val="0"/>
    <w:rPr>
      <w:rFonts w:ascii="Times New Roman" w:hAnsi="Times New Roman" w:eastAsia="宋体" w:cs="Times New Roman"/>
      <w:sz w:val="24"/>
      <w:szCs w:val="20"/>
    </w:rPr>
  </w:style>
  <w:style w:type="character" w:customStyle="1" w:styleId="64">
    <w:name w:val="正文文本缩进 2 字符"/>
    <w:link w:val="26"/>
    <w:qFormat/>
    <w:uiPriority w:val="0"/>
    <w:rPr>
      <w:rFonts w:ascii="Times New Roman" w:hAnsi="Times New Roman" w:eastAsia="仿宋_GB2312" w:cs="Times New Roman"/>
      <w:sz w:val="28"/>
      <w:szCs w:val="20"/>
    </w:rPr>
  </w:style>
  <w:style w:type="character" w:customStyle="1" w:styleId="65">
    <w:name w:val="批注框文本 字符"/>
    <w:link w:val="27"/>
    <w:semiHidden/>
    <w:qFormat/>
    <w:uiPriority w:val="0"/>
    <w:rPr>
      <w:sz w:val="18"/>
      <w:szCs w:val="18"/>
    </w:rPr>
  </w:style>
  <w:style w:type="character" w:customStyle="1" w:styleId="66">
    <w:name w:val="页脚 字符"/>
    <w:link w:val="28"/>
    <w:qFormat/>
    <w:uiPriority w:val="99"/>
    <w:rPr>
      <w:rFonts w:ascii="Times New Roman" w:hAnsi="Times New Roman" w:eastAsia="宋体" w:cs="Times New Roman"/>
      <w:sz w:val="18"/>
      <w:szCs w:val="20"/>
    </w:rPr>
  </w:style>
  <w:style w:type="character" w:customStyle="1" w:styleId="67">
    <w:name w:val="页眉 字符"/>
    <w:link w:val="29"/>
    <w:qFormat/>
    <w:uiPriority w:val="0"/>
    <w:rPr>
      <w:rFonts w:ascii="Times New Roman" w:hAnsi="Times New Roman" w:eastAsia="宋体" w:cs="Times New Roman"/>
      <w:sz w:val="18"/>
      <w:szCs w:val="18"/>
    </w:rPr>
  </w:style>
  <w:style w:type="character" w:customStyle="1" w:styleId="68">
    <w:name w:val="正文文本缩进 3 字符"/>
    <w:link w:val="5"/>
    <w:qFormat/>
    <w:uiPriority w:val="0"/>
    <w:rPr>
      <w:rFonts w:ascii="Times New Roman" w:hAnsi="Times New Roman" w:eastAsia="宋体" w:cs="Times New Roman"/>
      <w:sz w:val="16"/>
      <w:szCs w:val="16"/>
    </w:rPr>
  </w:style>
  <w:style w:type="character" w:customStyle="1" w:styleId="69">
    <w:name w:val="正文文本 2 字符"/>
    <w:link w:val="32"/>
    <w:qFormat/>
    <w:uiPriority w:val="0"/>
    <w:rPr>
      <w:rFonts w:ascii="Times New Roman" w:hAnsi="Times New Roman" w:eastAsia="宋体" w:cs="Times New Roman"/>
      <w:b/>
      <w:bCs/>
      <w:sz w:val="18"/>
      <w:szCs w:val="24"/>
    </w:rPr>
  </w:style>
  <w:style w:type="character" w:customStyle="1" w:styleId="70">
    <w:name w:val="批注主题 字符"/>
    <w:link w:val="34"/>
    <w:semiHidden/>
    <w:qFormat/>
    <w:uiPriority w:val="99"/>
    <w:rPr>
      <w:b/>
      <w:bCs/>
      <w:kern w:val="2"/>
      <w:sz w:val="21"/>
      <w:szCs w:val="24"/>
    </w:rPr>
  </w:style>
  <w:style w:type="character" w:customStyle="1" w:styleId="71">
    <w:name w:val="正文文本首行缩进 字符"/>
    <w:link w:val="35"/>
    <w:qFormat/>
    <w:uiPriority w:val="0"/>
    <w:rPr>
      <w:rFonts w:ascii="Times New Roman" w:hAnsi="Times New Roman" w:eastAsia="宋体" w:cs="Times New Roman"/>
      <w:sz w:val="24"/>
      <w:szCs w:val="24"/>
    </w:rPr>
  </w:style>
  <w:style w:type="paragraph" w:customStyle="1" w:styleId="72">
    <w:name w:val="标题 21"/>
    <w:basedOn w:val="1"/>
    <w:next w:val="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73">
    <w:name w:val="Default"/>
    <w:basedOn w:val="1"/>
    <w:qFormat/>
    <w:uiPriority w:val="0"/>
    <w:pPr>
      <w:autoSpaceDE w:val="0"/>
      <w:autoSpaceDN w:val="0"/>
      <w:adjustRightInd w:val="0"/>
      <w:jc w:val="left"/>
    </w:pPr>
    <w:rPr>
      <w:rFonts w:ascii="Arial" w:hAnsi="Arial" w:eastAsia="PMingLiU-ExtB"/>
      <w:kern w:val="0"/>
      <w:sz w:val="20"/>
      <w:szCs w:val="20"/>
    </w:rPr>
  </w:style>
  <w:style w:type="paragraph" w:customStyle="1" w:styleId="74">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75">
    <w:name w:val="style4"/>
    <w:basedOn w:val="1"/>
    <w:next w:val="76"/>
    <w:qFormat/>
    <w:uiPriority w:val="0"/>
    <w:pPr>
      <w:widowControl/>
      <w:spacing w:before="280" w:after="280"/>
    </w:pPr>
    <w:rPr>
      <w:rFonts w:ascii="宋体"/>
      <w:sz w:val="18"/>
    </w:rPr>
  </w:style>
  <w:style w:type="paragraph" w:customStyle="1" w:styleId="76">
    <w:name w:val="2"/>
    <w:next w:val="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77">
    <w:name w:val="font11"/>
    <w:qFormat/>
    <w:uiPriority w:val="0"/>
    <w:rPr>
      <w:rFonts w:hint="eastAsia" w:ascii="宋体" w:hAnsi="宋体" w:eastAsia="宋体" w:cs="宋体"/>
      <w:color w:val="000000"/>
      <w:sz w:val="24"/>
      <w:szCs w:val="24"/>
      <w:u w:val="none"/>
    </w:rPr>
  </w:style>
  <w:style w:type="character" w:customStyle="1" w:styleId="78">
    <w:name w:val="font41"/>
    <w:qFormat/>
    <w:uiPriority w:val="0"/>
    <w:rPr>
      <w:rFonts w:hint="eastAsia" w:ascii="宋体" w:hAnsi="宋体" w:eastAsia="宋体" w:cs="宋体"/>
      <w:color w:val="FFCC00"/>
      <w:sz w:val="24"/>
      <w:szCs w:val="24"/>
      <w:u w:val="none"/>
    </w:rPr>
  </w:style>
  <w:style w:type="character" w:customStyle="1" w:styleId="79">
    <w:name w:val="样式 ssss + 宋体 五号1 Char"/>
    <w:link w:val="80"/>
    <w:qFormat/>
    <w:uiPriority w:val="0"/>
    <w:rPr>
      <w:rFonts w:ascii="宋体" w:hAnsi="宋体" w:eastAsia="宋体" w:cs="Times New Roman"/>
      <w:sz w:val="24"/>
      <w:szCs w:val="24"/>
    </w:rPr>
  </w:style>
  <w:style w:type="paragraph" w:customStyle="1" w:styleId="80">
    <w:name w:val="样式 ssss + 宋体 五号1"/>
    <w:basedOn w:val="81"/>
    <w:link w:val="79"/>
    <w:qFormat/>
    <w:uiPriority w:val="0"/>
    <w:rPr>
      <w:rFonts w:ascii="宋体" w:hAnsi="宋体"/>
    </w:rPr>
  </w:style>
  <w:style w:type="paragraph" w:customStyle="1" w:styleId="81">
    <w:name w:val="ssss"/>
    <w:basedOn w:val="1"/>
    <w:link w:val="82"/>
    <w:qFormat/>
    <w:uiPriority w:val="0"/>
    <w:pPr>
      <w:spacing w:line="360" w:lineRule="auto"/>
      <w:ind w:firstLine="480" w:firstLineChars="200"/>
    </w:pPr>
    <w:rPr>
      <w:kern w:val="0"/>
      <w:sz w:val="24"/>
    </w:rPr>
  </w:style>
  <w:style w:type="character" w:customStyle="1" w:styleId="82">
    <w:name w:val="ssss Char1"/>
    <w:link w:val="81"/>
    <w:qFormat/>
    <w:uiPriority w:val="0"/>
    <w:rPr>
      <w:rFonts w:ascii="Times New Roman" w:hAnsi="Times New Roman" w:eastAsia="宋体" w:cs="Times New Roman"/>
      <w:sz w:val="24"/>
      <w:szCs w:val="24"/>
    </w:rPr>
  </w:style>
  <w:style w:type="character" w:customStyle="1" w:styleId="83">
    <w:name w:val="font01"/>
    <w:qFormat/>
    <w:uiPriority w:val="0"/>
    <w:rPr>
      <w:rFonts w:hint="eastAsia" w:ascii="宋体" w:hAnsi="宋体" w:eastAsia="宋体" w:cs="宋体"/>
      <w:color w:val="FF0000"/>
      <w:sz w:val="24"/>
      <w:szCs w:val="24"/>
      <w:u w:val="none"/>
    </w:rPr>
  </w:style>
  <w:style w:type="character" w:customStyle="1" w:styleId="84">
    <w:name w:val="point_normal1"/>
    <w:qFormat/>
    <w:uiPriority w:val="0"/>
    <w:rPr>
      <w:rFonts w:hint="default" w:ascii="Arial" w:hAnsi="Arial" w:cs="Arial"/>
      <w:sz w:val="16"/>
      <w:szCs w:val="16"/>
    </w:rPr>
  </w:style>
  <w:style w:type="character" w:customStyle="1" w:styleId="85">
    <w:name w:val="列表段落 字符1"/>
    <w:link w:val="86"/>
    <w:qFormat/>
    <w:locked/>
    <w:uiPriority w:val="99"/>
  </w:style>
  <w:style w:type="paragraph" w:customStyle="1" w:styleId="86">
    <w:name w:val="List Paragraph"/>
    <w:basedOn w:val="1"/>
    <w:link w:val="85"/>
    <w:qFormat/>
    <w:uiPriority w:val="99"/>
    <w:pPr>
      <w:ind w:firstLine="420" w:firstLineChars="200"/>
    </w:pPr>
    <w:rPr>
      <w:kern w:val="0"/>
      <w:sz w:val="20"/>
      <w:szCs w:val="20"/>
    </w:rPr>
  </w:style>
  <w:style w:type="character" w:customStyle="1" w:styleId="87">
    <w:name w:val="文档结构图 Char1"/>
    <w:semiHidden/>
    <w:qFormat/>
    <w:uiPriority w:val="99"/>
    <w:rPr>
      <w:rFonts w:ascii="宋体" w:hAnsi="Times New Roman" w:eastAsia="宋体" w:cs="Times New Roman"/>
      <w:sz w:val="18"/>
      <w:szCs w:val="18"/>
    </w:rPr>
  </w:style>
  <w:style w:type="character" w:customStyle="1" w:styleId="88">
    <w:name w:val="普通正文 Char"/>
    <w:link w:val="89"/>
    <w:qFormat/>
    <w:uiPriority w:val="0"/>
    <w:rPr>
      <w:rFonts w:ascii="Arial" w:hAnsi="Arial"/>
      <w:sz w:val="24"/>
      <w:szCs w:val="24"/>
    </w:rPr>
  </w:style>
  <w:style w:type="paragraph" w:customStyle="1" w:styleId="89">
    <w:name w:val="普通正文"/>
    <w:basedOn w:val="1"/>
    <w:link w:val="88"/>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90">
    <w:name w:val="FA正文 Char"/>
    <w:link w:val="91"/>
    <w:qFormat/>
    <w:uiPriority w:val="0"/>
    <w:rPr>
      <w:rFonts w:ascii="宋体" w:hAnsi="宋体" w:eastAsia="宋体" w:cs="Times New Roman"/>
      <w:sz w:val="28"/>
      <w:szCs w:val="28"/>
    </w:rPr>
  </w:style>
  <w:style w:type="paragraph" w:customStyle="1" w:styleId="91">
    <w:name w:val="FA正文"/>
    <w:basedOn w:val="1"/>
    <w:link w:val="90"/>
    <w:qFormat/>
    <w:uiPriority w:val="0"/>
    <w:pPr>
      <w:tabs>
        <w:tab w:val="left" w:pos="3375"/>
      </w:tabs>
      <w:spacing w:line="440" w:lineRule="atLeast"/>
      <w:ind w:firstLine="538" w:firstLineChars="192"/>
    </w:pPr>
    <w:rPr>
      <w:rFonts w:ascii="宋体" w:hAnsi="宋体"/>
      <w:kern w:val="0"/>
      <w:sz w:val="28"/>
      <w:szCs w:val="28"/>
    </w:rPr>
  </w:style>
  <w:style w:type="character" w:customStyle="1" w:styleId="92">
    <w:name w:val="正文缩进2格 Char"/>
    <w:link w:val="93"/>
    <w:qFormat/>
    <w:uiPriority w:val="0"/>
    <w:rPr>
      <w:rFonts w:ascii="仿宋_GB2312" w:hAnsi="宋体" w:eastAsia="仿宋_GB2312" w:cs="Times New Roman"/>
      <w:sz w:val="31"/>
      <w:szCs w:val="28"/>
    </w:rPr>
  </w:style>
  <w:style w:type="paragraph" w:customStyle="1" w:styleId="93">
    <w:name w:val="正文缩进2格"/>
    <w:basedOn w:val="1"/>
    <w:link w:val="92"/>
    <w:qFormat/>
    <w:uiPriority w:val="0"/>
    <w:pPr>
      <w:spacing w:line="600" w:lineRule="exact"/>
      <w:ind w:firstLine="639" w:firstLineChars="206"/>
    </w:pPr>
    <w:rPr>
      <w:rFonts w:ascii="仿宋_GB2312" w:hAnsi="宋体" w:eastAsia="仿宋_GB2312"/>
      <w:kern w:val="0"/>
      <w:sz w:val="31"/>
      <w:szCs w:val="28"/>
    </w:rPr>
  </w:style>
  <w:style w:type="character" w:customStyle="1" w:styleId="94">
    <w:name w:val="cn_text1"/>
    <w:qFormat/>
    <w:uiPriority w:val="0"/>
    <w:rPr>
      <w:rFonts w:hint="default" w:ascii="Times New Roman" w:hAnsi="Times New Roman"/>
      <w:color w:val="003399"/>
      <w:spacing w:val="15"/>
      <w:sz w:val="18"/>
      <w:szCs w:val="18"/>
    </w:rPr>
  </w:style>
  <w:style w:type="character" w:customStyle="1" w:styleId="95">
    <w:name w:val="ssss Char"/>
    <w:qFormat/>
    <w:uiPriority w:val="0"/>
    <w:rPr>
      <w:rFonts w:eastAsia="宋体"/>
      <w:kern w:val="2"/>
      <w:sz w:val="24"/>
      <w:szCs w:val="24"/>
      <w:lang w:val="en-US" w:eastAsia="zh-CN" w:bidi="ar-SA"/>
    </w:rPr>
  </w:style>
  <w:style w:type="character" w:customStyle="1" w:styleId="96">
    <w:name w:val="标题 4 Char1"/>
    <w:qFormat/>
    <w:uiPriority w:val="0"/>
    <w:rPr>
      <w:rFonts w:ascii="Arial" w:hAnsi="Arial" w:eastAsia="黑体"/>
      <w:b/>
      <w:bCs/>
      <w:kern w:val="2"/>
      <w:sz w:val="28"/>
      <w:szCs w:val="28"/>
      <w:lang w:val="en-US" w:eastAsia="zh-CN" w:bidi="ar-SA"/>
    </w:rPr>
  </w:style>
  <w:style w:type="character" w:customStyle="1" w:styleId="97">
    <w:name w:val="列表段落 字符"/>
    <w:qFormat/>
    <w:uiPriority w:val="34"/>
    <w:rPr>
      <w:rFonts w:ascii="Calibri" w:hAnsi="Calibri"/>
      <w:kern w:val="2"/>
      <w:sz w:val="21"/>
      <w:szCs w:val="22"/>
    </w:rPr>
  </w:style>
  <w:style w:type="character" w:customStyle="1" w:styleId="98">
    <w:name w:val="批注框文本 Char1"/>
    <w:semiHidden/>
    <w:qFormat/>
    <w:uiPriority w:val="99"/>
    <w:rPr>
      <w:rFonts w:ascii="Times New Roman" w:hAnsi="Times New Roman" w:eastAsia="宋体" w:cs="Times New Roman"/>
      <w:sz w:val="18"/>
      <w:szCs w:val="18"/>
    </w:rPr>
  </w:style>
  <w:style w:type="paragraph" w:customStyle="1" w:styleId="99">
    <w:name w:val="样式 正文文本缩进 3 + 四号"/>
    <w:basedOn w:val="5"/>
    <w:qFormat/>
    <w:uiPriority w:val="0"/>
    <w:pPr>
      <w:spacing w:after="0" w:line="360" w:lineRule="auto"/>
      <w:ind w:left="0" w:leftChars="0" w:firstLine="437"/>
    </w:pPr>
    <w:rPr>
      <w:sz w:val="24"/>
      <w:szCs w:val="21"/>
    </w:rPr>
  </w:style>
  <w:style w:type="paragraph" w:customStyle="1" w:styleId="100">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01">
    <w:name w:val="正文缩进1"/>
    <w:basedOn w:val="1"/>
    <w:next w:val="1"/>
    <w:qFormat/>
    <w:uiPriority w:val="0"/>
    <w:pPr>
      <w:widowControl/>
      <w:ind w:firstLine="420"/>
      <w:jc w:val="left"/>
    </w:pPr>
    <w:rPr>
      <w:kern w:val="0"/>
    </w:rPr>
  </w:style>
  <w:style w:type="paragraph" w:customStyle="1" w:styleId="102">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103">
    <w:name w:val="无间隔1"/>
    <w:qFormat/>
    <w:uiPriority w:val="0"/>
    <w:rPr>
      <w:rFonts w:ascii="Times New Roman" w:hAnsi="Times New Roman" w:eastAsia="宋体" w:cs="Calibri"/>
      <w:sz w:val="22"/>
      <w:lang w:val="en-US" w:eastAsia="zh-CN" w:bidi="ar-SA"/>
    </w:rPr>
  </w:style>
  <w:style w:type="paragraph" w:customStyle="1" w:styleId="104">
    <w:name w:val="样式 样式 ssss + 宋体 五号 + 首行缩进:  2 字符"/>
    <w:basedOn w:val="105"/>
    <w:qFormat/>
    <w:uiPriority w:val="0"/>
    <w:pPr>
      <w:ind w:firstLine="480"/>
    </w:pPr>
  </w:style>
  <w:style w:type="paragraph" w:customStyle="1" w:styleId="105">
    <w:name w:val="样式 ssss + 宋体 五号"/>
    <w:basedOn w:val="81"/>
    <w:qFormat/>
    <w:uiPriority w:val="0"/>
    <w:pPr>
      <w:ind w:firstLine="420"/>
    </w:pPr>
    <w:rPr>
      <w:rFonts w:ascii="宋体" w:hAnsi="宋体" w:cs="宋体"/>
      <w:szCs w:val="20"/>
    </w:rPr>
  </w:style>
  <w:style w:type="paragraph" w:customStyle="1" w:styleId="106">
    <w:name w:val="Char Char Char Char"/>
    <w:basedOn w:val="1"/>
    <w:qFormat/>
    <w:uiPriority w:val="0"/>
    <w:rPr>
      <w:rFonts w:ascii="Tahoma" w:hAnsi="Tahoma"/>
      <w:sz w:val="24"/>
      <w:szCs w:val="20"/>
    </w:rPr>
  </w:style>
  <w:style w:type="paragraph" w:customStyle="1" w:styleId="107">
    <w:name w:val="2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08">
    <w:name w:val="ec_msonormal"/>
    <w:basedOn w:val="1"/>
    <w:qFormat/>
    <w:uiPriority w:val="0"/>
    <w:pPr>
      <w:widowControl/>
      <w:spacing w:before="100" w:beforeAutospacing="1" w:after="100" w:afterAutospacing="1"/>
      <w:jc w:val="left"/>
    </w:pPr>
    <w:rPr>
      <w:rFonts w:ascii="宋体" w:hAnsi="宋体"/>
      <w:kern w:val="0"/>
      <w:sz w:val="24"/>
    </w:rPr>
  </w:style>
  <w:style w:type="paragraph" w:customStyle="1" w:styleId="109">
    <w:name w:val="标题-----3"/>
    <w:basedOn w:val="8"/>
    <w:qFormat/>
    <w:uiPriority w:val="0"/>
    <w:pPr>
      <w:spacing w:before="0" w:after="0" w:line="240" w:lineRule="auto"/>
      <w:outlineLvl w:val="0"/>
    </w:pPr>
    <w:rPr>
      <w:rFonts w:ascii="宋体" w:hAnsi="宋体"/>
      <w:b w:val="0"/>
      <w:bCs w:val="0"/>
      <w:sz w:val="28"/>
      <w:szCs w:val="28"/>
    </w:rPr>
  </w:style>
  <w:style w:type="paragraph" w:customStyle="1" w:styleId="110">
    <w:name w:val="Char Char Char Char Char Char Char Char Char Char Char Char Char"/>
    <w:basedOn w:val="1"/>
    <w:qFormat/>
    <w:uiPriority w:val="0"/>
  </w:style>
  <w:style w:type="paragraph" w:customStyle="1" w:styleId="111">
    <w:name w:val="表格正文"/>
    <w:basedOn w:val="1"/>
    <w:qFormat/>
    <w:uiPriority w:val="0"/>
    <w:pPr>
      <w:spacing w:line="360" w:lineRule="auto"/>
      <w:jc w:val="left"/>
    </w:pPr>
    <w:rPr>
      <w:rFonts w:ascii="Calibri" w:hAnsi="Calibri"/>
      <w:color w:val="000000"/>
      <w:szCs w:val="28"/>
    </w:rPr>
  </w:style>
  <w:style w:type="paragraph" w:customStyle="1" w:styleId="112">
    <w:name w:val="Char Char Char Char1"/>
    <w:basedOn w:val="1"/>
    <w:qFormat/>
    <w:uiPriority w:val="0"/>
    <w:rPr>
      <w:rFonts w:ascii="Tahoma" w:hAnsi="Tahoma"/>
      <w:sz w:val="24"/>
      <w:szCs w:val="20"/>
    </w:rPr>
  </w:style>
  <w:style w:type="paragraph" w:customStyle="1" w:styleId="113">
    <w:name w:val="Char Char Char"/>
    <w:basedOn w:val="1"/>
    <w:qFormat/>
    <w:uiPriority w:val="0"/>
    <w:rPr>
      <w:rFonts w:ascii="Tahoma" w:hAnsi="Tahoma"/>
      <w:sz w:val="24"/>
      <w:szCs w:val="20"/>
    </w:rPr>
  </w:style>
  <w:style w:type="paragraph" w:customStyle="1" w:styleId="114">
    <w:name w:val="样式 ssss + 居中"/>
    <w:basedOn w:val="81"/>
    <w:qFormat/>
    <w:uiPriority w:val="0"/>
    <w:pPr>
      <w:jc w:val="center"/>
    </w:pPr>
    <w:rPr>
      <w:rFonts w:cs="宋体"/>
      <w:szCs w:val="20"/>
    </w:rPr>
  </w:style>
  <w:style w:type="paragraph" w:customStyle="1" w:styleId="115">
    <w:name w:val="msonormal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16">
    <w:name w:val="Char"/>
    <w:basedOn w:val="1"/>
    <w:qFormat/>
    <w:uiPriority w:val="0"/>
    <w:rPr>
      <w:rFonts w:ascii="Tahoma" w:hAnsi="Tahoma"/>
      <w:sz w:val="24"/>
      <w:szCs w:val="20"/>
    </w:rPr>
  </w:style>
  <w:style w:type="paragraph" w:customStyle="1" w:styleId="117">
    <w:name w:val="xl25"/>
    <w:basedOn w:val="1"/>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118">
    <w:name w:val="样式8"/>
    <w:basedOn w:val="11"/>
    <w:qFormat/>
    <w:uiPriority w:val="0"/>
    <w:pPr>
      <w:tabs>
        <w:tab w:val="left" w:pos="1152"/>
      </w:tabs>
    </w:pPr>
  </w:style>
  <w:style w:type="paragraph" w:customStyle="1" w:styleId="119">
    <w:name w:val="标题------4"/>
    <w:basedOn w:val="9"/>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120">
    <w:name w:val="Char Char 字元 字元 字元 Char Char Char Char"/>
    <w:basedOn w:val="1"/>
    <w:qFormat/>
    <w:uiPriority w:val="0"/>
    <w:pPr>
      <w:adjustRightInd w:val="0"/>
      <w:spacing w:line="360" w:lineRule="auto"/>
    </w:pPr>
    <w:rPr>
      <w:kern w:val="0"/>
      <w:sz w:val="24"/>
      <w:szCs w:val="20"/>
    </w:rPr>
  </w:style>
  <w:style w:type="paragraph" w:customStyle="1" w:styleId="121">
    <w:name w:val="Char Char Char Char Char Char Char Char Char Char Char Char Char1"/>
    <w:basedOn w:val="1"/>
    <w:qFormat/>
    <w:uiPriority w:val="0"/>
    <w:rPr>
      <w:sz w:val="24"/>
    </w:rPr>
  </w:style>
  <w:style w:type="paragraph" w:customStyle="1" w:styleId="122">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23">
    <w:name w:val="表格"/>
    <w:basedOn w:val="1"/>
    <w:qFormat/>
    <w:uiPriority w:val="0"/>
    <w:rPr>
      <w:rFonts w:ascii="Arial" w:hAnsi="Arial"/>
      <w:sz w:val="24"/>
    </w:rPr>
  </w:style>
  <w:style w:type="paragraph" w:customStyle="1" w:styleId="124">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正文样式1"/>
    <w:basedOn w:val="1"/>
    <w:qFormat/>
    <w:uiPriority w:val="0"/>
    <w:pPr>
      <w:spacing w:before="120" w:after="120" w:line="360" w:lineRule="auto"/>
      <w:ind w:firstLine="480" w:firstLineChars="200"/>
    </w:pPr>
    <w:rPr>
      <w:sz w:val="24"/>
      <w:szCs w:val="20"/>
    </w:rPr>
  </w:style>
  <w:style w:type="paragraph" w:customStyle="1" w:styleId="126">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8">
    <w:name w:val="Char Char Char Char Char Char Char Char Char Char"/>
    <w:basedOn w:val="1"/>
    <w:qFormat/>
    <w:uiPriority w:val="0"/>
    <w:rPr>
      <w:rFonts w:ascii="Tahoma" w:hAnsi="Tahoma"/>
      <w:sz w:val="24"/>
      <w:szCs w:val="20"/>
    </w:rPr>
  </w:style>
  <w:style w:type="paragraph" w:customStyle="1" w:styleId="129">
    <w:name w:val="Char1"/>
    <w:basedOn w:val="1"/>
    <w:qFormat/>
    <w:uiPriority w:val="0"/>
    <w:pPr>
      <w:tabs>
        <w:tab w:val="left" w:pos="360"/>
      </w:tabs>
    </w:pPr>
    <w:rPr>
      <w:sz w:val="24"/>
    </w:rPr>
  </w:style>
  <w:style w:type="paragraph" w:customStyle="1" w:styleId="130">
    <w:name w:val="Header2"/>
    <w:basedOn w:val="1"/>
    <w:qFormat/>
    <w:uiPriority w:val="0"/>
    <w:pPr>
      <w:numPr>
        <w:ilvl w:val="0"/>
        <w:numId w:val="1"/>
      </w:numPr>
    </w:pPr>
  </w:style>
  <w:style w:type="paragraph" w:customStyle="1" w:styleId="131">
    <w:name w:val="普通(网站) Char"/>
    <w:basedOn w:val="1"/>
    <w:qFormat/>
    <w:uiPriority w:val="99"/>
    <w:pPr>
      <w:widowControl/>
      <w:spacing w:before="100" w:beforeAutospacing="1" w:after="100" w:afterAutospacing="1"/>
      <w:jc w:val="left"/>
    </w:pPr>
    <w:rPr>
      <w:rFonts w:ascii="宋体" w:hAnsi="宋体" w:cs="宋体"/>
      <w:kern w:val="0"/>
      <w:sz w:val="24"/>
    </w:rPr>
  </w:style>
  <w:style w:type="paragraph" w:customStyle="1" w:styleId="132">
    <w:name w:val="2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33">
    <w:name w:val="DAS正文"/>
    <w:basedOn w:val="1"/>
    <w:qFormat/>
    <w:uiPriority w:val="0"/>
    <w:pPr>
      <w:spacing w:line="360" w:lineRule="auto"/>
      <w:ind w:right="181" w:firstLine="480" w:firstLineChars="200"/>
    </w:pPr>
    <w:rPr>
      <w:rFonts w:ascii="Verdana" w:hAnsi="Verdana"/>
      <w:sz w:val="24"/>
      <w:szCs w:val="20"/>
    </w:rPr>
  </w:style>
  <w:style w:type="table" w:customStyle="1" w:styleId="134">
    <w:name w:val="网格型1"/>
    <w:basedOn w:val="36"/>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5">
    <w:name w:val="font51"/>
    <w:qFormat/>
    <w:uiPriority w:val="0"/>
    <w:rPr>
      <w:rFonts w:hint="default" w:ascii="Times New Roman" w:hAnsi="Times New Roman" w:cs="Times New Roman"/>
      <w:color w:val="000000"/>
      <w:sz w:val="20"/>
      <w:szCs w:val="20"/>
      <w:u w:val="none"/>
    </w:rPr>
  </w:style>
  <w:style w:type="character" w:customStyle="1" w:styleId="136">
    <w:name w:val="font61"/>
    <w:qFormat/>
    <w:uiPriority w:val="0"/>
    <w:rPr>
      <w:rFonts w:hint="default" w:ascii="Times New Roman" w:hAnsi="Times New Roman" w:cs="Times New Roman"/>
      <w:color w:val="000000"/>
      <w:sz w:val="21"/>
      <w:szCs w:val="21"/>
      <w:u w:val="none"/>
    </w:rPr>
  </w:style>
  <w:style w:type="character" w:customStyle="1" w:styleId="137">
    <w:name w:val="font71"/>
    <w:qFormat/>
    <w:uiPriority w:val="0"/>
    <w:rPr>
      <w:rFonts w:hint="eastAsia" w:ascii="宋体" w:hAnsi="宋体" w:eastAsia="宋体" w:cs="宋体"/>
      <w:color w:val="000000"/>
      <w:sz w:val="22"/>
      <w:szCs w:val="22"/>
      <w:u w:val="none"/>
    </w:rPr>
  </w:style>
  <w:style w:type="paragraph" w:customStyle="1" w:styleId="138">
    <w:name w:val="表格CXH"/>
    <w:basedOn w:val="1"/>
    <w:qFormat/>
    <w:uiPriority w:val="0"/>
    <w:pPr>
      <w:spacing w:line="276" w:lineRule="auto"/>
    </w:pPr>
    <w:rPr>
      <w:rFonts w:ascii="等线" w:hAnsi="等线"/>
    </w:rPr>
  </w:style>
  <w:style w:type="paragraph" w:customStyle="1" w:styleId="139">
    <w:name w:val="段"/>
    <w:next w:val="140"/>
    <w:qFormat/>
    <w:uiPriority w:val="0"/>
    <w:pPr>
      <w:autoSpaceDE w:val="0"/>
      <w:autoSpaceDN w:val="0"/>
      <w:ind w:firstLine="200"/>
      <w:jc w:val="both"/>
    </w:pPr>
    <w:rPr>
      <w:rFonts w:ascii="宋体" w:hAnsi="Calibri" w:eastAsia="宋体" w:cs="Times New Roman"/>
      <w:sz w:val="21"/>
      <w:szCs w:val="22"/>
      <w:lang w:val="en-US" w:eastAsia="zh-CN" w:bidi="ar-SA"/>
    </w:rPr>
  </w:style>
  <w:style w:type="paragraph" w:customStyle="1" w:styleId="140">
    <w:name w:val="正文 A"/>
    <w:next w:val="139"/>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141">
    <w:name w:val="cf01"/>
    <w:qFormat/>
    <w:uiPriority w:val="0"/>
    <w:rPr>
      <w:rFonts w:hint="eastAsia" w:ascii="Microsoft YaHei UI" w:hAnsi="Microsoft YaHei UI" w:eastAsia="Microsoft YaHei UI"/>
      <w:sz w:val="18"/>
      <w:szCs w:val="18"/>
    </w:rPr>
  </w:style>
  <w:style w:type="paragraph" w:customStyle="1" w:styleId="142">
    <w:name w:val="Table Text"/>
    <w:basedOn w:val="1"/>
    <w:semiHidden/>
    <w:qFormat/>
    <w:uiPriority w:val="0"/>
    <w:pPr>
      <w:widowControl/>
      <w:jc w:val="left"/>
    </w:pPr>
    <w:rPr>
      <w:rFonts w:eastAsia="Times New Roman"/>
      <w:color w:val="000000"/>
      <w:sz w:val="19"/>
      <w:szCs w:val="19"/>
      <w:lang w:eastAsia="en-US"/>
    </w:rPr>
  </w:style>
  <w:style w:type="paragraph" w:customStyle="1" w:styleId="143">
    <w:name w:val="首行缩进"/>
    <w:basedOn w:val="1"/>
    <w:qFormat/>
    <w:uiPriority w:val="0"/>
    <w:pPr>
      <w:spacing w:line="360" w:lineRule="auto"/>
      <w:ind w:left="210" w:leftChars="100" w:firstLine="420" w:firstLineChars="200"/>
    </w:pPr>
    <w:rPr>
      <w:rFonts w:ascii="宋体" w:hAnsi="宋体"/>
    </w:rPr>
  </w:style>
  <w:style w:type="paragraph" w:customStyle="1" w:styleId="144">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45">
    <w:name w:val="表格文字"/>
    <w:basedOn w:val="1"/>
    <w:qFormat/>
    <w:uiPriority w:val="0"/>
    <w:pPr>
      <w:spacing w:line="300" w:lineRule="auto"/>
    </w:pPr>
    <w:rPr>
      <w:sz w:val="24"/>
    </w:rPr>
  </w:style>
  <w:style w:type="paragraph" w:customStyle="1" w:styleId="146">
    <w:name w:val="*正文"/>
    <w:basedOn w:val="1"/>
    <w:qFormat/>
    <w:uiPriority w:val="0"/>
    <w:pPr>
      <w:spacing w:line="360" w:lineRule="auto"/>
    </w:pPr>
    <w:rPr>
      <w:sz w:val="24"/>
    </w:rPr>
  </w:style>
  <w:style w:type="paragraph" w:customStyle="1" w:styleId="147">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table" w:customStyle="1" w:styleId="148">
    <w:name w:val="普通表格1"/>
    <w:unhideWhenUsed/>
    <w:qFormat/>
    <w:uiPriority w:val="99"/>
  </w:style>
  <w:style w:type="paragraph" w:customStyle="1" w:styleId="149">
    <w:name w:val="正文首行缩进1"/>
    <w:basedOn w:val="150"/>
    <w:qFormat/>
    <w:uiPriority w:val="0"/>
    <w:pPr>
      <w:spacing w:line="360" w:lineRule="auto"/>
      <w:ind w:firstLine="200"/>
    </w:pPr>
    <w:rPr>
      <w:rFonts w:ascii="仿宋_GB2312" w:hAnsi="Times New Roman" w:eastAsia="仿宋_GB2312"/>
      <w:sz w:val="30"/>
      <w:szCs w:val="30"/>
    </w:rPr>
  </w:style>
  <w:style w:type="paragraph" w:customStyle="1" w:styleId="150">
    <w:name w:val="正文文本1"/>
    <w:basedOn w:val="1"/>
    <w:next w:val="1"/>
    <w:qFormat/>
    <w:uiPriority w:val="0"/>
    <w:rPr>
      <w:rFonts w:ascii="楷体_GB2312" w:hAnsi="Arial" w:eastAsia="楷体_GB2312"/>
      <w:sz w:val="28"/>
      <w:szCs w:val="28"/>
    </w:rPr>
  </w:style>
  <w:style w:type="paragraph" w:customStyle="1" w:styleId="151">
    <w:name w:val="标题 212"/>
    <w:basedOn w:val="1"/>
    <w:next w:val="101"/>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152">
    <w:name w:val="正文文本缩进1"/>
    <w:basedOn w:val="1"/>
    <w:unhideWhenUsed/>
    <w:qFormat/>
    <w:uiPriority w:val="99"/>
    <w:pPr>
      <w:spacing w:after="120"/>
      <w:ind w:left="420"/>
    </w:pPr>
  </w:style>
  <w:style w:type="paragraph" w:customStyle="1" w:styleId="15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54">
    <w:name w:val="标题 211"/>
    <w:basedOn w:val="1"/>
    <w:next w:val="1"/>
    <w:qFormat/>
    <w:uiPriority w:val="0"/>
    <w:pPr>
      <w:keepNext/>
      <w:keepLines/>
      <w:spacing w:before="260" w:after="260" w:line="416" w:lineRule="auto"/>
      <w:jc w:val="center"/>
      <w:outlineLvl w:val="1"/>
    </w:pPr>
    <w:rPr>
      <w:rFonts w:ascii="Arial" w:hAnsi="Arial" w:eastAsia="幼圆"/>
      <w:b/>
      <w:bCs/>
      <w:sz w:val="44"/>
      <w:szCs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62</Pages>
  <Words>23303</Words>
  <Characters>25245</Characters>
  <Lines>259</Lines>
  <Paragraphs>72</Paragraphs>
  <TotalTime>6</TotalTime>
  <ScaleCrop>false</ScaleCrop>
  <LinksUpToDate>false</LinksUpToDate>
  <CharactersWithSpaces>25268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2025-09-23T02:08:00Z</dcterms:created>
  <dc:creator>User</dc:creator>
  <cp:lastModifiedBy>铁匠</cp:lastModifiedBy>
  <cp:lastPrinted>2026-06-25T09:39:00Z</cp:lastPrinted>
  <dcterms:modified xsi:type="dcterms:W3CDTF">2026-07-28T07:15:06Z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C94BC4052D1942FAB4A81A66ECD29D96_13</vt:lpwstr>
  </property>
  <property fmtid="{D5CDD505-2E9C-101B-9397-08002B2CF9AE}" pid="4" name="ClassificationContentMarkingHeaderShapeIds">
    <vt:lpwstr>3,4,5</vt:lpwstr>
  </property>
  <property fmtid="{D5CDD505-2E9C-101B-9397-08002B2CF9AE}" pid="5" name="ClassificationContentMarkingHeaderFontProps">
    <vt:lpwstr>#000000,8,arial</vt:lpwstr>
  </property>
  <property fmtid="{D5CDD505-2E9C-101B-9397-08002B2CF9AE}" pid="6" name="ClassificationContentMarkingHeaderText">
    <vt:lpwstr>KONE Internal</vt:lpwstr>
  </property>
  <property fmtid="{D5CDD505-2E9C-101B-9397-08002B2CF9AE}" pid="7" name="KSOTemplateDocerSaveRecord">
    <vt:lpwstr>eyJoZGlkIjoiMDMzZmM3YWZkYTAyYTNjMDA4YzNmODg2YzFmMGUxZjEiLCJ1c2VySWQiOiI1MDU4OTMyMzEifQ==</vt:lpwstr>
  </property>
</Properties>
</file>