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44A0F">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南通职业大学汽车、轨道等实训中心仪器设备搬迁调试项目</w:t>
      </w:r>
    </w:p>
    <w:p w14:paraId="54420FFE">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FF24CFF">
      <w:pPr>
        <w:keepNext/>
        <w:spacing w:line="360" w:lineRule="auto"/>
        <w:jc w:val="center"/>
        <w:rPr>
          <w:rFonts w:ascii="宋体" w:hAnsi="宋体" w:cs="宋体"/>
          <w:b/>
          <w:color w:val="auto"/>
          <w:kern w:val="0"/>
          <w:sz w:val="36"/>
          <w:szCs w:val="36"/>
          <w:highlight w:val="none"/>
        </w:rPr>
      </w:pPr>
    </w:p>
    <w:p w14:paraId="3FE7EBF4">
      <w:pPr>
        <w:keepNext/>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采购文件编号：FW20260017</w:t>
      </w:r>
    </w:p>
    <w:p w14:paraId="79D72CB5">
      <w:pPr>
        <w:spacing w:line="360" w:lineRule="auto"/>
        <w:jc w:val="center"/>
        <w:rPr>
          <w:rFonts w:ascii="宋体" w:hAnsi="宋体" w:cs="宋体"/>
          <w:b/>
          <w:color w:val="auto"/>
          <w:sz w:val="36"/>
          <w:highlight w:val="none"/>
        </w:rPr>
      </w:pPr>
    </w:p>
    <w:p w14:paraId="53C61ED0">
      <w:pPr>
        <w:spacing w:line="360" w:lineRule="auto"/>
        <w:jc w:val="center"/>
        <w:rPr>
          <w:rFonts w:ascii="宋体" w:hAnsi="宋体" w:cs="宋体"/>
          <w:b/>
          <w:color w:val="auto"/>
          <w:sz w:val="36"/>
          <w:highlight w:val="none"/>
        </w:rPr>
      </w:pPr>
    </w:p>
    <w:p w14:paraId="487980CF">
      <w:pPr>
        <w:spacing w:line="360" w:lineRule="auto"/>
        <w:jc w:val="center"/>
        <w:rPr>
          <w:rFonts w:ascii="宋体" w:hAnsi="宋体" w:cs="宋体"/>
          <w:b/>
          <w:color w:val="auto"/>
          <w:sz w:val="36"/>
          <w:highlight w:val="none"/>
        </w:rPr>
      </w:pPr>
    </w:p>
    <w:p w14:paraId="70D9B074">
      <w:pPr>
        <w:spacing w:line="360" w:lineRule="auto"/>
        <w:jc w:val="center"/>
        <w:rPr>
          <w:rFonts w:ascii="宋体" w:hAnsi="宋体" w:cs="宋体"/>
          <w:b/>
          <w:color w:val="auto"/>
          <w:sz w:val="36"/>
          <w:highlight w:val="none"/>
        </w:rPr>
      </w:pPr>
    </w:p>
    <w:p w14:paraId="253AC768">
      <w:pPr>
        <w:spacing w:line="360" w:lineRule="auto"/>
        <w:jc w:val="center"/>
        <w:rPr>
          <w:rFonts w:ascii="宋体" w:hAnsi="宋体" w:cs="宋体"/>
          <w:b/>
          <w:color w:val="auto"/>
          <w:sz w:val="36"/>
          <w:highlight w:val="none"/>
        </w:rPr>
      </w:pPr>
    </w:p>
    <w:p w14:paraId="5ED2B3D8">
      <w:pPr>
        <w:adjustRightInd w:val="0"/>
        <w:spacing w:before="120" w:after="120" w:line="360" w:lineRule="auto"/>
        <w:ind w:right="120"/>
        <w:textAlignment w:val="baseline"/>
        <w:rPr>
          <w:rFonts w:ascii="宋体" w:hAnsi="宋体" w:cs="宋体"/>
          <w:b/>
          <w:color w:val="auto"/>
          <w:spacing w:val="20"/>
          <w:sz w:val="32"/>
          <w:szCs w:val="32"/>
          <w:highlight w:val="none"/>
        </w:rPr>
      </w:pPr>
    </w:p>
    <w:p w14:paraId="5E061390">
      <w:pPr>
        <w:adjustRightInd w:val="0"/>
        <w:spacing w:before="120" w:after="120" w:line="360" w:lineRule="auto"/>
        <w:ind w:left="-2" w:right="120"/>
        <w:jc w:val="center"/>
        <w:textAlignment w:val="baseline"/>
        <w:rPr>
          <w:rFonts w:ascii="宋体" w:hAnsi="宋体" w:cs="宋体"/>
          <w:b/>
          <w:color w:val="auto"/>
          <w:spacing w:val="20"/>
          <w:sz w:val="32"/>
          <w:szCs w:val="32"/>
          <w:highlight w:val="none"/>
        </w:rPr>
      </w:pPr>
    </w:p>
    <w:p w14:paraId="27A01E35">
      <w:pPr>
        <w:adjustRightInd w:val="0"/>
        <w:spacing w:before="120" w:after="120" w:line="360" w:lineRule="auto"/>
        <w:ind w:left="-2" w:right="120"/>
        <w:jc w:val="center"/>
        <w:textAlignment w:val="baseline"/>
        <w:rPr>
          <w:rFonts w:ascii="宋体" w:hAnsi="宋体" w:cs="宋体"/>
          <w:b/>
          <w:color w:val="auto"/>
          <w:spacing w:val="20"/>
          <w:sz w:val="32"/>
          <w:szCs w:val="32"/>
          <w:highlight w:val="none"/>
        </w:rPr>
      </w:pPr>
    </w:p>
    <w:p w14:paraId="4DC3D673">
      <w:pPr>
        <w:adjustRightInd w:val="0"/>
        <w:spacing w:before="120" w:after="120" w:line="360" w:lineRule="auto"/>
        <w:ind w:left="-2" w:right="120"/>
        <w:jc w:val="center"/>
        <w:textAlignment w:val="baseline"/>
        <w:rPr>
          <w:rFonts w:ascii="宋体" w:hAnsi="宋体" w:cs="宋体"/>
          <w:b/>
          <w:bCs/>
          <w:color w:val="auto"/>
          <w:kern w:val="0"/>
          <w:sz w:val="32"/>
          <w:szCs w:val="32"/>
          <w:highlight w:val="none"/>
        </w:rPr>
      </w:pPr>
    </w:p>
    <w:p w14:paraId="7FDEE252">
      <w:pPr>
        <w:adjustRightInd w:val="0"/>
        <w:spacing w:before="120" w:after="120" w:line="360" w:lineRule="auto"/>
        <w:ind w:left="-2" w:right="120"/>
        <w:jc w:val="center"/>
        <w:textAlignment w:val="baseline"/>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南通职业大学</w:t>
      </w:r>
    </w:p>
    <w:p w14:paraId="233F6DA6">
      <w:pPr>
        <w:adjustRightInd w:val="0"/>
        <w:spacing w:before="120" w:after="120" w:line="360" w:lineRule="auto"/>
        <w:ind w:left="-2" w:right="120"/>
        <w:jc w:val="center"/>
        <w:textAlignment w:val="baseline"/>
        <w:rPr>
          <w:rFonts w:ascii="宋体" w:hAnsi="宋体" w:cs="宋体"/>
          <w:color w:val="auto"/>
          <w:sz w:val="44"/>
          <w:szCs w:val="44"/>
          <w:highlight w:val="none"/>
          <w:lang w:val="zh-CN"/>
        </w:rPr>
      </w:pPr>
      <w:r>
        <w:rPr>
          <w:rFonts w:hint="eastAsia" w:ascii="宋体" w:hAnsi="宋体" w:cs="宋体"/>
          <w:b/>
          <w:bCs/>
          <w:color w:val="auto"/>
          <w:kern w:val="0"/>
          <w:sz w:val="32"/>
          <w:szCs w:val="32"/>
          <w:highlight w:val="none"/>
        </w:rPr>
        <w:t>2026年</w:t>
      </w:r>
      <w:r>
        <w:rPr>
          <w:rFonts w:hint="eastAsia" w:ascii="宋体" w:hAnsi="宋体" w:cs="宋体"/>
          <w:b/>
          <w:bCs/>
          <w:color w:val="auto"/>
          <w:kern w:val="0"/>
          <w:sz w:val="32"/>
          <w:szCs w:val="32"/>
          <w:highlight w:val="none"/>
          <w:lang w:val="en-US" w:eastAsia="zh-CN"/>
        </w:rPr>
        <w:t>7</w:t>
      </w:r>
      <w:r>
        <w:rPr>
          <w:rFonts w:hint="eastAsia" w:ascii="宋体" w:hAnsi="宋体" w:cs="宋体"/>
          <w:b/>
          <w:bCs/>
          <w:color w:val="auto"/>
          <w:kern w:val="0"/>
          <w:sz w:val="32"/>
          <w:szCs w:val="32"/>
          <w:highlight w:val="none"/>
        </w:rPr>
        <w:t>月</w:t>
      </w:r>
    </w:p>
    <w:p w14:paraId="2E9F2678">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1A5AD163">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  磋商公告</w:t>
      </w:r>
    </w:p>
    <w:p w14:paraId="50B705D6">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68A9BD13">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E740A6C">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375410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49C65BAC">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第六部分  响应文件组成</w:t>
      </w:r>
    </w:p>
    <w:p w14:paraId="0ADD18E6">
      <w:pPr>
        <w:tabs>
          <w:tab w:val="left" w:pos="7740"/>
        </w:tabs>
        <w:spacing w:line="360" w:lineRule="auto"/>
        <w:rPr>
          <w:rFonts w:ascii="宋体" w:hAnsi="宋体" w:cs="宋体"/>
          <w:bCs/>
          <w:color w:val="auto"/>
          <w:sz w:val="32"/>
          <w:szCs w:val="32"/>
          <w:highlight w:val="none"/>
        </w:rPr>
      </w:pPr>
    </w:p>
    <w:p w14:paraId="00B45DE5">
      <w:pPr>
        <w:tabs>
          <w:tab w:val="left" w:pos="7740"/>
        </w:tabs>
        <w:spacing w:line="360" w:lineRule="auto"/>
        <w:rPr>
          <w:rFonts w:ascii="宋体" w:hAnsi="宋体" w:cs="宋体"/>
          <w:bCs/>
          <w:color w:val="auto"/>
          <w:sz w:val="32"/>
          <w:szCs w:val="32"/>
          <w:highlight w:val="none"/>
        </w:rPr>
      </w:pPr>
    </w:p>
    <w:p w14:paraId="319387B9">
      <w:pPr>
        <w:autoSpaceDE w:val="0"/>
        <w:autoSpaceDN w:val="0"/>
        <w:adjustRightInd w:val="0"/>
        <w:spacing w:line="360" w:lineRule="auto"/>
        <w:jc w:val="center"/>
        <w:rPr>
          <w:rFonts w:ascii="宋体" w:hAnsi="宋体" w:cs="宋体"/>
          <w:b/>
          <w:bCs/>
          <w:color w:val="auto"/>
          <w:sz w:val="36"/>
          <w:szCs w:val="36"/>
          <w:highlight w:val="none"/>
          <w:lang w:val="zh-CN"/>
        </w:rPr>
      </w:pPr>
    </w:p>
    <w:p w14:paraId="01EC3053">
      <w:pPr>
        <w:autoSpaceDE w:val="0"/>
        <w:autoSpaceDN w:val="0"/>
        <w:adjustRightInd w:val="0"/>
        <w:spacing w:line="360" w:lineRule="auto"/>
        <w:rPr>
          <w:rFonts w:ascii="宋体" w:hAnsi="宋体" w:cs="宋体"/>
          <w:b/>
          <w:bCs/>
          <w:color w:val="auto"/>
          <w:sz w:val="36"/>
          <w:szCs w:val="36"/>
          <w:highlight w:val="none"/>
          <w:lang w:val="zh-CN"/>
        </w:rPr>
      </w:pPr>
    </w:p>
    <w:p w14:paraId="431B8B52">
      <w:pPr>
        <w:autoSpaceDE w:val="0"/>
        <w:autoSpaceDN w:val="0"/>
        <w:adjustRightInd w:val="0"/>
        <w:spacing w:line="360" w:lineRule="auto"/>
        <w:jc w:val="center"/>
        <w:rPr>
          <w:rFonts w:ascii="宋体" w:hAnsi="宋体" w:cs="宋体"/>
          <w:b/>
          <w:bCs/>
          <w:color w:val="auto"/>
          <w:sz w:val="36"/>
          <w:szCs w:val="36"/>
          <w:highlight w:val="none"/>
          <w:lang w:val="zh-CN"/>
        </w:rPr>
      </w:pPr>
    </w:p>
    <w:p w14:paraId="0521C64D">
      <w:pPr>
        <w:autoSpaceDE w:val="0"/>
        <w:autoSpaceDN w:val="0"/>
        <w:adjustRightInd w:val="0"/>
        <w:spacing w:line="360" w:lineRule="auto"/>
        <w:jc w:val="center"/>
        <w:rPr>
          <w:rFonts w:ascii="宋体" w:hAnsi="宋体" w:cs="宋体"/>
          <w:b/>
          <w:bCs/>
          <w:color w:val="auto"/>
          <w:sz w:val="36"/>
          <w:szCs w:val="36"/>
          <w:highlight w:val="none"/>
          <w:lang w:val="zh-CN"/>
        </w:rPr>
      </w:pPr>
    </w:p>
    <w:p w14:paraId="6D2E0576">
      <w:pPr>
        <w:autoSpaceDE w:val="0"/>
        <w:autoSpaceDN w:val="0"/>
        <w:adjustRightInd w:val="0"/>
        <w:spacing w:line="360" w:lineRule="auto"/>
        <w:jc w:val="center"/>
        <w:rPr>
          <w:rFonts w:ascii="宋体" w:hAnsi="宋体" w:cs="宋体"/>
          <w:b/>
          <w:bCs/>
          <w:color w:val="auto"/>
          <w:sz w:val="36"/>
          <w:szCs w:val="36"/>
          <w:highlight w:val="none"/>
          <w:lang w:val="zh-CN"/>
        </w:rPr>
      </w:pPr>
    </w:p>
    <w:p w14:paraId="44BCF4B0">
      <w:pPr>
        <w:autoSpaceDE w:val="0"/>
        <w:autoSpaceDN w:val="0"/>
        <w:adjustRightInd w:val="0"/>
        <w:spacing w:line="360" w:lineRule="auto"/>
        <w:jc w:val="center"/>
        <w:rPr>
          <w:rFonts w:ascii="宋体" w:hAnsi="宋体" w:cs="宋体"/>
          <w:b/>
          <w:bCs/>
          <w:color w:val="auto"/>
          <w:sz w:val="36"/>
          <w:szCs w:val="36"/>
          <w:highlight w:val="none"/>
          <w:lang w:val="zh-CN"/>
        </w:rPr>
      </w:pPr>
    </w:p>
    <w:p w14:paraId="350CC6D1">
      <w:pPr>
        <w:autoSpaceDE w:val="0"/>
        <w:autoSpaceDN w:val="0"/>
        <w:adjustRightInd w:val="0"/>
        <w:spacing w:line="360" w:lineRule="auto"/>
        <w:jc w:val="center"/>
        <w:rPr>
          <w:rFonts w:ascii="宋体" w:hAnsi="宋体" w:cs="宋体"/>
          <w:b/>
          <w:bCs/>
          <w:color w:val="auto"/>
          <w:sz w:val="36"/>
          <w:szCs w:val="36"/>
          <w:highlight w:val="none"/>
          <w:lang w:val="zh-CN"/>
        </w:rPr>
      </w:pPr>
    </w:p>
    <w:p w14:paraId="36EFCD59">
      <w:pPr>
        <w:autoSpaceDE w:val="0"/>
        <w:autoSpaceDN w:val="0"/>
        <w:adjustRightInd w:val="0"/>
        <w:spacing w:line="360" w:lineRule="auto"/>
        <w:jc w:val="center"/>
        <w:rPr>
          <w:rFonts w:ascii="宋体" w:hAnsi="宋体" w:cs="宋体"/>
          <w:b/>
          <w:bCs/>
          <w:color w:val="auto"/>
          <w:sz w:val="36"/>
          <w:szCs w:val="36"/>
          <w:highlight w:val="none"/>
          <w:lang w:val="zh-CN"/>
        </w:rPr>
      </w:pPr>
    </w:p>
    <w:p w14:paraId="34AFAB86">
      <w:pPr>
        <w:autoSpaceDE w:val="0"/>
        <w:autoSpaceDN w:val="0"/>
        <w:adjustRightInd w:val="0"/>
        <w:snapToGrid w:val="0"/>
        <w:spacing w:line="800" w:lineRule="exact"/>
        <w:jc w:val="center"/>
        <w:outlineLvl w:val="0"/>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第一部分 磋商公告</w:t>
      </w:r>
    </w:p>
    <w:p w14:paraId="10D9D3A1">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受[南通职业大学]的委托，江苏中润工程建设咨询有限公司就[</w:t>
      </w:r>
      <w:r>
        <w:rPr>
          <w:rFonts w:hint="eastAsia" w:ascii="宋体" w:hAnsi="宋体" w:cs="宋体"/>
          <w:color w:val="auto"/>
          <w:sz w:val="28"/>
          <w:szCs w:val="28"/>
          <w:highlight w:val="none"/>
          <w:lang w:eastAsia="zh-CN"/>
        </w:rPr>
        <w:t>南通职业大学汽车、轨道等实训中心仪器设备搬迁调试项目</w:t>
      </w:r>
      <w:r>
        <w:rPr>
          <w:rFonts w:hint="eastAsia" w:ascii="宋体" w:hAnsi="宋体" w:cs="宋体"/>
          <w:color w:val="auto"/>
          <w:sz w:val="28"/>
          <w:szCs w:val="28"/>
          <w:highlight w:val="none"/>
        </w:rPr>
        <w:t>](项目编号:FW20260017 )进行磋商采购，欢迎符合条件的供应商参加磋商。</w:t>
      </w:r>
    </w:p>
    <w:p w14:paraId="7D8A3D56">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6DB03757">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(南通职业大学）的（</w:t>
      </w:r>
      <w:r>
        <w:rPr>
          <w:rFonts w:hint="eastAsia" w:ascii="宋体" w:hAnsi="宋体" w:cs="宋体"/>
          <w:color w:val="auto"/>
          <w:sz w:val="28"/>
          <w:szCs w:val="28"/>
          <w:highlight w:val="none"/>
          <w:lang w:eastAsia="zh-CN"/>
        </w:rPr>
        <w:t>南通职业大学汽车、轨道等实训中心仪器设备搬迁调试项目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rPr>
        <w:t>南通职业大学网站</w:t>
      </w:r>
      <w:r>
        <w:rPr>
          <w:rFonts w:hint="eastAsia" w:ascii="宋体" w:hAnsi="宋体" w:cs="宋体"/>
          <w:color w:val="auto"/>
          <w:sz w:val="28"/>
          <w:szCs w:val="28"/>
          <w:highlight w:val="none"/>
        </w:rPr>
        <w:t>获取采购文件，并于2026年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点30分（北京时间）前提交响应文件。</w:t>
      </w:r>
    </w:p>
    <w:p w14:paraId="43271863">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0BE88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项目编号：FW20260017</w:t>
      </w:r>
    </w:p>
    <w:p w14:paraId="0ACBEE1D">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南通职业大学汽车、轨道等实训中心仪器设备搬迁调试项目</w:t>
      </w:r>
    </w:p>
    <w:p w14:paraId="7625A50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预算金额：97.27万元</w:t>
      </w:r>
    </w:p>
    <w:p w14:paraId="6BBED059">
      <w:pPr>
        <w:adjustRightInd w:val="0"/>
        <w:snapToGrid w:val="0"/>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最高限价：97.27万元，响应报价超过最高限价按无效响应处理。</w:t>
      </w:r>
    </w:p>
    <w:p w14:paraId="5BA1B47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7734137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合同履行期限：自合同签订之日起30天内完成。</w:t>
      </w:r>
    </w:p>
    <w:p w14:paraId="0626118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本项目是否接受联合体磋商：否。</w:t>
      </w:r>
    </w:p>
    <w:p w14:paraId="21B548F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1996B15E">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148D9988">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2.未被“信用中国”网站列入失信被执行人、重大税收违法案件当事人名单、采购严重违法失信行为记录名单；</w:t>
      </w:r>
    </w:p>
    <w:p w14:paraId="09554276">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3.提供具有有效的营业执照；</w:t>
      </w:r>
    </w:p>
    <w:p w14:paraId="4A67DBC7">
      <w:pPr>
        <w:adjustRightInd w:val="0"/>
        <w:snapToGrid w:val="0"/>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4.本项目的特定资格要求：提供现场踏勘承诺函（格式见附件）；</w:t>
      </w:r>
    </w:p>
    <w:p w14:paraId="2CDE34A2">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5.法律、行政法规规定的其他条件。</w:t>
      </w:r>
    </w:p>
    <w:p w14:paraId="56849FE4">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注：在磋商现场，将由采购人或代理机构通过“天眼查或企查查”查询供应商之间是否存在法定关联性关系。若存在法定关联性关系将按无效响应处理。查询结果留存归档。</w:t>
      </w:r>
    </w:p>
    <w:p w14:paraId="4DA9C45D">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三、采购文件获取</w:t>
      </w:r>
    </w:p>
    <w:p w14:paraId="172A707A">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时间：2026年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日至2026年7月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点30分（北京时间）</w:t>
      </w:r>
    </w:p>
    <w:p w14:paraId="7D7879EA">
      <w:pPr>
        <w:adjustRightInd w:val="0"/>
        <w:snapToGrid w:val="0"/>
        <w:spacing w:line="460" w:lineRule="exact"/>
        <w:ind w:firstLine="560" w:firstLineChars="200"/>
        <w:outlineLvl w:val="1"/>
        <w:rPr>
          <w:rFonts w:ascii="宋体" w:hAnsi="宋体" w:cs="宋体"/>
          <w:bCs/>
          <w:color w:val="auto"/>
          <w:sz w:val="28"/>
          <w:szCs w:val="28"/>
          <w:highlight w:val="none"/>
        </w:rPr>
      </w:pPr>
      <w:r>
        <w:rPr>
          <w:rFonts w:hint="eastAsia" w:ascii="宋体" w:hAnsi="宋体" w:cs="宋体"/>
          <w:bCs/>
          <w:color w:val="auto"/>
          <w:sz w:val="28"/>
          <w:szCs w:val="28"/>
          <w:highlight w:val="none"/>
        </w:rPr>
        <w:t>地点：南通职业大学网站</w:t>
      </w:r>
    </w:p>
    <w:p w14:paraId="3E1A732A">
      <w:pPr>
        <w:adjustRightInd w:val="0"/>
        <w:snapToGrid w:val="0"/>
        <w:spacing w:line="460" w:lineRule="exact"/>
        <w:ind w:firstLine="560" w:firstLineChars="200"/>
        <w:outlineLvl w:val="1"/>
        <w:rPr>
          <w:rFonts w:ascii="宋体" w:hAnsi="宋体" w:cs="宋体"/>
          <w:bCs/>
          <w:color w:val="auto"/>
          <w:sz w:val="28"/>
          <w:szCs w:val="28"/>
          <w:highlight w:val="none"/>
        </w:rPr>
      </w:pPr>
      <w:r>
        <w:rPr>
          <w:rFonts w:hint="eastAsia" w:ascii="宋体" w:hAnsi="宋体" w:cs="宋体"/>
          <w:bCs/>
          <w:color w:val="auto"/>
          <w:sz w:val="28"/>
          <w:szCs w:val="28"/>
          <w:highlight w:val="none"/>
        </w:rPr>
        <w:t>方式：自行下载</w:t>
      </w:r>
    </w:p>
    <w:p w14:paraId="0FD970BD">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64E9872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2026年7月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点30分（北京时间），逾时，采购人将拒绝接受磋商响应文件。</w:t>
      </w:r>
    </w:p>
    <w:p w14:paraId="30FBA0F5">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地点：南通职业大学青年中路校区主楼1401室，如有变动另行通知。</w:t>
      </w:r>
    </w:p>
    <w:p w14:paraId="76E13FCA">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72A9CA2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自本公告发布之日起3个工作日。</w:t>
      </w:r>
    </w:p>
    <w:p w14:paraId="1D578C11">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06E4A8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1.磋商保证金：免收</w:t>
      </w:r>
    </w:p>
    <w:p w14:paraId="6993AB9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2.项目磋商活动模式：见面磋商模式，供应商在南通职业大学青年中路校区主楼1401室参加磋商活动。</w:t>
      </w:r>
    </w:p>
    <w:p w14:paraId="72FEC7C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3.项目演示、样品：无。</w:t>
      </w:r>
    </w:p>
    <w:p w14:paraId="1B33644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4.对项目需求部分（供应商资格要求、项目需求、商务技术评分标准）的询问、质疑请向采购人提出，由采购人负责答复；对项目磋商文件其他部分的询问请向磋商文件制作人或项目磋商经办人提出。</w:t>
      </w:r>
    </w:p>
    <w:p w14:paraId="255A6D0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3C4A99D8">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7228C9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1A5A9EC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名称：南通职业大学　　　　　　　　　　　　</w:t>
      </w:r>
    </w:p>
    <w:p w14:paraId="3F894C2D">
      <w:pPr>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地址：</w:t>
      </w:r>
      <w:r>
        <w:rPr>
          <w:rFonts w:hint="eastAsia" w:ascii="宋体" w:hAnsi="宋体" w:cs="宋体"/>
          <w:color w:val="auto"/>
          <w:spacing w:val="7"/>
          <w:sz w:val="28"/>
          <w:szCs w:val="28"/>
          <w:highlight w:val="none"/>
        </w:rPr>
        <w:t>江苏省南通市青年中路89号  </w:t>
      </w:r>
    </w:p>
    <w:p w14:paraId="4AA40867">
      <w:pPr>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联系人：陈老师 18761762638</w:t>
      </w:r>
    </w:p>
    <w:p w14:paraId="504F57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786575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5B614F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21D13F0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联系人：王  工 </w:t>
      </w:r>
    </w:p>
    <w:p w14:paraId="55B6B02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联系方式：0513-55887688   13906272111</w:t>
      </w:r>
    </w:p>
    <w:p w14:paraId="439ED185">
      <w:pPr>
        <w:adjustRightInd w:val="0"/>
        <w:snapToGrid w:val="0"/>
        <w:spacing w:line="360" w:lineRule="auto"/>
        <w:jc w:val="center"/>
        <w:outlineLvl w:val="0"/>
        <w:rPr>
          <w:rFonts w:ascii="宋体" w:hAnsi="宋体" w:cs="宋体"/>
          <w:bCs/>
          <w:color w:val="auto"/>
          <w:sz w:val="36"/>
          <w:szCs w:val="36"/>
          <w:highlight w:val="none"/>
        </w:rPr>
      </w:pPr>
    </w:p>
    <w:p w14:paraId="5E103BC7">
      <w:pPr>
        <w:adjustRightInd w:val="0"/>
        <w:snapToGrid w:val="0"/>
        <w:spacing w:line="360" w:lineRule="auto"/>
        <w:jc w:val="center"/>
        <w:outlineLvl w:val="0"/>
        <w:rPr>
          <w:rFonts w:ascii="宋体" w:hAnsi="宋体" w:cs="宋体"/>
          <w:bCs/>
          <w:color w:val="auto"/>
          <w:sz w:val="36"/>
          <w:szCs w:val="36"/>
          <w:highlight w:val="none"/>
        </w:rPr>
      </w:pPr>
    </w:p>
    <w:p w14:paraId="5064E21D">
      <w:pPr>
        <w:adjustRightInd w:val="0"/>
        <w:snapToGrid w:val="0"/>
        <w:spacing w:line="360" w:lineRule="auto"/>
        <w:jc w:val="center"/>
        <w:outlineLvl w:val="0"/>
        <w:rPr>
          <w:rFonts w:ascii="宋体" w:hAnsi="宋体" w:cs="宋体"/>
          <w:bCs/>
          <w:color w:val="auto"/>
          <w:sz w:val="36"/>
          <w:szCs w:val="36"/>
          <w:highlight w:val="none"/>
        </w:rPr>
      </w:pPr>
    </w:p>
    <w:p w14:paraId="3D69E20F">
      <w:pPr>
        <w:adjustRightInd w:val="0"/>
        <w:snapToGrid w:val="0"/>
        <w:spacing w:line="360" w:lineRule="auto"/>
        <w:jc w:val="center"/>
        <w:outlineLvl w:val="0"/>
        <w:rPr>
          <w:rFonts w:ascii="宋体" w:hAnsi="宋体" w:cs="宋体"/>
          <w:bCs/>
          <w:color w:val="auto"/>
          <w:sz w:val="36"/>
          <w:szCs w:val="36"/>
          <w:highlight w:val="none"/>
        </w:rPr>
      </w:pPr>
    </w:p>
    <w:p w14:paraId="2B2B1630">
      <w:pPr>
        <w:adjustRightInd w:val="0"/>
        <w:snapToGrid w:val="0"/>
        <w:spacing w:line="360" w:lineRule="auto"/>
        <w:jc w:val="center"/>
        <w:outlineLvl w:val="0"/>
        <w:rPr>
          <w:rFonts w:ascii="宋体" w:hAnsi="宋体" w:cs="宋体"/>
          <w:bCs/>
          <w:color w:val="auto"/>
          <w:sz w:val="36"/>
          <w:szCs w:val="36"/>
          <w:highlight w:val="none"/>
        </w:rPr>
      </w:pPr>
    </w:p>
    <w:p w14:paraId="48343330">
      <w:pPr>
        <w:adjustRightInd w:val="0"/>
        <w:snapToGrid w:val="0"/>
        <w:spacing w:line="360" w:lineRule="auto"/>
        <w:jc w:val="center"/>
        <w:outlineLvl w:val="0"/>
        <w:rPr>
          <w:rFonts w:ascii="宋体" w:hAnsi="宋体" w:cs="宋体"/>
          <w:bCs/>
          <w:color w:val="auto"/>
          <w:sz w:val="36"/>
          <w:szCs w:val="36"/>
          <w:highlight w:val="none"/>
        </w:rPr>
      </w:pPr>
    </w:p>
    <w:p w14:paraId="6D98927F">
      <w:pPr>
        <w:adjustRightInd w:val="0"/>
        <w:snapToGrid w:val="0"/>
        <w:spacing w:line="360" w:lineRule="auto"/>
        <w:jc w:val="center"/>
        <w:outlineLvl w:val="0"/>
        <w:rPr>
          <w:rFonts w:ascii="宋体" w:hAnsi="宋体" w:cs="宋体"/>
          <w:bCs/>
          <w:color w:val="auto"/>
          <w:sz w:val="36"/>
          <w:szCs w:val="36"/>
          <w:highlight w:val="none"/>
        </w:rPr>
      </w:pPr>
    </w:p>
    <w:p w14:paraId="14152DF3">
      <w:pPr>
        <w:adjustRightInd w:val="0"/>
        <w:snapToGrid w:val="0"/>
        <w:spacing w:line="360" w:lineRule="auto"/>
        <w:outlineLvl w:val="0"/>
        <w:rPr>
          <w:rFonts w:ascii="宋体" w:hAnsi="宋体" w:cs="宋体"/>
          <w:bCs/>
          <w:color w:val="auto"/>
          <w:sz w:val="36"/>
          <w:szCs w:val="36"/>
          <w:highlight w:val="none"/>
        </w:rPr>
      </w:pPr>
    </w:p>
    <w:p w14:paraId="79A0F2DB">
      <w:pPr>
        <w:adjustRightInd w:val="0"/>
        <w:snapToGrid w:val="0"/>
        <w:spacing w:line="360" w:lineRule="auto"/>
        <w:jc w:val="center"/>
        <w:outlineLvl w:val="0"/>
        <w:rPr>
          <w:rFonts w:ascii="宋体" w:hAnsi="宋体" w:cs="宋体"/>
          <w:bCs/>
          <w:color w:val="auto"/>
          <w:sz w:val="36"/>
          <w:szCs w:val="36"/>
          <w:highlight w:val="none"/>
        </w:rPr>
      </w:pPr>
    </w:p>
    <w:p w14:paraId="36CA99E7">
      <w:pPr>
        <w:adjustRightInd w:val="0"/>
        <w:snapToGrid w:val="0"/>
        <w:spacing w:line="360" w:lineRule="auto"/>
        <w:jc w:val="center"/>
        <w:outlineLvl w:val="0"/>
        <w:rPr>
          <w:rFonts w:ascii="宋体" w:hAnsi="宋体" w:cs="宋体"/>
          <w:bCs/>
          <w:color w:val="auto"/>
          <w:sz w:val="36"/>
          <w:szCs w:val="36"/>
          <w:highlight w:val="none"/>
        </w:rPr>
      </w:pPr>
    </w:p>
    <w:p w14:paraId="3B98D271">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A0ED388">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120614214"/>
      <w:bookmarkStart w:id="1" w:name="_Toc16938519"/>
      <w:bookmarkStart w:id="2" w:name="_Toc513029203"/>
      <w:bookmarkStart w:id="3" w:name="_Toc20823275"/>
      <w:r>
        <w:rPr>
          <w:rFonts w:hint="eastAsia" w:ascii="宋体" w:hAnsi="宋体" w:cs="宋体"/>
          <w:b/>
          <w:bCs/>
          <w:color w:val="auto"/>
          <w:kern w:val="0"/>
          <w:sz w:val="28"/>
          <w:szCs w:val="28"/>
          <w:highlight w:val="none"/>
        </w:rPr>
        <w:t>一、总则</w:t>
      </w:r>
      <w:bookmarkEnd w:id="0"/>
      <w:bookmarkEnd w:id="1"/>
      <w:bookmarkEnd w:id="2"/>
      <w:bookmarkEnd w:id="3"/>
    </w:p>
    <w:p w14:paraId="164A637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16938520"/>
      <w:bookmarkStart w:id="7" w:name="_Toc20823276"/>
      <w:bookmarkStart w:id="8" w:name="_Toc513029204"/>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0244BD4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本次采取磋商方式，本磋商文件仅适用于磋商公告中所述项目。</w:t>
      </w:r>
    </w:p>
    <w:p w14:paraId="76162E4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20823277"/>
      <w:bookmarkStart w:id="10" w:name="_Toc16938521"/>
      <w:bookmarkStart w:id="11" w:name="_Toc513029205"/>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1E93D62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0417D72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2AA8E2F3">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20823278"/>
      <w:bookmarkStart w:id="13" w:name="_Toc513029206"/>
      <w:bookmarkStart w:id="14" w:name="_Toc16938522"/>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034A0538">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14A18F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40A56A57">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20823279"/>
      <w:bookmarkStart w:id="16" w:name="_Toc513029207"/>
      <w:bookmarkStart w:id="17" w:name="_Toc16938523"/>
      <w:bookmarkStart w:id="18" w:name="_Toc462564067"/>
      <w:r>
        <w:rPr>
          <w:rFonts w:hint="eastAsia" w:ascii="宋体" w:hAnsi="宋体" w:cs="宋体"/>
          <w:color w:val="auto"/>
          <w:kern w:val="0"/>
          <w:sz w:val="28"/>
          <w:szCs w:val="28"/>
          <w:highlight w:val="none"/>
        </w:rPr>
        <w:t>4.磋商费用</w:t>
      </w:r>
      <w:bookmarkEnd w:id="15"/>
      <w:bookmarkEnd w:id="16"/>
      <w:bookmarkEnd w:id="17"/>
      <w:bookmarkEnd w:id="18"/>
    </w:p>
    <w:p w14:paraId="746A6E1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3A267C0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4.2本项目工本费200元/份，于现场支付给采购代理机构，无论是否成交售后不退。</w:t>
      </w:r>
    </w:p>
    <w:p w14:paraId="021D524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本项目因校内专项预算仅列支交通学院实训设备综合搬迁改造服务费用，未单独预留代理服务财政资金，经采购人研究，约定本项目代理服务费由成交供应商承担，所有供应商编制响应报价时，须将代理服务费全额综合计入总报价，采购人不再另行单独支付代理费。</w:t>
      </w:r>
    </w:p>
    <w:p w14:paraId="781C499F">
      <w:pPr>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本项目采购代理费收取标准以成交金额为基准，乘以采购代理收费费率，供应商</w:t>
      </w:r>
      <w:r>
        <w:rPr>
          <w:rFonts w:hint="eastAsia" w:ascii="宋体" w:hAnsi="宋体" w:cs="宋体"/>
          <w:color w:val="auto"/>
          <w:sz w:val="28"/>
          <w:szCs w:val="28"/>
          <w:highlight w:val="none"/>
          <w:lang w:val="zh-CN"/>
        </w:rPr>
        <w:t>综合考虑在报价内（不单列）。</w:t>
      </w:r>
    </w:p>
    <w:p w14:paraId="707E552B">
      <w:pPr>
        <w:adjustRightInd w:val="0"/>
        <w:snapToGrid w:val="0"/>
        <w:spacing w:line="5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采购代理收费费率标准：</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4A59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3D368B13">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成交金额</w:t>
            </w:r>
          </w:p>
        </w:tc>
        <w:tc>
          <w:tcPr>
            <w:tcW w:w="4497" w:type="dxa"/>
            <w:vAlign w:val="center"/>
          </w:tcPr>
          <w:p w14:paraId="3B52B92A">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采购代理收费费率</w:t>
            </w:r>
          </w:p>
        </w:tc>
      </w:tr>
      <w:tr w14:paraId="74AB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0FEE120">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497" w:type="dxa"/>
            <w:vAlign w:val="center"/>
          </w:tcPr>
          <w:p w14:paraId="7C1C6482">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5078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4CA889C1">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497" w:type="dxa"/>
            <w:vAlign w:val="center"/>
          </w:tcPr>
          <w:p w14:paraId="656DE23C">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0.8%</w:t>
            </w:r>
          </w:p>
        </w:tc>
      </w:tr>
      <w:tr w14:paraId="54431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0B7CA245">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50万元（不含）-400万元（含）</w:t>
            </w:r>
          </w:p>
        </w:tc>
        <w:tc>
          <w:tcPr>
            <w:tcW w:w="4497" w:type="dxa"/>
            <w:vAlign w:val="center"/>
          </w:tcPr>
          <w:p w14:paraId="0E51D4CE">
            <w:pPr>
              <w:widowControl/>
              <w:adjustRightInd w:val="0"/>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0.75%</w:t>
            </w:r>
          </w:p>
        </w:tc>
      </w:tr>
    </w:tbl>
    <w:p w14:paraId="068FB4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支付要求：成交供应商在成交结果公告期满、领取成交通知书前，一次性足额向采购代理机构缴纳代理服务费；代理机构收到费用后开具合法有效票据。</w:t>
      </w:r>
    </w:p>
    <w:p w14:paraId="5F818C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退费规则：（1）仅因采购代理机构、采购人原因取消采购、作废项目的，全额退还已缴纳代理费；（2）成交供应商无正当理由放弃成交、提供虚假材料被取消成交资格的，代理机构不予退费（评审、文件编制、公告等全部代理服务完成需附工作记录备查）。</w:t>
      </w:r>
    </w:p>
    <w:p w14:paraId="3785B2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公开要求：本项目代理费收费标准、最终计费金额将随成交结果公告一并对外公示，接受供应商及采购监管部门监督。</w:t>
      </w:r>
    </w:p>
    <w:p w14:paraId="2598DFA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风险提示：各供应商踏勘、报价阶段已充分知悉本代理费规则，报价未足额包含相关费用造成的一切损失，由供应商自行承担。</w:t>
      </w:r>
    </w:p>
    <w:p w14:paraId="58EFF2D0">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37190E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5A99ECCE">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10C08B8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磋商文件需求部分（供应商资格要求、项目需求、商务技术评分标准）由采购人解释，其他部分由采购代理机构解释。</w:t>
      </w:r>
    </w:p>
    <w:p w14:paraId="3BF8879F">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16938525"/>
      <w:bookmarkStart w:id="20" w:name="_Toc20823281"/>
      <w:bookmarkStart w:id="21" w:name="_Toc513029209"/>
      <w:bookmarkStart w:id="22" w:name="_Toc120614215"/>
      <w:r>
        <w:rPr>
          <w:rFonts w:hint="eastAsia" w:ascii="宋体" w:hAnsi="宋体" w:cs="宋体"/>
          <w:b/>
          <w:bCs/>
          <w:color w:val="auto"/>
          <w:kern w:val="0"/>
          <w:sz w:val="28"/>
          <w:szCs w:val="28"/>
          <w:highlight w:val="none"/>
        </w:rPr>
        <w:t>二、磋商文件</w:t>
      </w:r>
      <w:bookmarkEnd w:id="19"/>
      <w:bookmarkEnd w:id="20"/>
      <w:bookmarkEnd w:id="21"/>
      <w:bookmarkEnd w:id="22"/>
    </w:p>
    <w:p w14:paraId="7F79E380">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16938526"/>
      <w:bookmarkStart w:id="24" w:name="_Toc20823282"/>
      <w:bookmarkStart w:id="25" w:name="_Toc513029210"/>
      <w:r>
        <w:rPr>
          <w:rFonts w:hint="eastAsia" w:ascii="宋体" w:hAnsi="宋体" w:cs="宋体"/>
          <w:color w:val="auto"/>
          <w:kern w:val="0"/>
          <w:sz w:val="28"/>
          <w:szCs w:val="28"/>
          <w:highlight w:val="none"/>
        </w:rPr>
        <w:t>1.磋商文件构成</w:t>
      </w:r>
      <w:bookmarkEnd w:id="23"/>
      <w:bookmarkEnd w:id="24"/>
      <w:bookmarkEnd w:id="25"/>
    </w:p>
    <w:p w14:paraId="6E50718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77FB256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5794CBE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1B04CA1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217D21A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36FD00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7F5652A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544E295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1C99A6A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9B4383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513029211"/>
      <w:bookmarkStart w:id="27" w:name="_Toc16938527"/>
      <w:bookmarkStart w:id="28" w:name="_Toc20823283"/>
      <w:bookmarkStart w:id="29" w:name="_Toc462564070"/>
      <w:r>
        <w:rPr>
          <w:rFonts w:hint="eastAsia" w:ascii="宋体" w:hAnsi="宋体" w:cs="宋体"/>
          <w:color w:val="auto"/>
          <w:kern w:val="0"/>
          <w:sz w:val="28"/>
          <w:szCs w:val="28"/>
          <w:highlight w:val="none"/>
        </w:rPr>
        <w:t>2.磋商文件的澄清</w:t>
      </w:r>
      <w:bookmarkEnd w:id="26"/>
      <w:bookmarkEnd w:id="27"/>
      <w:bookmarkEnd w:id="28"/>
      <w:bookmarkEnd w:id="29"/>
    </w:p>
    <w:p w14:paraId="561E36A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37C0EEE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494E2018">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513029212"/>
      <w:bookmarkStart w:id="31" w:name="_Toc462564071"/>
      <w:bookmarkStart w:id="32" w:name="_Toc16938528"/>
      <w:bookmarkStart w:id="33" w:name="_Toc20823284"/>
      <w:r>
        <w:rPr>
          <w:rFonts w:hint="eastAsia" w:ascii="宋体" w:hAnsi="宋体" w:cs="宋体"/>
          <w:color w:val="auto"/>
          <w:kern w:val="0"/>
          <w:sz w:val="28"/>
          <w:szCs w:val="28"/>
          <w:highlight w:val="none"/>
        </w:rPr>
        <w:t>3.磋商文件的修改</w:t>
      </w:r>
      <w:bookmarkEnd w:id="30"/>
      <w:bookmarkEnd w:id="31"/>
      <w:bookmarkEnd w:id="32"/>
      <w:bookmarkEnd w:id="33"/>
    </w:p>
    <w:p w14:paraId="27C4544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6835062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0D88FBB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磋商文件的修改将在南通职业大学网站公布，补充文件将作为磋商文件的组成部分，并对供应商具有约束力。</w:t>
      </w:r>
    </w:p>
    <w:p w14:paraId="6B802D72">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120614216"/>
      <w:bookmarkStart w:id="35" w:name="_Toc513029213"/>
      <w:bookmarkStart w:id="36" w:name="_Toc20823285"/>
      <w:bookmarkStart w:id="37" w:name="_Toc16938529"/>
      <w:bookmarkStart w:id="38" w:name="_Toc462564072"/>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012DB2E3">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20823286"/>
      <w:bookmarkStart w:id="40" w:name="_Toc462564073"/>
      <w:bookmarkStart w:id="41" w:name="_Toc513029214"/>
      <w:bookmarkStart w:id="42" w:name="_Toc16938530"/>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7A87E5E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6CC77F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6EE06F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20823287"/>
      <w:bookmarkStart w:id="44" w:name="_Toc16938531"/>
      <w:bookmarkStart w:id="45" w:name="_Toc513029215"/>
      <w:bookmarkStart w:id="46" w:name="_Toc462564074"/>
      <w:r>
        <w:rPr>
          <w:rFonts w:hint="eastAsia" w:ascii="宋体" w:hAnsi="宋体" w:cs="宋体"/>
          <w:color w:val="auto"/>
          <w:kern w:val="0"/>
          <w:sz w:val="28"/>
          <w:szCs w:val="28"/>
          <w:highlight w:val="none"/>
        </w:rPr>
        <w:t>2.响应文件构成</w:t>
      </w:r>
      <w:bookmarkEnd w:id="43"/>
      <w:bookmarkEnd w:id="44"/>
      <w:bookmarkEnd w:id="45"/>
      <w:bookmarkEnd w:id="46"/>
    </w:p>
    <w:p w14:paraId="5D197B9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4C1ED88E">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954838"/>
      <w:bookmarkEnd w:id="47"/>
      <w:bookmarkStart w:id="48" w:name="_Hlt26670360"/>
      <w:bookmarkEnd w:id="48"/>
      <w:bookmarkStart w:id="49" w:name="_Hlt26668975"/>
      <w:bookmarkEnd w:id="49"/>
      <w:bookmarkStart w:id="50" w:name="_Toc14577360"/>
      <w:bookmarkStart w:id="51" w:name="_Toc49090511"/>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0338DA9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27BDB7DB">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FEF56C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3EE63F7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16938540"/>
      <w:bookmarkStart w:id="55" w:name="_Toc120614217"/>
      <w:bookmarkStart w:id="56" w:name="_Toc513029224"/>
      <w:bookmarkStart w:id="57" w:name="_Toc20823296"/>
      <w:r>
        <w:rPr>
          <w:rFonts w:hint="eastAsia" w:ascii="宋体" w:hAnsi="宋体" w:cs="宋体"/>
          <w:b/>
          <w:bCs/>
          <w:color w:val="auto"/>
          <w:kern w:val="0"/>
          <w:sz w:val="28"/>
          <w:szCs w:val="28"/>
          <w:highlight w:val="none"/>
        </w:rPr>
        <w:t>四、响应文件的提交</w:t>
      </w:r>
      <w:bookmarkEnd w:id="54"/>
      <w:bookmarkEnd w:id="55"/>
      <w:bookmarkEnd w:id="56"/>
      <w:bookmarkEnd w:id="57"/>
    </w:p>
    <w:p w14:paraId="619990FE">
      <w:pPr>
        <w:adjustRightInd w:val="0"/>
        <w:snapToGrid w:val="0"/>
        <w:spacing w:line="460" w:lineRule="exact"/>
        <w:ind w:firstLine="560" w:firstLineChars="200"/>
        <w:rPr>
          <w:rFonts w:ascii="宋体" w:hAnsi="宋体" w:cs="宋体"/>
          <w:color w:val="auto"/>
          <w:kern w:val="0"/>
          <w:sz w:val="28"/>
          <w:szCs w:val="28"/>
          <w:highlight w:val="none"/>
        </w:rPr>
      </w:pPr>
      <w:bookmarkStart w:id="58" w:name="_Toc513029226"/>
      <w:bookmarkStart w:id="59" w:name="_Toc20823298"/>
      <w:bookmarkStart w:id="60" w:name="_Toc16938542"/>
      <w:r>
        <w:rPr>
          <w:rFonts w:hint="eastAsia" w:ascii="宋体" w:hAnsi="宋体" w:cs="宋体"/>
          <w:color w:val="auto"/>
          <w:kern w:val="0"/>
          <w:sz w:val="28"/>
          <w:szCs w:val="28"/>
          <w:highlight w:val="none"/>
        </w:rPr>
        <w:t>1.响应文件的提交</w:t>
      </w:r>
    </w:p>
    <w:p w14:paraId="1BDD16D3">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w:t>
      </w:r>
      <w:r>
        <w:rPr>
          <w:rFonts w:hint="eastAsia" w:ascii="宋体" w:hAnsi="宋体" w:cs="宋体"/>
          <w:b/>
          <w:bCs/>
          <w:color w:val="auto"/>
          <w:kern w:val="0"/>
          <w:sz w:val="28"/>
          <w:szCs w:val="28"/>
          <w:highlight w:val="none"/>
        </w:rPr>
        <w:t>三部分</w:t>
      </w:r>
      <w:r>
        <w:rPr>
          <w:rFonts w:hint="eastAsia" w:ascii="宋体" w:hAnsi="宋体" w:cs="宋体"/>
          <w:color w:val="auto"/>
          <w:kern w:val="0"/>
          <w:sz w:val="28"/>
          <w:szCs w:val="28"/>
          <w:highlight w:val="none"/>
        </w:rPr>
        <w:t>内容【资格审查文件、商务技术文件、价格文件】须分别单独密封，并牢固装订成册，不得相互混淆，文件自编目录并连续标注页码，不得将内容拆开。价格文件不得出现于其他磋商文件中。</w:t>
      </w:r>
    </w:p>
    <w:p w14:paraId="2FD62AC6">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rPr>
        <w:t>每部分</w:t>
      </w:r>
      <w:r>
        <w:rPr>
          <w:rFonts w:hint="eastAsia" w:ascii="宋体" w:hAnsi="宋体" w:cs="宋体"/>
          <w:color w:val="auto"/>
          <w:kern w:val="0"/>
          <w:sz w:val="28"/>
          <w:szCs w:val="28"/>
          <w:highlight w:val="none"/>
        </w:rPr>
        <w:t>须提供“正本一份、副本二份”，合并在一个密封袋或密封箱内提交；如有A3大小的图纸类，可单独密封。密封完好以不泄露响应文件内容为主要判断依据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7A0CA242">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4ECD00C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1.4提交电子响应文件一份，电子响应文件的内容为磋商响应文件（含资格审查文件、商务技术文件、价格文件）的打印盖章或电子签章后的扫描件，采取U盘方式单独密封提交。</w:t>
      </w:r>
    </w:p>
    <w:p w14:paraId="6032E4B9">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7626C19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2E9D4C1E">
      <w:pPr>
        <w:adjustRightInd w:val="0"/>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采购人、采购代理机构对响应文件的格式、形式要求，结合财政部《关于促进政府采购公平竞争优化营商环境的通知》（财库〔2019〕38 号）相关规定实施。</w:t>
      </w:r>
    </w:p>
    <w:p w14:paraId="403CF7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748276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供应商提交响应文件的时间不得迟于磋商公告中规定的响应文件提交截止时间。</w:t>
      </w:r>
    </w:p>
    <w:p w14:paraId="0487190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40B4B81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507F91C9">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513029227"/>
      <w:bookmarkStart w:id="62" w:name="_Toc16938543"/>
      <w:bookmarkStart w:id="63" w:name="_Toc20823299"/>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28DE32A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63F7AF9F">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513029228"/>
      <w:bookmarkStart w:id="65" w:name="_Toc16938544"/>
      <w:bookmarkStart w:id="66" w:name="_Toc20823300"/>
      <w:r>
        <w:rPr>
          <w:rFonts w:hint="eastAsia" w:ascii="宋体" w:hAnsi="宋体" w:cs="宋体"/>
          <w:color w:val="auto"/>
          <w:kern w:val="0"/>
          <w:sz w:val="28"/>
          <w:szCs w:val="28"/>
          <w:highlight w:val="none"/>
        </w:rPr>
        <w:t>4. 响应文件的撤回和修改</w:t>
      </w:r>
      <w:bookmarkEnd w:id="64"/>
      <w:bookmarkEnd w:id="65"/>
      <w:bookmarkEnd w:id="66"/>
    </w:p>
    <w:p w14:paraId="4DE9195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4BE64B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60CE64A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C27BCE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74D4055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7F4B5E7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20E48C21">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20823301"/>
      <w:bookmarkStart w:id="68" w:name="_Toc120614218"/>
      <w:bookmarkStart w:id="69" w:name="_Toc513029229"/>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513029230"/>
      <w:bookmarkStart w:id="72" w:name="_Toc16938546"/>
      <w:bookmarkStart w:id="73" w:name="_Toc20823302"/>
      <w:r>
        <w:rPr>
          <w:rFonts w:hint="eastAsia" w:ascii="宋体" w:hAnsi="宋体" w:cs="宋体"/>
          <w:b/>
          <w:bCs/>
          <w:color w:val="auto"/>
          <w:kern w:val="0"/>
          <w:sz w:val="28"/>
          <w:szCs w:val="28"/>
          <w:highlight w:val="none"/>
        </w:rPr>
        <w:t>、磋商与评审</w:t>
      </w:r>
    </w:p>
    <w:p w14:paraId="375DA1A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7716D2E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7996DE0">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0A5CFA3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BED179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4EE243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3E3D11E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2D15B1D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2.3本项目评审专家应当从政府采购评审专家库内相关专业的专家名单中随机抽取。</w:t>
      </w:r>
    </w:p>
    <w:p w14:paraId="3850CE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2.4磋商小组独立工作，负责评审所有响应文件并确定成交候选人。</w:t>
      </w:r>
    </w:p>
    <w:p w14:paraId="2FB4A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3.磋商评审过程的保密与公正</w:t>
      </w:r>
    </w:p>
    <w:p w14:paraId="1B1AD668">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3EB68A4A">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10DFFED9">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723E629">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评审开始后，直至向成交供应商授予合同时止，凡是与审查、澄清、评价和比较响应的有关资料以及授标建议等，采购人、磋商小组、采购代理机构均不得向供应商或与评审无关的其他人员透露。</w:t>
      </w:r>
    </w:p>
    <w:p w14:paraId="00A4401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3B9FEF7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D7A2A1A">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B304DD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7DF6ADE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36B0A2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接到磋商小组澄清要求的供应商如未按规定作出澄清，其风</w:t>
      </w:r>
      <w:r>
        <w:rPr>
          <w:rFonts w:hint="eastAsia" w:ascii="宋体" w:hAnsi="宋体" w:cs="宋体"/>
          <w:bCs/>
          <w:color w:val="auto"/>
          <w:sz w:val="28"/>
          <w:szCs w:val="28"/>
          <w:highlight w:val="none"/>
        </w:rPr>
        <w:t>险由供应商自行承担。</w:t>
      </w:r>
    </w:p>
    <w:p w14:paraId="65BCEAB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ED0A6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4663F9D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7E7D105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4629EB8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5.1.3未通过资格审查或符合性审查的供应商，采购代理机构将告知未通过资格审查或符合性审查的原因，并记录存档。</w:t>
      </w:r>
    </w:p>
    <w:p w14:paraId="19120EC9">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2717DC9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（1）参照财库〔2026〕2号文件,政府采购评审中出现下列情形之一的，评审委员会应当启动异常低价磋商（响应）审查程序：</w:t>
      </w:r>
    </w:p>
    <w:p w14:paraId="6C8928BE">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①磋商（响应）报价低于全部通过符合性审查供应商磋商（响应）报价平均值50%的，即磋商（响应）报价&lt;全部通过符合性审查供应商磋商（响应）报价平均值×50%； </w:t>
      </w:r>
    </w:p>
    <w:p w14:paraId="239C7EE5">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②磋商（响应）报价低于通过符合性审查的次低报价供应商磋商（响应）报价50%的，即磋商（响应）报价&lt;通过符合性审查的次低报价供应商磋商（响应）报价×50%； </w:t>
      </w:r>
    </w:p>
    <w:p w14:paraId="6D5F4ED4">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③（响应）报价低于采购项目最高限价45%的，即磋商（响应）报价&lt;采购项目最高限价×45%； </w:t>
      </w:r>
    </w:p>
    <w:p w14:paraId="651898F2">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p>
    <w:p w14:paraId="6C2C5D1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磋商(响应)审查后，属于上述情形的，应当要求相关供应商在评审现场30分钟内对磋商（响应）价格作出解释，提供项目具体成本测算等与报价合理性相关的书面说明及必要的证明材料，包括但不限于原材料成本、人工成本、制造费用等。其中，属于第③项情形，供应商已随磋商（响应）文件一并提交相关书面说明及必要的证明材料的，在评审现场可不再重复提交。</w:t>
      </w:r>
    </w:p>
    <w:p w14:paraId="1DFC6AF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成交（成交）价格、类似产品市场价格水平、行业人工费用标准、国家有关部门指导行业协会发布的行业平均成本等情况，对报价合理性进行判断。磋商（响应）供应商不能提供书面说明、证明材料，或者提供的书面说明、证明材料不能证明其报价合理性的，评审委员会应当将其作为无效磋商（响应）处理。</w:t>
      </w:r>
    </w:p>
    <w:p w14:paraId="1F76FEA2">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成交（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35C5EB6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（5）异常低价磋商审查的启动原因、审查意见和审查结果应当在评审报告中记录，并随供应商提供的相关书面说明及证明材料，以及评审小组有关互联网浏览、查询历史一并归档。</w:t>
      </w:r>
    </w:p>
    <w:p w14:paraId="489E3A0A">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5.3在正式磋商之前，磋商小组将首先审查每份响应文件是否实质性响应了磋商文件的要求。实质性响应的响应文件应该是与磋商文件要求的全部条款、条件和规格相符，没有重大负偏离或保留。</w:t>
      </w:r>
    </w:p>
    <w:p w14:paraId="6A91E215">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0B330B">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5.4如果响应文件实质上没有响应磋商文件的要求，磋商小组将予以拒绝，供应商不得通过修改或撤销不符合要求的偏离或保留而使其响应文件成为实质性响应的文件。</w:t>
      </w:r>
    </w:p>
    <w:p w14:paraId="51922BA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5.5磋商小组将对确定为实质性响应的文件进行进一步审核，看其是否有计算上或累加上的算术错误，修正错误的原则如下：</w:t>
      </w:r>
    </w:p>
    <w:p w14:paraId="53CC0B1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内容与响应文件中响应内容不一致的，以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1728135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1AE731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04F2354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09B53CD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49AF443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.6磋商小组将按上述修正错误的方法调整响应文件中的报价，并告知供应商，调整后的价格应对供应商具有约束力。如果供应商不接受修正后的价格，则其磋商活动将被拒绝。</w:t>
      </w:r>
    </w:p>
    <w:p w14:paraId="573F21E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5.7磋商小组将允许修正响应文件中不构成重大偏离的、微小的、非正规的、不一致的或不规则的地方，但这些修改不能影响任何供应商相应的名次排列。</w:t>
      </w:r>
    </w:p>
    <w:p w14:paraId="23FA11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26BC2DC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19C3D533">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2E26F7C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3B6FC49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7655085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150D4DE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319D64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73482D0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0495284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488695D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B7FB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0CA4D60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651C840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6.1.11响应文件未按照采购文件要求盖章的。</w:t>
      </w:r>
    </w:p>
    <w:p w14:paraId="1F4B0A3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6.1.12供应商的商务技术部分得分相差悬殊，磋商小组认为得分畸低者没有实质性响应的（供应商商务技术标得分低于采购文件商务技术总分的50%的。）。</w:t>
      </w:r>
    </w:p>
    <w:p w14:paraId="2F2190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6.1.13启动异常低价响应审查后，供应商不提供书面说明、证明材料，或者提供的书面说明、证明材料不能证明其报价合理性的。</w:t>
      </w:r>
    </w:p>
    <w:p w14:paraId="47DBB86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6.1.14</w:t>
      </w:r>
      <w:r>
        <w:rPr>
          <w:rFonts w:hint="eastAsia" w:ascii="宋体" w:hAnsi="宋体" w:cs="宋体"/>
          <w:b/>
          <w:bCs/>
          <w:color w:val="auto"/>
          <w:sz w:val="28"/>
          <w:szCs w:val="28"/>
          <w:highlight w:val="none"/>
        </w:rPr>
        <w:t>本项目供应商之间被通过“天眼查或企查查”查询确认有关联性的。</w:t>
      </w:r>
    </w:p>
    <w:p w14:paraId="28D286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6.1.15其他法律、法规及本磋商文件规定的属无效响应的情形。</w:t>
      </w:r>
    </w:p>
    <w:p w14:paraId="168EF80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627953D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33AA808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B79930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3EC0BC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0E21361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1AC9499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609028E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39D569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1.采购文件存在不合理条款或者采购程序不符合规定的，采购人、采购代理机构改正后依法重新采购；</w:t>
      </w:r>
    </w:p>
    <w:p w14:paraId="1D42952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2采购文件没有不合理条款、采购程序符合规定，需要采用其他采购人方式采购的，采购人应当依法报采购监管部门批准。</w:t>
      </w:r>
    </w:p>
    <w:bookmarkEnd w:id="71"/>
    <w:bookmarkEnd w:id="72"/>
    <w:bookmarkEnd w:id="73"/>
    <w:p w14:paraId="4D7C7D7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0DE16706">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16938554"/>
      <w:bookmarkStart w:id="76" w:name="_Toc20823310"/>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04CD55E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7B0BC46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0EA5251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采购代理机构将在“南通职业大学网站”发布成交结果公告，公告期限为1个工作日。</w:t>
      </w:r>
    </w:p>
    <w:p w14:paraId="3E69E22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75EA60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4CFADA6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14FE079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1CCF7D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0C017AA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10A8A8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1670D1DF">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0FFB655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312D0FE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7ADCD0F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4F77D4A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498E1A73">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2．成交通知书</w:t>
      </w:r>
    </w:p>
    <w:p w14:paraId="1F9F0D8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成交结果确定后，采购人将向成交供应商发出成交通知书。成交供应商应在成交结果公告期满后5个日内到采购代理机构办理领取成交通知书手续，否则，由此产生的后果供应商自负。</w:t>
      </w:r>
    </w:p>
    <w:p w14:paraId="17866E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2.2成交通知书将是合同的一个组成部分，对采购人和成交供应商均具有法律效力。成交通知书发出后，采购人改变成交结果的，或者成交供应商放弃磋商项目的，应当依法承担法律责任。</w:t>
      </w:r>
    </w:p>
    <w:p w14:paraId="5888107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20823308"/>
      <w:bookmarkStart w:id="80" w:name="_Toc513029236"/>
      <w:bookmarkStart w:id="81" w:name="_Toc16938552"/>
      <w:r>
        <w:rPr>
          <w:rFonts w:hint="eastAsia" w:ascii="宋体" w:hAnsi="宋体" w:cs="宋体"/>
          <w:b/>
          <w:bCs/>
          <w:color w:val="auto"/>
          <w:kern w:val="0"/>
          <w:sz w:val="28"/>
          <w:szCs w:val="28"/>
          <w:highlight w:val="none"/>
        </w:rPr>
        <w:t>七、授予合同</w:t>
      </w:r>
      <w:bookmarkEnd w:id="78"/>
    </w:p>
    <w:bookmarkEnd w:id="79"/>
    <w:bookmarkEnd w:id="80"/>
    <w:bookmarkEnd w:id="81"/>
    <w:p w14:paraId="59628578">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20823309"/>
      <w:bookmarkStart w:id="83" w:name="_Toc16938553"/>
      <w:bookmarkStart w:id="84" w:name="_Toc513029237"/>
      <w:r>
        <w:rPr>
          <w:rFonts w:hint="eastAsia" w:ascii="宋体" w:hAnsi="宋体" w:cs="宋体"/>
          <w:color w:val="auto"/>
          <w:kern w:val="0"/>
          <w:sz w:val="28"/>
          <w:szCs w:val="28"/>
          <w:highlight w:val="none"/>
        </w:rPr>
        <w:t>1.签订合同</w:t>
      </w:r>
    </w:p>
    <w:p w14:paraId="697CEA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.l成交供应商应当在成交通知书发出之日起五日内，按照磋商文件确定的事项与采购人签订采购合同。</w:t>
      </w:r>
    </w:p>
    <w:p w14:paraId="7C19537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1082CF8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15FC09F5">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2C54BC0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4DE6B82E">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268328A4">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56D984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77D6C11">
      <w:pPr>
        <w:pStyle w:val="119"/>
        <w:spacing w:line="46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rPr>
        <w:t>一、项目概况</w:t>
      </w:r>
    </w:p>
    <w:p w14:paraId="6452F607">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1.本项目为校内存量教学仪器、实训设备、精密教学设备整体搬迁、拆机、重装、调试及系统恢复服务。本次搬迁涉及多品牌精密教学设备，设备结构复杂、内置程序及硬件链路具有原厂专属技术壁垒，非原厂认可服务商易出现设备拆机损坏、线路无法复原、教学系统无法正常开机、原厂质保失效等问题。为保障搬迁全过程设备安全、搬迁后设备100%复原可用、保留设备原有原厂质保权益，要求供应商具备对应存量教学设备原厂技术支持能力。</w:t>
      </w:r>
    </w:p>
    <w:p w14:paraId="011BABB1">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2.本次搬迁涉及捷安高科、风向标、意昂神州（EON）、行云新能（INWINIC）、朗仁（XTOOL）、世达（SATA）、格瑞斯新能源共 7 类主要精密教学设备，设备结构复杂、内置程序及硬件链路具有原厂专属技术壁垒，非原厂认可服务商易出现设备拆机损坏、线路无法复原、教学系统无法正常开机、原厂质保失效等问题。7 类设备（</w:t>
      </w:r>
      <w:r>
        <w:rPr>
          <w:rFonts w:ascii="宋体" w:hAnsi="宋体" w:cs="宋体"/>
          <w:color w:val="auto"/>
          <w:sz w:val="24"/>
          <w:highlight w:val="none"/>
        </w:rPr>
        <w:t>其中捷安高科分 2021（过保）、2023（在保）两个批次，合计 8 个设备单元</w:t>
      </w:r>
      <w:r>
        <w:rPr>
          <w:rFonts w:hint="eastAsia" w:ascii="宋体" w:hAnsi="宋体" w:cs="宋体"/>
          <w:color w:val="auto"/>
          <w:sz w:val="28"/>
          <w:szCs w:val="28"/>
          <w:highlight w:val="none"/>
        </w:rPr>
        <w:t xml:space="preserve">）分两类质保状态，搬迁技术要求区分如下： </w:t>
      </w:r>
    </w:p>
    <w:p w14:paraId="6933F5F4">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 xml:space="preserve">①尚在原厂质保期内设备：捷安高科（2023 批次）、意昂神州（EON）、朗仁（XTOOL）、世达（SATA）、格瑞斯新能源设备仍在原厂质保有效期内，各品牌剩余质保时长分别是：捷安高科剩余 5 个月、意昂神州剩余4个月、朗仁剩余4 个月、世达剩余4 个月、格瑞斯新能源剩余4个月。上述设备搬迁操作若不符合原厂规范将直接终止原厂整机质保；为完整保留原有原厂质保权益，该五类设备拆装、校准、系统恢复必须取得设备原厂官方技术兜底支持。 </w:t>
      </w:r>
    </w:p>
    <w:p w14:paraId="4754E025">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 xml:space="preserve">②已超出原厂质保期设备：捷安高科（2021 批次）、风向标、行云新能（INWINIC）设备原厂质保已到期；虽无质保失效风险，但设备内部专用检测程序、硬件匹配参数、气路 / 电路标定流程均为原厂专属标准，拆装、重装、故障修复仍需原厂技术资源配合，否则易出现设备功能缺失、精度不达标、无法正常教学使用等问题。 </w:t>
      </w:r>
    </w:p>
    <w:p w14:paraId="6E94FF54">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为保障搬迁全过程设备安全、搬迁后设备 100% 复原可用、在保设备完整保留原厂质保权益，要求供应商具备对应 7 类存量教学设备原厂技术支持能力。</w:t>
      </w:r>
    </w:p>
    <w:p w14:paraId="60366A7D">
      <w:pPr>
        <w:pStyle w:val="119"/>
        <w:widowControl/>
        <w:shd w:val="clear" w:color="auto" w:fill="FFFFFF"/>
        <w:spacing w:line="460" w:lineRule="exact"/>
        <w:ind w:firstLine="562"/>
        <w:jc w:val="left"/>
        <w:outlineLvl w:val="3"/>
        <w:rPr>
          <w:rFonts w:ascii="宋体" w:hAnsi="宋体" w:cs="宋体"/>
          <w:b/>
          <w:bCs/>
          <w:color w:val="auto"/>
          <w:sz w:val="28"/>
          <w:szCs w:val="28"/>
          <w:highlight w:val="none"/>
        </w:rPr>
      </w:pPr>
      <w:r>
        <w:rPr>
          <w:rFonts w:hint="eastAsia" w:ascii="宋体" w:hAnsi="宋体" w:cs="宋体"/>
          <w:b/>
          <w:bCs/>
          <w:color w:val="auto"/>
          <w:sz w:val="28"/>
          <w:szCs w:val="28"/>
          <w:highlight w:val="none"/>
        </w:rPr>
        <w:t>二、搬迁范围</w:t>
      </w:r>
    </w:p>
    <w:p w14:paraId="3A4D69A5">
      <w:pPr>
        <w:pStyle w:val="119"/>
        <w:widowControl/>
        <w:shd w:val="clear" w:color="auto" w:fill="FFFFFF"/>
        <w:spacing w:line="460" w:lineRule="exact"/>
        <w:ind w:firstLine="560"/>
        <w:jc w:val="left"/>
        <w:outlineLvl w:val="3"/>
        <w:rPr>
          <w:rFonts w:ascii="宋体" w:hAnsi="宋体" w:cs="宋体"/>
          <w:color w:val="auto"/>
          <w:sz w:val="28"/>
          <w:szCs w:val="28"/>
          <w:highlight w:val="none"/>
        </w:rPr>
      </w:pPr>
      <w:r>
        <w:rPr>
          <w:rFonts w:hint="eastAsia" w:ascii="宋体" w:hAnsi="宋体" w:cs="宋体"/>
          <w:color w:val="auto"/>
          <w:sz w:val="28"/>
          <w:szCs w:val="28"/>
          <w:highlight w:val="none"/>
        </w:rPr>
        <w:t>本次搬迁范围严格按照《汽车与交通工程学院</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搬迁清单》及《技师汽修搬迁清单》（具体详见附件1和附件2）执行，涵盖教学仪器、实训设备、精密检测设备、服务器、教学台架、工具设备、办公家具等全部资产，具体设备名称、数量、存放地点、搬迁目的地及施工要求以清单内容为准。</w:t>
      </w:r>
    </w:p>
    <w:p w14:paraId="1D7DDADD">
      <w:pPr>
        <w:pStyle w:val="119"/>
        <w:widowControl/>
        <w:shd w:val="clear" w:color="auto" w:fill="FFFFFF"/>
        <w:spacing w:line="460" w:lineRule="exact"/>
        <w:ind w:firstLine="562"/>
        <w:jc w:val="left"/>
        <w:outlineLvl w:val="3"/>
        <w:rPr>
          <w:rFonts w:ascii="宋体" w:hAnsi="宋体" w:cs="宋体"/>
          <w:b/>
          <w:bCs/>
          <w:color w:val="auto"/>
          <w:sz w:val="28"/>
          <w:szCs w:val="28"/>
          <w:highlight w:val="none"/>
        </w:rPr>
      </w:pPr>
      <w:r>
        <w:rPr>
          <w:rFonts w:hint="eastAsia" w:ascii="宋体" w:hAnsi="宋体" w:cs="宋体"/>
          <w:b/>
          <w:bCs/>
          <w:color w:val="auto"/>
          <w:sz w:val="28"/>
          <w:szCs w:val="28"/>
          <w:highlight w:val="none"/>
        </w:rPr>
        <w:t>三、实施要求</w:t>
      </w:r>
    </w:p>
    <w:p w14:paraId="3E1E15C1">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1.搬迁前对所有设备进行现场勘查、状态核验、尺寸复核，制定专项搬迁与安装调试方案。</w:t>
      </w:r>
    </w:p>
    <w:p w14:paraId="06BA4C89">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2.按设备类型进行规范拆卸，对线路、接口、配件进行唯一标识，确保可追溯复原。</w:t>
      </w:r>
    </w:p>
    <w:p w14:paraId="63B0E7F5">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3.对所有设备实施防尘、防潮、防震、防撞专业包装，精密仪器与易损部件进行二次加固保护。</w:t>
      </w:r>
    </w:p>
    <w:p w14:paraId="60D4AFAC">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4.完成设备下楼、装车、运输、卸车、校内二次转运，按院方指定房间与点位精准就位。</w:t>
      </w:r>
    </w:p>
    <w:p w14:paraId="5C2B37D4">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5.按照原厂技术标准完成设备重装、接线复原、固定校准、系统调试与功能测试。</w:t>
      </w:r>
    </w:p>
    <w:p w14:paraId="6E638627">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6.恢复设备内置程序、教学系统、运行参数，确保设备开机正常、运行稳定、功能齐全。</w:t>
      </w:r>
    </w:p>
    <w:p w14:paraId="048B14F6">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7.搬迁完成后清理现场包装材料与垃圾，做到工完场清，满足教学使用条件。</w:t>
      </w:r>
    </w:p>
    <w:p w14:paraId="6DFEC6A8">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8.配合校方完成设备清点、验收与移交，提供必要的技术说明与使用保障。</w:t>
      </w:r>
    </w:p>
    <w:p w14:paraId="3EEB5EF0">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9.搬迁过程中发生的一切人身伤亡、车辆事故、资产损毁，均由成交人承担全部法律责任和经济赔偿，采购方不承担任何连带责任。</w:t>
      </w:r>
    </w:p>
    <w:p w14:paraId="053C7BB5">
      <w:pPr>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10.本次搬迁配套场地改造施工全部包含在报价范围内，涉及所有实训区域举升机拆装移位、气路管路拆除、转运、重新布设、管路对接、气密性检测、配套固定安装等全部场地配套施工内容，相关人工、辅材、配件、检测、调试、耗材、安全防护等所有费用均综合计入总报价，采购人不再另行支付任何场地施工相关费用。</w:t>
      </w:r>
    </w:p>
    <w:p w14:paraId="5A85FB49">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四、商务条款</w:t>
      </w:r>
    </w:p>
    <w:p w14:paraId="58C2A04D">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1.验收要求</w:t>
      </w:r>
    </w:p>
    <w:p w14:paraId="414F70A6">
      <w:pPr>
        <w:tabs>
          <w:tab w:val="left" w:pos="5325"/>
        </w:tabs>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1）实训仪器设备等物资送达指定位置后按装箱单逐项清点，确保数量和发运前一致；</w:t>
      </w:r>
    </w:p>
    <w:p w14:paraId="11E905BC">
      <w:pPr>
        <w:tabs>
          <w:tab w:val="left" w:pos="5325"/>
        </w:tabs>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搬迁前后需进行测试，保证搬迁前后性能一致。因运输环节造成仪器损毁可由供应商投保财产保全保险理赔；因拆机、重装、接线、校准、系统调试等施工操作造成的仪器故障、精度缺失、系统瘫痪，不属于保险理赔范围，成交人须无条件免费维修、更换原厂配件、重置系统参数，全部费用由成交人自行承担。</w:t>
      </w:r>
    </w:p>
    <w:p w14:paraId="66DEB5B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3）安全作业。不发生校园内超速、违停或其他影响师生安全的情况，每发生一起扣款500元；不发生校内交通事故，否则每发生一起扣减合同总价款的1%。</w:t>
      </w:r>
    </w:p>
    <w:p w14:paraId="013FA277">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4）相关时限。成交后及时签订合同，否则每拖延1天，结算时扣减合同总价款的10%。按规定时间完成相关搬运任务，每拖延1天，扣减合同总价款的10%。因校方原因或不可抗力的因素影响除外。</w:t>
      </w:r>
    </w:p>
    <w:p w14:paraId="17DA38C5">
      <w:pPr>
        <w:tabs>
          <w:tab w:val="left" w:pos="5325"/>
        </w:tabs>
        <w:snapToGrid w:val="0"/>
        <w:spacing w:line="460" w:lineRule="exact"/>
        <w:ind w:firstLine="562" w:firstLineChars="200"/>
        <w:contextualSpacing/>
        <w:rPr>
          <w:rFonts w:ascii="宋体" w:hAnsi="宋体" w:cs="宋体"/>
          <w:b/>
          <w:color w:val="auto"/>
          <w:sz w:val="28"/>
          <w:szCs w:val="28"/>
          <w:highlight w:val="none"/>
        </w:rPr>
      </w:pPr>
      <w:r>
        <w:rPr>
          <w:rFonts w:hint="eastAsia" w:ascii="宋体" w:hAnsi="宋体" w:cs="宋体"/>
          <w:b/>
          <w:color w:val="auto"/>
          <w:sz w:val="28"/>
          <w:szCs w:val="28"/>
          <w:highlight w:val="none"/>
        </w:rPr>
        <w:t>2.项目交货期需求</w:t>
      </w:r>
    </w:p>
    <w:p w14:paraId="19686D7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（1）签订合同日期：自成交（成交）通知书发出之日起</w:t>
      </w:r>
      <w:r>
        <w:rPr>
          <w:rFonts w:hint="eastAsia" w:ascii="宋体" w:hAnsi="宋体" w:cs="宋体"/>
          <w:color w:val="auto"/>
          <w:sz w:val="28"/>
          <w:szCs w:val="28"/>
          <w:highlight w:val="none"/>
          <w:u w:val="single"/>
        </w:rPr>
        <w:t xml:space="preserve"> 5 </w:t>
      </w:r>
      <w:r>
        <w:rPr>
          <w:rFonts w:hint="eastAsia" w:ascii="宋体" w:hAnsi="宋体" w:cs="宋体"/>
          <w:color w:val="auto"/>
          <w:sz w:val="28"/>
          <w:szCs w:val="28"/>
          <w:highlight w:val="none"/>
        </w:rPr>
        <w:t>日内按时签约。</w:t>
      </w:r>
    </w:p>
    <w:p w14:paraId="09D9D05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（2）交货期（服务时间）： 自合同签订之日起</w:t>
      </w:r>
      <w:r>
        <w:rPr>
          <w:rFonts w:hint="eastAsia" w:ascii="宋体" w:hAnsi="宋体" w:cs="宋体"/>
          <w:color w:val="auto"/>
          <w:sz w:val="28"/>
          <w:szCs w:val="28"/>
          <w:highlight w:val="none"/>
          <w:u w:val="single"/>
        </w:rPr>
        <w:t xml:space="preserve"> 30日</w:t>
      </w:r>
      <w:r>
        <w:rPr>
          <w:rFonts w:hint="eastAsia" w:ascii="宋体" w:hAnsi="宋体" w:cs="宋体"/>
          <w:color w:val="auto"/>
          <w:sz w:val="28"/>
          <w:szCs w:val="28"/>
          <w:highlight w:val="none"/>
        </w:rPr>
        <w:t>内完成。</w:t>
      </w:r>
    </w:p>
    <w:p w14:paraId="470D3EDD">
      <w:pPr>
        <w:widowControl/>
        <w:shd w:val="clear" w:color="auto" w:fill="FFFFFF"/>
        <w:snapToGrid w:val="0"/>
        <w:spacing w:line="460" w:lineRule="exact"/>
        <w:ind w:firstLine="560" w:firstLineChars="200"/>
        <w:contextualSpacing/>
        <w:rPr>
          <w:rFonts w:ascii="宋体" w:hAnsi="宋体" w:cs="宋体"/>
          <w:b/>
          <w:bCs/>
          <w:color w:val="auto"/>
          <w:sz w:val="28"/>
          <w:szCs w:val="28"/>
          <w:highlight w:val="none"/>
        </w:rPr>
      </w:pPr>
      <w:r>
        <w:rPr>
          <w:rFonts w:hint="eastAsia" w:ascii="宋体" w:hAnsi="宋体" w:cs="宋体"/>
          <w:color w:val="auto"/>
          <w:sz w:val="28"/>
          <w:szCs w:val="28"/>
          <w:highlight w:val="none"/>
        </w:rPr>
        <w:t>（3）交货（服务）地点：</w:t>
      </w:r>
      <w:r>
        <w:rPr>
          <w:rFonts w:hint="eastAsia" w:ascii="宋体" w:hAnsi="宋体" w:cs="宋体"/>
          <w:color w:val="auto"/>
          <w:sz w:val="28"/>
          <w:szCs w:val="28"/>
          <w:highlight w:val="none"/>
          <w:u w:val="single"/>
        </w:rPr>
        <w:t xml:space="preserve"> 采购人指定地点 </w:t>
      </w:r>
      <w:r>
        <w:rPr>
          <w:rFonts w:hint="eastAsia" w:ascii="宋体" w:hAnsi="宋体" w:cs="宋体"/>
          <w:color w:val="auto"/>
          <w:sz w:val="28"/>
          <w:szCs w:val="28"/>
          <w:highlight w:val="none"/>
        </w:rPr>
        <w:t>。</w:t>
      </w:r>
    </w:p>
    <w:p w14:paraId="2237C68C">
      <w:pPr>
        <w:tabs>
          <w:tab w:val="left" w:pos="5325"/>
        </w:tabs>
        <w:snapToGrid w:val="0"/>
        <w:spacing w:line="460" w:lineRule="exact"/>
        <w:ind w:firstLine="562" w:firstLineChars="200"/>
        <w:contextualSpacing/>
        <w:jc w:val="left"/>
        <w:rPr>
          <w:rFonts w:ascii="宋体" w:hAnsi="宋体" w:cs="宋体"/>
          <w:b/>
          <w:color w:val="auto"/>
          <w:sz w:val="28"/>
          <w:szCs w:val="28"/>
          <w:highlight w:val="none"/>
          <w:lang w:val="zh-CN"/>
        </w:rPr>
      </w:pPr>
      <w:r>
        <w:rPr>
          <w:rFonts w:hint="eastAsia" w:ascii="宋体" w:hAnsi="宋体" w:cs="宋体"/>
          <w:b/>
          <w:bCs/>
          <w:color w:val="auto"/>
          <w:sz w:val="28"/>
          <w:szCs w:val="28"/>
          <w:highlight w:val="none"/>
        </w:rPr>
        <w:t>3</w:t>
      </w:r>
      <w:r>
        <w:rPr>
          <w:rFonts w:hint="eastAsia" w:ascii="宋体" w:hAnsi="宋体" w:cs="宋体"/>
          <w:b/>
          <w:bCs/>
          <w:color w:val="auto"/>
          <w:sz w:val="28"/>
          <w:szCs w:val="28"/>
          <w:highlight w:val="none"/>
          <w:lang w:val="zh-CN"/>
        </w:rPr>
        <w:t>、</w:t>
      </w:r>
      <w:r>
        <w:rPr>
          <w:rFonts w:hint="eastAsia" w:ascii="宋体" w:hAnsi="宋体" w:cs="宋体"/>
          <w:b/>
          <w:color w:val="auto"/>
          <w:sz w:val="28"/>
          <w:szCs w:val="28"/>
          <w:highlight w:val="none"/>
          <w:lang w:val="zh-CN"/>
        </w:rPr>
        <w:t>付款</w:t>
      </w:r>
    </w:p>
    <w:p w14:paraId="75EDBE8C">
      <w:pPr>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lang w:val="zh-CN"/>
        </w:rPr>
        <w:t>（1）申请</w:t>
      </w:r>
      <w:r>
        <w:rPr>
          <w:rFonts w:hint="eastAsia" w:ascii="宋体" w:hAnsi="宋体" w:cs="宋体"/>
          <w:color w:val="auto"/>
          <w:sz w:val="28"/>
          <w:szCs w:val="28"/>
          <w:highlight w:val="none"/>
        </w:rPr>
        <w:t>部门应在项目验收合格后按合同约定办理结算手续。</w:t>
      </w:r>
    </w:p>
    <w:p w14:paraId="46EFA6F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kern w:val="0"/>
          <w:sz w:val="28"/>
          <w:szCs w:val="28"/>
          <w:highlight w:val="none"/>
        </w:rPr>
        <w:t>（2）付款方式：全部货物搬迁完毕、安装正常并试运行1个月后可正常使用，经验收合格后一次性支付合同金额。</w:t>
      </w:r>
      <w:r>
        <w:rPr>
          <w:rFonts w:hint="eastAsia" w:ascii="宋体" w:hAnsi="宋体"/>
          <w:color w:val="auto"/>
          <w:sz w:val="28"/>
          <w:szCs w:val="28"/>
          <w:highlight w:val="none"/>
        </w:rPr>
        <w:t>成交人需按要求提供相应的发票，采购人收到发票后60个工作日内一次性付清款项。</w:t>
      </w:r>
    </w:p>
    <w:p w14:paraId="5DF82663">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4.保险相关要求</w:t>
      </w:r>
    </w:p>
    <w:p w14:paraId="24775F6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成交供应商须自行足额投保两类保险，保险费用全部综合计入总报价，采购人不另行支付保险相关费用： </w:t>
      </w:r>
    </w:p>
    <w:p w14:paraId="14B1978F">
      <w:pPr>
        <w:numPr>
          <w:ilvl w:val="0"/>
          <w:numId w:val="6"/>
        </w:numPr>
        <w:spacing w:line="4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财产保全保险：覆盖包装、装卸、场内 / 场外运输、卸车转运环节物资损毁、丢失风险；针对拆机、重装、接线、校准、系统调试等操作环节造成的设备损坏，不强制纳入保险承保范围，由成交供应商出具</w:t>
      </w:r>
      <w:r>
        <w:rPr>
          <w:rFonts w:hint="eastAsia" w:ascii="宋体" w:hAnsi="宋体"/>
          <w:b/>
          <w:bCs/>
          <w:color w:val="auto"/>
          <w:sz w:val="28"/>
          <w:szCs w:val="28"/>
          <w:highlight w:val="none"/>
        </w:rPr>
        <w:t>《设备拆装调试损失全额兜底承诺函》</w:t>
      </w:r>
      <w:r>
        <w:rPr>
          <w:rFonts w:hint="eastAsia" w:ascii="宋体" w:hAnsi="宋体"/>
          <w:color w:val="auto"/>
          <w:sz w:val="28"/>
          <w:szCs w:val="28"/>
          <w:highlight w:val="none"/>
        </w:rPr>
        <w:t>，承诺因自身拆装、调试施工操作不当造成设备硬件损坏、程序故障、精度失效，由供应商全额承担维修、更换、原厂上门修复、原厂技术服务费全部费用，不得向采购人转嫁成本；</w:t>
      </w:r>
    </w:p>
    <w:p w14:paraId="3826C39D">
      <w:pPr>
        <w:numPr>
          <w:ilvl w:val="0"/>
          <w:numId w:val="6"/>
        </w:numPr>
        <w:spacing w:line="460" w:lineRule="exact"/>
        <w:ind w:firstLine="560" w:firstLineChars="200"/>
        <w:rPr>
          <w:rFonts w:hint="eastAsia" w:ascii="宋体" w:hAnsi="宋体"/>
          <w:color w:val="auto"/>
          <w:sz w:val="28"/>
          <w:szCs w:val="28"/>
          <w:highlight w:val="none"/>
        </w:rPr>
      </w:pPr>
      <w:r>
        <w:rPr>
          <w:rFonts w:hint="eastAsia" w:ascii="宋体" w:hAnsi="宋体"/>
          <w:color w:val="auto"/>
          <w:sz w:val="28"/>
          <w:szCs w:val="28"/>
          <w:highlight w:val="none"/>
        </w:rPr>
        <w:t>人员意外伤害险：成交供应商须为本项目所有现场施工人员投保人身意外伤害保险，保障覆盖项目现场全部施工作业全过程；针对施工引发的第三方人身伤害、校方财物损毁等风险，供应商自行承担全部赔偿责任，并出具加盖公章的书面责任承诺书。供应商应于进场施工前，将加盖公章的完整有效人身意外伤害保险单复印件、责任承诺书一并提交采购人备案，保险有效期限须覆盖本项目全部施工周期外加1个月试运行质保期。未按规定投保、保额不足或未提交承诺书的，采购人有权不予准许进场开工，由此造成的工期延误及所有损失，由成交供应商自行承担。</w:t>
      </w:r>
    </w:p>
    <w:p w14:paraId="3911E4B6">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五、现场勘察</w:t>
      </w:r>
    </w:p>
    <w:p w14:paraId="02EB2E96">
      <w:pPr>
        <w:pStyle w:val="24"/>
        <w:shd w:val="clear" w:color="auto" w:fill="FFFFFF"/>
        <w:spacing w:before="0" w:beforeAutospacing="0" w:after="0" w:afterAutospacing="0" w:line="460" w:lineRule="exact"/>
        <w:ind w:firstLine="560" w:firstLineChars="200"/>
        <w:jc w:val="both"/>
        <w:rPr>
          <w:bCs/>
          <w:color w:val="auto"/>
          <w:sz w:val="28"/>
          <w:szCs w:val="28"/>
          <w:highlight w:val="none"/>
        </w:rPr>
      </w:pPr>
      <w:r>
        <w:rPr>
          <w:rFonts w:hint="eastAsia"/>
          <w:color w:val="auto"/>
          <w:sz w:val="28"/>
          <w:szCs w:val="28"/>
          <w:highlight w:val="none"/>
        </w:rPr>
        <w:t>1采购文件所提供的项目相关数据仅做参考，根据自身需要，</w:t>
      </w:r>
      <w:r>
        <w:rPr>
          <w:rFonts w:hint="eastAsia"/>
          <w:bCs/>
          <w:color w:val="auto"/>
          <w:sz w:val="28"/>
          <w:szCs w:val="28"/>
          <w:highlight w:val="none"/>
        </w:rPr>
        <w:t>供应商可在规定时间内对有关现场和周围环境进行勘察，以获取编制响应文件和签署合同所需的信息。勘察现场所发生的费用由供应商自己承担。</w:t>
      </w:r>
    </w:p>
    <w:p w14:paraId="031B17F1">
      <w:pPr>
        <w:pStyle w:val="24"/>
        <w:shd w:val="clear" w:color="auto" w:fill="FFFFFF"/>
        <w:spacing w:before="0" w:beforeAutospacing="0" w:after="0" w:afterAutospacing="0" w:line="460" w:lineRule="exact"/>
        <w:ind w:firstLine="560" w:firstLineChars="200"/>
        <w:jc w:val="both"/>
        <w:rPr>
          <w:color w:val="auto"/>
          <w:sz w:val="28"/>
          <w:szCs w:val="28"/>
          <w:highlight w:val="none"/>
        </w:rPr>
      </w:pPr>
      <w:r>
        <w:rPr>
          <w:rFonts w:hint="eastAsia"/>
          <w:color w:val="auto"/>
          <w:sz w:val="28"/>
          <w:szCs w:val="28"/>
          <w:highlight w:val="none"/>
        </w:rPr>
        <w:t>2.采购人向供应商提供的有关现场的资料和数据，是采购人现有的并认为能使供应商可利用的资料。采购人对供应商由此而做出的推论、理解和结论概不负责。</w:t>
      </w:r>
    </w:p>
    <w:p w14:paraId="3FDB2177">
      <w:pPr>
        <w:pStyle w:val="24"/>
        <w:shd w:val="clear" w:color="auto" w:fill="FFFFFF"/>
        <w:spacing w:before="0" w:beforeAutospacing="0" w:after="0" w:afterAutospacing="0" w:line="460" w:lineRule="exact"/>
        <w:ind w:firstLine="560" w:firstLineChars="200"/>
        <w:jc w:val="both"/>
        <w:rPr>
          <w:color w:val="auto"/>
          <w:sz w:val="28"/>
          <w:szCs w:val="28"/>
          <w:highlight w:val="none"/>
        </w:rPr>
      </w:pPr>
      <w:r>
        <w:rPr>
          <w:rFonts w:hint="eastAsia"/>
          <w:color w:val="auto"/>
          <w:sz w:val="28"/>
          <w:szCs w:val="28"/>
          <w:highlight w:val="none"/>
        </w:rPr>
        <w:t>3.经采购人允许，</w:t>
      </w:r>
      <w:r>
        <w:rPr>
          <w:rFonts w:hint="eastAsia"/>
          <w:bCs/>
          <w:color w:val="auto"/>
          <w:sz w:val="28"/>
          <w:szCs w:val="28"/>
          <w:highlight w:val="none"/>
        </w:rPr>
        <w:t>供应商</w:t>
      </w:r>
      <w:r>
        <w:rPr>
          <w:rFonts w:hint="eastAsia"/>
          <w:color w:val="auto"/>
          <w:sz w:val="28"/>
          <w:szCs w:val="28"/>
          <w:highlight w:val="none"/>
        </w:rPr>
        <w:t>可为勘察目的进入采购人的项目现场，但</w:t>
      </w:r>
      <w:r>
        <w:rPr>
          <w:rFonts w:hint="eastAsia"/>
          <w:bCs/>
          <w:color w:val="auto"/>
          <w:sz w:val="28"/>
          <w:szCs w:val="28"/>
          <w:highlight w:val="none"/>
        </w:rPr>
        <w:t>供应商</w:t>
      </w:r>
      <w:r>
        <w:rPr>
          <w:rFonts w:hint="eastAsia"/>
          <w:color w:val="auto"/>
          <w:sz w:val="28"/>
          <w:szCs w:val="28"/>
          <w:highlight w:val="none"/>
        </w:rPr>
        <w:t>不得因此使采购人承担有关的责任和蒙受损失。</w:t>
      </w:r>
      <w:r>
        <w:rPr>
          <w:rFonts w:hint="eastAsia"/>
          <w:bCs/>
          <w:color w:val="auto"/>
          <w:sz w:val="28"/>
          <w:szCs w:val="28"/>
          <w:highlight w:val="none"/>
        </w:rPr>
        <w:t>供应商</w:t>
      </w:r>
      <w:r>
        <w:rPr>
          <w:rFonts w:hint="eastAsia"/>
          <w:color w:val="auto"/>
          <w:sz w:val="28"/>
          <w:szCs w:val="28"/>
          <w:highlight w:val="none"/>
        </w:rPr>
        <w:t>应承担勘察现场的责任和风险。各响应单位须指派专业人员到场参与踏勘，自备踏勘所需工具、设备，并全程佩戴个人安全防护用品，保障踏勘工作顺利开展与人身安全。</w:t>
      </w:r>
    </w:p>
    <w:p w14:paraId="1763B2E1">
      <w:pPr>
        <w:pStyle w:val="24"/>
        <w:shd w:val="clear" w:color="auto" w:fill="FFFFFF"/>
        <w:spacing w:before="0" w:beforeAutospacing="0" w:after="0" w:afterAutospacing="0" w:line="460" w:lineRule="exact"/>
        <w:ind w:firstLine="560" w:firstLineChars="200"/>
        <w:jc w:val="both"/>
        <w:rPr>
          <w:rFonts w:cs="Times New Roman"/>
          <w:color w:val="auto"/>
          <w:sz w:val="28"/>
          <w:szCs w:val="28"/>
          <w:highlight w:val="none"/>
        </w:rPr>
      </w:pPr>
      <w:r>
        <w:rPr>
          <w:rFonts w:hint="eastAsia"/>
          <w:color w:val="auto"/>
          <w:sz w:val="28"/>
          <w:szCs w:val="28"/>
          <w:highlight w:val="none"/>
        </w:rPr>
        <w:t>4.</w:t>
      </w:r>
      <w:r>
        <w:rPr>
          <w:rFonts w:hint="eastAsia" w:cs="Times New Roman"/>
          <w:color w:val="auto"/>
          <w:sz w:val="28"/>
          <w:szCs w:val="28"/>
          <w:highlight w:val="none"/>
        </w:rPr>
        <w:t>在现场勘察时，熟悉安装现场、现场周围交通道路等情况，以获得一切可能影响其响应的直接资料。</w:t>
      </w:r>
      <w:r>
        <w:rPr>
          <w:rFonts w:hint="eastAsia"/>
          <w:bCs/>
          <w:color w:val="auto"/>
          <w:sz w:val="28"/>
          <w:szCs w:val="28"/>
          <w:highlight w:val="none"/>
        </w:rPr>
        <w:t>供应商</w:t>
      </w:r>
      <w:r>
        <w:rPr>
          <w:rFonts w:hint="eastAsia" w:cs="Times New Roman"/>
          <w:color w:val="auto"/>
          <w:sz w:val="28"/>
          <w:szCs w:val="28"/>
          <w:highlight w:val="none"/>
        </w:rPr>
        <w:t>成交后，不得以不完全了解现场情况为理由而向采购人提出任何索赔的要求，对此采购人不承担任何责任并将不作任何答复与考虑。</w:t>
      </w:r>
    </w:p>
    <w:p w14:paraId="4E727493">
      <w:pPr>
        <w:pStyle w:val="24"/>
        <w:shd w:val="clear" w:color="auto" w:fill="FFFFFF"/>
        <w:spacing w:before="0" w:beforeAutospacing="0" w:after="0" w:afterAutospacing="0" w:line="460" w:lineRule="exact"/>
        <w:ind w:firstLine="560" w:firstLineChars="200"/>
        <w:jc w:val="both"/>
        <w:rPr>
          <w:rFonts w:cs="Times New Roman"/>
          <w:color w:val="auto"/>
          <w:sz w:val="28"/>
          <w:szCs w:val="28"/>
          <w:highlight w:val="none"/>
        </w:rPr>
      </w:pPr>
      <w:r>
        <w:rPr>
          <w:rFonts w:hint="eastAsia" w:cs="Times New Roman"/>
          <w:color w:val="auto"/>
          <w:sz w:val="28"/>
          <w:szCs w:val="28"/>
          <w:highlight w:val="none"/>
        </w:rPr>
        <w:t>5.踏勘时间：2026 年</w:t>
      </w:r>
      <w:r>
        <w:rPr>
          <w:rFonts w:hint="eastAsia" w:cs="Times New Roman"/>
          <w:color w:val="auto"/>
          <w:sz w:val="28"/>
          <w:szCs w:val="28"/>
          <w:highlight w:val="none"/>
          <w:lang w:val="en-US" w:eastAsia="zh-CN"/>
        </w:rPr>
        <w:t>7</w:t>
      </w:r>
      <w:r>
        <w:rPr>
          <w:rFonts w:hint="eastAsia" w:cs="Times New Roman"/>
          <w:color w:val="auto"/>
          <w:sz w:val="28"/>
          <w:szCs w:val="28"/>
          <w:highlight w:val="none"/>
        </w:rPr>
        <w:t>月</w:t>
      </w:r>
      <w:r>
        <w:rPr>
          <w:rFonts w:hint="eastAsia" w:cs="Times New Roman"/>
          <w:color w:val="auto"/>
          <w:sz w:val="28"/>
          <w:szCs w:val="28"/>
          <w:highlight w:val="none"/>
          <w:lang w:val="en-US" w:eastAsia="zh-CN"/>
        </w:rPr>
        <w:t>7</w:t>
      </w:r>
      <w:r>
        <w:rPr>
          <w:rFonts w:hint="eastAsia" w:cs="Times New Roman"/>
          <w:color w:val="auto"/>
          <w:sz w:val="28"/>
          <w:szCs w:val="28"/>
          <w:highlight w:val="none"/>
        </w:rPr>
        <w:t>日</w:t>
      </w:r>
      <w:r>
        <w:rPr>
          <w:rFonts w:hint="eastAsia" w:cs="Times New Roman"/>
          <w:color w:val="auto"/>
          <w:sz w:val="28"/>
          <w:szCs w:val="28"/>
          <w:highlight w:val="none"/>
          <w:lang w:val="en-US" w:eastAsia="zh-CN"/>
        </w:rPr>
        <w:t>-7月10日，上午</w:t>
      </w:r>
      <w:r>
        <w:rPr>
          <w:rFonts w:hint="eastAsia" w:cs="Times New Roman"/>
          <w:color w:val="auto"/>
          <w:sz w:val="28"/>
          <w:szCs w:val="28"/>
          <w:highlight w:val="none"/>
        </w:rPr>
        <w:t xml:space="preserve"> 9:30—11:00</w:t>
      </w:r>
    </w:p>
    <w:p w14:paraId="274B73F9">
      <w:pPr>
        <w:pStyle w:val="24"/>
        <w:shd w:val="clear" w:color="auto" w:fill="FFFFFF"/>
        <w:spacing w:before="0" w:beforeAutospacing="0" w:after="0" w:afterAutospacing="0" w:line="460" w:lineRule="exact"/>
        <w:ind w:firstLine="560" w:firstLineChars="200"/>
        <w:jc w:val="both"/>
        <w:rPr>
          <w:rFonts w:cs="Times New Roman"/>
          <w:color w:val="auto"/>
          <w:sz w:val="28"/>
          <w:szCs w:val="28"/>
          <w:highlight w:val="none"/>
        </w:rPr>
      </w:pPr>
      <w:r>
        <w:rPr>
          <w:rFonts w:hint="eastAsia" w:cs="Times New Roman"/>
          <w:color w:val="auto"/>
          <w:sz w:val="28"/>
          <w:szCs w:val="28"/>
          <w:highlight w:val="none"/>
        </w:rPr>
        <w:t>地点：南通职业大学交通学院汽车实训中心</w:t>
      </w:r>
    </w:p>
    <w:p w14:paraId="120F905F">
      <w:pPr>
        <w:ind w:firstLine="560" w:firstLineChars="200"/>
        <w:jc w:val="left"/>
        <w:rPr>
          <w:color w:val="auto"/>
          <w:sz w:val="28"/>
          <w:szCs w:val="28"/>
          <w:highlight w:val="none"/>
        </w:rPr>
      </w:pPr>
      <w:r>
        <w:rPr>
          <w:rFonts w:hint="eastAsia"/>
          <w:color w:val="auto"/>
          <w:sz w:val="28"/>
          <w:szCs w:val="28"/>
          <w:highlight w:val="none"/>
        </w:rPr>
        <w:t>联系人：陈琳   18761762638</w:t>
      </w:r>
    </w:p>
    <w:p w14:paraId="1176A5CE">
      <w:pPr>
        <w:pStyle w:val="24"/>
        <w:shd w:val="clear" w:color="auto" w:fill="FFFFFF"/>
        <w:spacing w:before="0" w:beforeAutospacing="0" w:after="0" w:afterAutospacing="0" w:line="460" w:lineRule="exact"/>
        <w:ind w:firstLine="560" w:firstLineChars="200"/>
        <w:jc w:val="both"/>
        <w:rPr>
          <w:rFonts w:cs="Times New Roman"/>
          <w:color w:val="auto"/>
          <w:sz w:val="28"/>
          <w:szCs w:val="28"/>
          <w:highlight w:val="none"/>
        </w:rPr>
      </w:pPr>
      <w:r>
        <w:rPr>
          <w:rFonts w:hint="eastAsia" w:cs="Times New Roman"/>
          <w:color w:val="auto"/>
          <w:sz w:val="28"/>
          <w:szCs w:val="28"/>
          <w:highlight w:val="none"/>
        </w:rPr>
        <w:t>供应商提供现场踏勘承诺函（格式见附件）。</w:t>
      </w:r>
    </w:p>
    <w:p w14:paraId="3D7F0A7D">
      <w:pPr>
        <w:tabs>
          <w:tab w:val="left" w:pos="5325"/>
        </w:tabs>
        <w:snapToGrid w:val="0"/>
        <w:spacing w:line="460" w:lineRule="exact"/>
        <w:ind w:firstLine="562" w:firstLineChars="200"/>
        <w:contextualSpacing/>
        <w:rPr>
          <w:rFonts w:ascii="宋体" w:hAnsi="宋体" w:cs="宋体"/>
          <w:b/>
          <w:color w:val="auto"/>
          <w:sz w:val="28"/>
          <w:szCs w:val="28"/>
          <w:highlight w:val="none"/>
          <w:lang w:val="zh-CN"/>
        </w:rPr>
      </w:pPr>
      <w:r>
        <w:rPr>
          <w:rFonts w:hint="eastAsia" w:ascii="宋体" w:hAnsi="宋体" w:cs="宋体"/>
          <w:b/>
          <w:color w:val="auto"/>
          <w:sz w:val="28"/>
          <w:szCs w:val="28"/>
          <w:highlight w:val="none"/>
        </w:rPr>
        <w:t>六、</w:t>
      </w:r>
      <w:r>
        <w:rPr>
          <w:rFonts w:hint="eastAsia" w:ascii="宋体" w:hAnsi="宋体" w:cs="宋体"/>
          <w:b/>
          <w:color w:val="auto"/>
          <w:sz w:val="28"/>
          <w:szCs w:val="28"/>
          <w:highlight w:val="none"/>
          <w:lang w:val="zh-CN"/>
        </w:rPr>
        <w:t>履约保证金</w:t>
      </w:r>
    </w:p>
    <w:p w14:paraId="231988A4">
      <w:pPr>
        <w:tabs>
          <w:tab w:val="left" w:pos="5325"/>
        </w:tabs>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1、本项目成交后的履约保证金为</w:t>
      </w:r>
      <w:r>
        <w:rPr>
          <w:rFonts w:hint="eastAsia" w:ascii="宋体" w:hAnsi="宋体" w:cs="宋体"/>
          <w:color w:val="auto"/>
          <w:sz w:val="28"/>
          <w:szCs w:val="28"/>
          <w:highlight w:val="none"/>
          <w:lang w:eastAsia="zh-Hans"/>
        </w:rPr>
        <w:t>成交价的</w:t>
      </w:r>
      <w:r>
        <w:rPr>
          <w:rFonts w:hint="eastAsia" w:ascii="宋体" w:hAnsi="宋体" w:cs="宋体"/>
          <w:color w:val="auto"/>
          <w:sz w:val="28"/>
          <w:szCs w:val="28"/>
          <w:highlight w:val="none"/>
        </w:rPr>
        <w:t>10</w:t>
      </w:r>
      <w:r>
        <w:rPr>
          <w:rFonts w:hint="eastAsia" w:ascii="宋体" w:hAnsi="宋体" w:cs="宋体"/>
          <w:color w:val="auto"/>
          <w:sz w:val="28"/>
          <w:szCs w:val="28"/>
          <w:highlight w:val="none"/>
          <w:lang w:eastAsia="zh-Hans"/>
        </w:rPr>
        <w:t>%</w:t>
      </w:r>
      <w:r>
        <w:rPr>
          <w:rFonts w:hint="eastAsia" w:ascii="宋体" w:hAnsi="宋体" w:cs="宋体"/>
          <w:color w:val="auto"/>
          <w:sz w:val="28"/>
          <w:szCs w:val="28"/>
          <w:highlight w:val="none"/>
        </w:rPr>
        <w:t>。</w:t>
      </w:r>
    </w:p>
    <w:p w14:paraId="38A7EA8F">
      <w:pPr>
        <w:tabs>
          <w:tab w:val="left" w:pos="5325"/>
        </w:tabs>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2、成交供应商</w:t>
      </w:r>
      <w:r>
        <w:rPr>
          <w:rFonts w:hint="eastAsia" w:ascii="宋体" w:hAnsi="宋体" w:cs="宋体"/>
          <w:color w:val="auto"/>
          <w:sz w:val="28"/>
          <w:szCs w:val="28"/>
          <w:highlight w:val="none"/>
          <w:lang w:eastAsia="zh-Hans"/>
        </w:rPr>
        <w:t>于合同签订前</w:t>
      </w:r>
      <w:r>
        <w:rPr>
          <w:rFonts w:hint="eastAsia" w:ascii="宋体" w:hAnsi="宋体" w:cs="宋体"/>
          <w:color w:val="auto"/>
          <w:sz w:val="28"/>
          <w:szCs w:val="28"/>
          <w:highlight w:val="none"/>
        </w:rPr>
        <w:t>，转入采购人账户。经采购人考核，合同期满，无息一次性返还。</w:t>
      </w:r>
    </w:p>
    <w:p w14:paraId="236206CE">
      <w:pPr>
        <w:tabs>
          <w:tab w:val="left" w:pos="5325"/>
        </w:tabs>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3、成交供应商在成交通知书发出之日起5个工作日内，凭“成交通知书”和“履约保证金”的缴纳凭证，与采购人签订合同，超期或未有协商，则视为自动放弃成交资格。</w:t>
      </w:r>
    </w:p>
    <w:p w14:paraId="450E2D7D">
      <w:pPr>
        <w:tabs>
          <w:tab w:val="left" w:pos="5325"/>
        </w:tabs>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4、成交供应商在按要求保质保量的完成该项目合同并通过验收后，采购人凭成交供应商提交的申请，一次性无息退还该合同项目的履约保证金。</w:t>
      </w:r>
    </w:p>
    <w:p w14:paraId="18512810">
      <w:pPr>
        <w:tabs>
          <w:tab w:val="left" w:pos="5325"/>
        </w:tabs>
        <w:snapToGrid w:val="0"/>
        <w:spacing w:line="460" w:lineRule="exact"/>
        <w:ind w:firstLine="560" w:firstLineChars="200"/>
        <w:contextualSpacing/>
        <w:rPr>
          <w:color w:val="auto"/>
          <w:highlight w:val="none"/>
        </w:rPr>
      </w:pPr>
      <w:r>
        <w:rPr>
          <w:rFonts w:hint="eastAsia" w:ascii="宋体" w:hAnsi="宋体" w:cs="宋体"/>
          <w:color w:val="auto"/>
          <w:sz w:val="28"/>
          <w:szCs w:val="28"/>
          <w:highlight w:val="none"/>
        </w:rPr>
        <w:t>5、由于成交供应商原因，在签订合同后出现不按合同履行的情况，采购单位有权将履约保证金作为违约金，全额不予退还，同时采购单位亦有权终止合同，成交供应商还须承担相应的法律赔偿责任。</w:t>
      </w:r>
    </w:p>
    <w:p w14:paraId="63596369">
      <w:pPr>
        <w:spacing w:line="460" w:lineRule="exact"/>
        <w:ind w:firstLine="560" w:firstLineChars="200"/>
        <w:rPr>
          <w:rFonts w:ascii="宋体" w:hAnsi="宋体" w:cs="宋体"/>
          <w:color w:val="auto"/>
          <w:sz w:val="28"/>
          <w:szCs w:val="28"/>
          <w:highlight w:val="none"/>
        </w:rPr>
      </w:pPr>
    </w:p>
    <w:p w14:paraId="2956847E">
      <w:pPr>
        <w:pStyle w:val="70"/>
        <w:rPr>
          <w:b/>
          <w:bCs/>
          <w:color w:val="auto"/>
          <w:sz w:val="30"/>
          <w:szCs w:val="30"/>
          <w:highlight w:val="none"/>
        </w:rPr>
        <w:sectPr>
          <w:headerReference r:id="rId3" w:type="default"/>
          <w:footerReference r:id="rId4" w:type="default"/>
          <w:pgSz w:w="11907" w:h="16839"/>
          <w:pgMar w:top="1440" w:right="1803" w:bottom="1440" w:left="1803" w:header="720" w:footer="720" w:gutter="0"/>
          <w:cols w:space="720" w:num="1"/>
          <w:docGrid w:linePitch="286" w:charSpace="0"/>
        </w:sectPr>
      </w:pPr>
      <w:r>
        <w:rPr>
          <w:rFonts w:hint="eastAsia"/>
          <w:b/>
          <w:bCs/>
          <w:color w:val="auto"/>
          <w:sz w:val="30"/>
          <w:szCs w:val="30"/>
          <w:highlight w:val="none"/>
        </w:rPr>
        <w:t xml:space="preserve">            </w:t>
      </w:r>
    </w:p>
    <w:p w14:paraId="578B5183">
      <w:pPr>
        <w:pStyle w:val="70"/>
        <w:jc w:val="center"/>
        <w:rPr>
          <w:rFonts w:cs="宋体"/>
          <w:b/>
          <w:color w:val="auto"/>
          <w:sz w:val="32"/>
          <w:szCs w:val="32"/>
          <w:highlight w:val="none"/>
        </w:rPr>
      </w:pPr>
      <w:r>
        <w:rPr>
          <w:rFonts w:hint="eastAsia" w:cs="宋体"/>
          <w:b/>
          <w:color w:val="auto"/>
          <w:sz w:val="36"/>
          <w:szCs w:val="36"/>
          <w:highlight w:val="none"/>
        </w:rPr>
        <w:t>第四部分 评审方法和评审标准</w:t>
      </w:r>
    </w:p>
    <w:p w14:paraId="1731D8C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E91BA7A">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0FED36BC">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7C93DE71">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52B9B6AC">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023FC1A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275E74C9">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3AC0A02E">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6D29F8FC">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47E83692">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52072306">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348E65A7">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69EFDD90">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066A0DA2">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5A4B912">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rPr>
        <w:t>75</w:t>
      </w:r>
      <w:r>
        <w:rPr>
          <w:rFonts w:hint="eastAsia" w:ascii="宋体" w:hAnsi="宋体" w:cs="宋体"/>
          <w:color w:val="auto"/>
          <w:sz w:val="28"/>
          <w:szCs w:val="28"/>
          <w:highlight w:val="none"/>
          <w:lang w:val="zh-CN"/>
        </w:rPr>
        <w:t>分</w:t>
      </w:r>
    </w:p>
    <w:p w14:paraId="05F7B399">
      <w:pPr>
        <w:adjustRightInd w:val="0"/>
        <w:snapToGrid w:val="0"/>
        <w:spacing w:line="460" w:lineRule="exact"/>
        <w:ind w:firstLine="700" w:firstLineChars="250"/>
        <w:jc w:val="left"/>
        <w:rPr>
          <w:rFonts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1055"/>
        <w:gridCol w:w="6068"/>
      </w:tblGrid>
      <w:tr w14:paraId="0528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blHeader/>
          <w:jc w:val="center"/>
        </w:trPr>
        <w:tc>
          <w:tcPr>
            <w:tcW w:w="1268" w:type="dxa"/>
            <w:tcBorders>
              <w:top w:val="single" w:color="auto" w:sz="4" w:space="0"/>
              <w:left w:val="single" w:color="auto" w:sz="4" w:space="0"/>
              <w:bottom w:val="single" w:color="auto" w:sz="4" w:space="0"/>
              <w:right w:val="single" w:color="auto" w:sz="4" w:space="0"/>
            </w:tcBorders>
            <w:vAlign w:val="center"/>
          </w:tcPr>
          <w:p w14:paraId="763819EF">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评审因素</w:t>
            </w:r>
          </w:p>
        </w:tc>
        <w:tc>
          <w:tcPr>
            <w:tcW w:w="836" w:type="dxa"/>
            <w:tcBorders>
              <w:top w:val="single" w:color="auto" w:sz="4" w:space="0"/>
              <w:left w:val="single" w:color="auto" w:sz="4" w:space="0"/>
              <w:bottom w:val="single" w:color="auto" w:sz="4" w:space="0"/>
              <w:right w:val="single" w:color="auto" w:sz="4" w:space="0"/>
            </w:tcBorders>
            <w:vAlign w:val="center"/>
          </w:tcPr>
          <w:p w14:paraId="5F6479A9">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分值</w:t>
            </w:r>
          </w:p>
        </w:tc>
        <w:tc>
          <w:tcPr>
            <w:tcW w:w="6413" w:type="dxa"/>
            <w:tcBorders>
              <w:top w:val="single" w:color="auto" w:sz="4" w:space="0"/>
              <w:left w:val="single" w:color="auto" w:sz="4" w:space="0"/>
              <w:bottom w:val="single" w:color="auto" w:sz="4" w:space="0"/>
              <w:right w:val="single" w:color="auto" w:sz="4" w:space="0"/>
            </w:tcBorders>
            <w:vAlign w:val="center"/>
          </w:tcPr>
          <w:p w14:paraId="0E00B9E2">
            <w:pPr>
              <w:ind w:firstLine="562" w:firstLineChars="20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评分要求</w:t>
            </w:r>
          </w:p>
        </w:tc>
      </w:tr>
      <w:tr w14:paraId="2CE9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559CB97">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供应商</w:t>
            </w:r>
          </w:p>
          <w:p w14:paraId="646DE9CA">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业绩</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701FA148">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7FDDED3D">
            <w:pPr>
              <w:spacing w:line="3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提供2023年1月1日以来（以合同签订时间为准）承接各类教学仪器、实训设备采购或安装或搬迁、转运项目。每提供一份有效业绩得3分，最高15分。</w:t>
            </w:r>
          </w:p>
          <w:p w14:paraId="42F31527">
            <w:pPr>
              <w:spacing w:line="3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需提供合同复印件并加盖供应商公章，无任何业绩材料本项得 0 分，原件备查。</w:t>
            </w:r>
          </w:p>
        </w:tc>
      </w:tr>
      <w:tr w14:paraId="511B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EDB8AF5">
            <w:pPr>
              <w:spacing w:line="340" w:lineRule="exact"/>
              <w:jc w:val="center"/>
              <w:rPr>
                <w:rFonts w:ascii="宋体" w:hAnsi="宋体" w:cs="宋体"/>
                <w:color w:val="auto"/>
                <w:sz w:val="24"/>
                <w:highlight w:val="none"/>
              </w:rPr>
            </w:pPr>
            <w:r>
              <w:rPr>
                <w:rFonts w:ascii="宋体" w:hAnsi="宋体" w:cs="宋体"/>
                <w:color w:val="auto"/>
                <w:sz w:val="24"/>
                <w:highlight w:val="none"/>
              </w:rPr>
              <w:t>原厂设备技术支持能力</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3D50A07E">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49986C8F">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1.质保期内品牌（捷安高科 2023 批次、意昂神州、朗仁 XTOOL、世达 SATA、格瑞斯新能源，共 5 个品牌）计分要求：提供对应品牌原厂加盖公章的《设备原厂技术支持承诺函》（格式见附件）方可得分，单个品牌材料齐全得 2 分；无原厂盖章承诺函不予计分。 原厂文件需明确载明供应商可开展该品牌设备拆机、转运、重装校准、系统恢复、质保延续相关服务，并包含三项原厂兜底保障：（1）项目实施期间对应品牌原厂 7×24 小时远程技术支撑；（2）搬迁施工后设备原厂质保权益不受搬迁操作影响；（3）若因拆装调试导致设备故障，由原厂配合免费维修、参数重置、系统重装。复印件加盖供应商公章，原件备查。 </w:t>
            </w:r>
          </w:p>
          <w:p w14:paraId="0BDD704C">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2.已过质保期品牌（捷安高科 2021 批次、风向标、行云新能 INWINIC，共 3 个品牌）计分规则二选一，满足其一即可单个品牌得 2 分：</w:t>
            </w:r>
          </w:p>
          <w:p w14:paraId="2CF08D4F">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方式①提供对应品牌原厂加盖公章的《设备原厂技术支持承诺函》（格式见附件）；</w:t>
            </w:r>
          </w:p>
          <w:p w14:paraId="5755D94B">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方式②供应商出具加盖公章的专项承诺函，承诺自身具备该品牌原厂技术对接渠道、原厂工程师技术资源，可全程提供原厂标准拆装、标定、系统调试技术支撑，搬迁故障可协调原厂免费提供技术解决方案； </w:t>
            </w:r>
          </w:p>
          <w:p w14:paraId="21FFA363">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承诺内容不实的，一经查实直接取消成交资格并承担全部设备维修损失。 </w:t>
            </w:r>
          </w:p>
          <w:p w14:paraId="6E468121">
            <w:pPr>
              <w:spacing w:line="340" w:lineRule="exact"/>
              <w:ind w:firstLine="480" w:firstLineChars="200"/>
              <w:rPr>
                <w:rFonts w:ascii="宋体" w:hAnsi="宋体" w:cs="宋体"/>
                <w:color w:val="auto"/>
                <w:sz w:val="24"/>
                <w:highlight w:val="none"/>
              </w:rPr>
            </w:pPr>
            <w:r>
              <w:rPr>
                <w:rFonts w:ascii="宋体" w:hAnsi="宋体" w:cs="宋体"/>
                <w:color w:val="auto"/>
                <w:sz w:val="24"/>
                <w:highlight w:val="none"/>
              </w:rPr>
              <w:t>3.总分核算规则：单个品牌满分</w:t>
            </w:r>
            <w:r>
              <w:rPr>
                <w:rFonts w:hint="eastAsia" w:ascii="宋体" w:hAnsi="宋体" w:cs="宋体"/>
                <w:color w:val="auto"/>
                <w:sz w:val="24"/>
                <w:highlight w:val="none"/>
              </w:rPr>
              <w:t>2</w:t>
            </w:r>
            <w:r>
              <w:rPr>
                <w:rFonts w:ascii="宋体" w:hAnsi="宋体" w:cs="宋体"/>
                <w:color w:val="auto"/>
                <w:sz w:val="24"/>
                <w:highlight w:val="none"/>
              </w:rPr>
              <w:t>分，8 个品牌分项合计最高 16 分，本项满分 1</w:t>
            </w:r>
            <w:r>
              <w:rPr>
                <w:rFonts w:hint="eastAsia" w:ascii="宋体" w:hAnsi="宋体" w:cs="宋体"/>
                <w:color w:val="auto"/>
                <w:sz w:val="24"/>
                <w:highlight w:val="none"/>
              </w:rPr>
              <w:t>6</w:t>
            </w:r>
            <w:r>
              <w:rPr>
                <w:rFonts w:ascii="宋体" w:hAnsi="宋体" w:cs="宋体"/>
                <w:color w:val="auto"/>
                <w:sz w:val="24"/>
                <w:highlight w:val="none"/>
              </w:rPr>
              <w:t>分。</w:t>
            </w:r>
          </w:p>
        </w:tc>
      </w:tr>
      <w:tr w14:paraId="530D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B087F90">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拟派人员</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065C01D">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6B95ACE3">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供应商或质保期内品牌方拟派人员具有维修电工技能等级证书，每提供1名人员，得</w:t>
            </w:r>
            <w:r>
              <w:rPr>
                <w:rFonts w:ascii="宋体" w:hAnsi="宋体" w:cs="宋体"/>
                <w:color w:val="auto"/>
                <w:sz w:val="24"/>
                <w:highlight w:val="none"/>
              </w:rPr>
              <w:t>2</w:t>
            </w:r>
            <w:r>
              <w:rPr>
                <w:rFonts w:hint="eastAsia" w:ascii="宋体" w:hAnsi="宋体" w:cs="宋体"/>
                <w:color w:val="auto"/>
                <w:sz w:val="24"/>
                <w:highlight w:val="none"/>
              </w:rPr>
              <w:t>分，满分4分。</w:t>
            </w:r>
          </w:p>
          <w:p w14:paraId="405FA179">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需提供人员有效证书复印件和供应商或质保期内品牌方为其缴纳的</w:t>
            </w:r>
            <w:bookmarkStart w:id="90" w:name="_GoBack"/>
            <w:bookmarkEnd w:id="90"/>
            <w:r>
              <w:rPr>
                <w:rFonts w:hint="eastAsia" w:ascii="宋体" w:hAnsi="宋体" w:cs="宋体"/>
                <w:color w:val="auto"/>
                <w:sz w:val="24"/>
                <w:highlight w:val="none"/>
              </w:rPr>
              <w:t>2026年度任一月份社保记录或签订的有效期内劳动合同复印件，加盖供应商公章。</w:t>
            </w:r>
          </w:p>
        </w:tc>
      </w:tr>
      <w:tr w14:paraId="48EF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A033FE6">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搬迁实施方案</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DFA5374">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5DE6A07D">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针对本项目，指定详细实施方案，内容至少包含与采购人沟通机制、人员设备车辆配置、按设备及物品种类拆卸封装、运输保障、搬运计划排定、进度管理等方面的内容。</w:t>
            </w:r>
          </w:p>
          <w:p w14:paraId="739BF31A">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1．沟通机制健全，前期摸排全面，对接高效顺畅，搬迁计划细致科学，分区分类安排合理，错峰搬运贴合实际，进度管控严密，节点清晰，方案完整成熟，可操作性极强，得10分；</w:t>
            </w:r>
          </w:p>
          <w:p w14:paraId="0D50A4E6">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2．沟通对接顺畅，可对接落实基本需求，搬迁计划框架完整，整体排布有序，具备基础进度管控，能按期完成搬迁，方案满足项目正常实施要求，得7分；</w:t>
            </w:r>
          </w:p>
          <w:p w14:paraId="7D657E36">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3．仅被动对接需求，前期统筹不足，搬迁计划简略笼统，分区分工不够清晰，进度管控粗略，无细化节点，仅能满足基础搬迁作业，得3分；</w:t>
            </w:r>
          </w:p>
          <w:p w14:paraId="76A5FE28">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4．无有效沟通对接，未掌握项目实际需求，无系统搬迁实施计划，人员、工期、流程无统筹，无进度管理措施，方案空洞无序，无法保障正常搬迁需求，未提供，得0分。</w:t>
            </w:r>
          </w:p>
        </w:tc>
      </w:tr>
      <w:tr w14:paraId="760D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9C75E83">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专业设备安装调试技术方案</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1E874226">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67A480ED">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供应商针对本项目搬迁涉及的相关专业设备制定安装调试技术方案，方案包含设备技术特点，仪器、设备等配备、专业技术人员等保障措施等内容：</w:t>
            </w:r>
          </w:p>
          <w:p w14:paraId="2AC538E5">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1.方案具体详细、内容完整，各项措施详实，具有针对性、科学合理，措施具体、可操作性强，得10分； </w:t>
            </w:r>
          </w:p>
          <w:p w14:paraId="5015F827">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2.方案比较具体详细、内容基本完整，各项措施较详实，基本具有针对性、比较科学合理，措施比较具体、可操作性比较强，得6分； </w:t>
            </w:r>
          </w:p>
          <w:p w14:paraId="348967C3">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3.方案不具体详细、内容不完整，保障措施不到位，可操作性不强，得2分； </w:t>
            </w:r>
          </w:p>
          <w:p w14:paraId="585273E7">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未提供不得分。</w:t>
            </w:r>
          </w:p>
        </w:tc>
      </w:tr>
      <w:tr w14:paraId="614B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D93A467">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安全措施</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75C86853">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3245903A">
            <w:pPr>
              <w:spacing w:line="32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安全措施至少从物品运输保险防护、人员防护、现场安全管理制度、拆装调试设备损坏风险兜底赔付方案四方面设计安全措施。 </w:t>
            </w:r>
          </w:p>
          <w:p w14:paraId="3295EA46">
            <w:pPr>
              <w:spacing w:line="32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1．安全管理制度齐全，人员防护、现场围挡、运输保险完整、设备拆装损坏赔付方案清晰足额，风险点位全覆盖，防护严谨到位，得 6 分； </w:t>
            </w:r>
          </w:p>
          <w:p w14:paraId="24BEA10E">
            <w:pPr>
              <w:spacing w:line="32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2. 具备完善安全作业措施，运输保险齐全，基础设备损坏赔付方案合理，整体安全保障到位，得 4 分； </w:t>
            </w:r>
          </w:p>
          <w:p w14:paraId="670E2928">
            <w:pPr>
              <w:spacing w:line="320" w:lineRule="exact"/>
              <w:ind w:firstLine="480" w:firstLineChars="200"/>
              <w:rPr>
                <w:rFonts w:ascii="宋体" w:hAnsi="宋体" w:cs="宋体"/>
                <w:color w:val="auto"/>
                <w:sz w:val="24"/>
                <w:highlight w:val="none"/>
              </w:rPr>
            </w:pPr>
            <w:r>
              <w:rPr>
                <w:rFonts w:ascii="宋体" w:hAnsi="宋体" w:cs="宋体"/>
                <w:color w:val="auto"/>
                <w:sz w:val="24"/>
                <w:highlight w:val="none"/>
              </w:rPr>
              <w:t xml:space="preserve">3. 仅有基础安全常识，防护措施简单片面，无专项拆装设备损坏赔付预案，安全管控不够全面，2 分； </w:t>
            </w:r>
          </w:p>
          <w:p w14:paraId="2AC94580">
            <w:pPr>
              <w:spacing w:line="320" w:lineRule="exact"/>
              <w:ind w:firstLine="480" w:firstLineChars="200"/>
              <w:rPr>
                <w:rFonts w:ascii="宋体" w:hAnsi="宋体" w:cs="宋体"/>
                <w:color w:val="auto"/>
                <w:sz w:val="24"/>
                <w:highlight w:val="none"/>
              </w:rPr>
            </w:pPr>
            <w:r>
              <w:rPr>
                <w:rFonts w:ascii="宋体" w:hAnsi="宋体" w:cs="宋体"/>
                <w:color w:val="auto"/>
                <w:sz w:val="24"/>
                <w:highlight w:val="none"/>
              </w:rPr>
              <w:t>4. 无可落地安全措施、未投保运输财产险或无设备损坏兜底方案，不得分。</w:t>
            </w:r>
          </w:p>
        </w:tc>
      </w:tr>
      <w:tr w14:paraId="24E5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2A2F1AD">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应急预案</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C4AA114">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6413" w:type="dxa"/>
            <w:tcBorders>
              <w:top w:val="single" w:color="auto" w:sz="4" w:space="0"/>
              <w:left w:val="single" w:color="auto" w:sz="4" w:space="0"/>
              <w:bottom w:val="single" w:color="auto" w:sz="4" w:space="0"/>
              <w:right w:val="single" w:color="auto" w:sz="4" w:space="0"/>
            </w:tcBorders>
            <w:shd w:val="clear" w:color="auto" w:fill="auto"/>
            <w:vAlign w:val="center"/>
          </w:tcPr>
          <w:p w14:paraId="2130D718">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为本项目制定详细的应急预案，至少涵盖人员受伤、设备损毁、恶劣天气、现场突发状况等内容。</w:t>
            </w:r>
          </w:p>
          <w:p w14:paraId="318282A5">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1.应急预案体系完整，处置流程清晰、分工明确、响应迅速、可直接落地执行，得6分；</w:t>
            </w:r>
          </w:p>
          <w:p w14:paraId="64C53CCE">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2.应急预案齐全，覆盖主要常见突发事件，处置流程规范，可有效处置各类常规突发情况，得4分；</w:t>
            </w:r>
          </w:p>
          <w:p w14:paraId="63E6C5D7">
            <w:pPr>
              <w:spacing w:line="3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3.应急预案内容简略，覆盖场景较少，处置流程简单，应急处置能力弱，得2分。</w:t>
            </w:r>
          </w:p>
          <w:p w14:paraId="1D0A3564">
            <w:pPr>
              <w:pStyle w:val="10"/>
              <w:ind w:firstLine="480" w:firstLineChars="200"/>
              <w:rPr>
                <w:color w:val="auto"/>
                <w:highlight w:val="none"/>
              </w:rPr>
            </w:pPr>
            <w:r>
              <w:rPr>
                <w:rFonts w:hint="eastAsia" w:ascii="宋体" w:hAnsi="宋体" w:cs="宋体"/>
                <w:color w:val="auto"/>
                <w:sz w:val="24"/>
                <w:highlight w:val="none"/>
              </w:rPr>
              <w:t>4.未提供不得分。</w:t>
            </w:r>
          </w:p>
        </w:tc>
      </w:tr>
      <w:tr w14:paraId="7788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1268" w:type="dxa"/>
            <w:tcBorders>
              <w:top w:val="single" w:color="auto" w:sz="4" w:space="0"/>
              <w:left w:val="single" w:color="auto" w:sz="4" w:space="0"/>
              <w:bottom w:val="single" w:color="auto" w:sz="4" w:space="0"/>
              <w:right w:val="single" w:color="auto" w:sz="4" w:space="0"/>
            </w:tcBorders>
            <w:vAlign w:val="center"/>
          </w:tcPr>
          <w:p w14:paraId="5799F56B">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服务承诺</w:t>
            </w:r>
          </w:p>
        </w:tc>
        <w:tc>
          <w:tcPr>
            <w:tcW w:w="836" w:type="dxa"/>
            <w:tcBorders>
              <w:top w:val="single" w:color="auto" w:sz="4" w:space="0"/>
              <w:left w:val="single" w:color="auto" w:sz="4" w:space="0"/>
              <w:bottom w:val="single" w:color="auto" w:sz="4" w:space="0"/>
              <w:right w:val="single" w:color="auto" w:sz="4" w:space="0"/>
            </w:tcBorders>
            <w:vAlign w:val="center"/>
          </w:tcPr>
          <w:p w14:paraId="253EC456">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6413" w:type="dxa"/>
            <w:tcBorders>
              <w:top w:val="single" w:color="auto" w:sz="4" w:space="0"/>
              <w:left w:val="single" w:color="auto" w:sz="4" w:space="0"/>
              <w:bottom w:val="single" w:color="auto" w:sz="4" w:space="0"/>
              <w:right w:val="single" w:color="auto" w:sz="4" w:space="0"/>
            </w:tcBorders>
            <w:vAlign w:val="center"/>
          </w:tcPr>
          <w:p w14:paraId="4801AB63">
            <w:pPr>
              <w:spacing w:line="3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供应商满足1小时内现场服务响应时间得3分；满足2小时内现场服务响应时间得1分；超过2小时不得分。</w:t>
            </w:r>
          </w:p>
          <w:p w14:paraId="14034481">
            <w:pPr>
              <w:spacing w:line="34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磋商时须提供相关承诺及供应商服务场所地址至采购人处（南通职业大学钟秀校区）导航截图并加盖供应商公章，不得提供虚假材料，否则按相关规定处理。</w:t>
            </w:r>
          </w:p>
        </w:tc>
      </w:tr>
      <w:tr w14:paraId="518E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1268" w:type="dxa"/>
            <w:tcBorders>
              <w:top w:val="single" w:color="auto" w:sz="4" w:space="0"/>
              <w:left w:val="single" w:color="auto" w:sz="4" w:space="0"/>
              <w:bottom w:val="single" w:color="auto" w:sz="4" w:space="0"/>
              <w:right w:val="single" w:color="auto" w:sz="4" w:space="0"/>
            </w:tcBorders>
            <w:vAlign w:val="center"/>
          </w:tcPr>
          <w:p w14:paraId="67B3BD8F">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巡检次数</w:t>
            </w:r>
          </w:p>
        </w:tc>
        <w:tc>
          <w:tcPr>
            <w:tcW w:w="836" w:type="dxa"/>
            <w:tcBorders>
              <w:top w:val="single" w:color="auto" w:sz="4" w:space="0"/>
              <w:left w:val="single" w:color="auto" w:sz="4" w:space="0"/>
              <w:bottom w:val="single" w:color="auto" w:sz="4" w:space="0"/>
              <w:right w:val="single" w:color="auto" w:sz="4" w:space="0"/>
            </w:tcBorders>
            <w:vAlign w:val="center"/>
          </w:tcPr>
          <w:p w14:paraId="4DD63A91">
            <w:pPr>
              <w:spacing w:line="34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6413" w:type="dxa"/>
            <w:tcBorders>
              <w:top w:val="single" w:color="auto" w:sz="4" w:space="0"/>
              <w:left w:val="single" w:color="auto" w:sz="4" w:space="0"/>
              <w:bottom w:val="single" w:color="auto" w:sz="4" w:space="0"/>
              <w:right w:val="single" w:color="auto" w:sz="4" w:space="0"/>
            </w:tcBorders>
            <w:vAlign w:val="center"/>
          </w:tcPr>
          <w:p w14:paraId="206522A0">
            <w:pPr>
              <w:spacing w:line="3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根据供应商承诺的搬迁后一年内提供巡检次数进行评价：年巡检次数每有一次得1分，本项最高得5分。</w:t>
            </w:r>
          </w:p>
          <w:p w14:paraId="266E3078">
            <w:pPr>
              <w:spacing w:line="34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磋商时须提供承诺并加盖供应商公章，否则不得分。</w:t>
            </w:r>
          </w:p>
        </w:tc>
      </w:tr>
      <w:tr w14:paraId="21C46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8517" w:type="dxa"/>
            <w:gridSpan w:val="3"/>
            <w:tcBorders>
              <w:top w:val="single" w:color="auto" w:sz="4" w:space="0"/>
              <w:left w:val="single" w:color="auto" w:sz="4" w:space="0"/>
              <w:bottom w:val="single" w:color="auto" w:sz="4" w:space="0"/>
              <w:right w:val="single" w:color="auto" w:sz="4" w:space="0"/>
            </w:tcBorders>
            <w:vAlign w:val="center"/>
          </w:tcPr>
          <w:tbl>
            <w:tblPr>
              <w:tblStyle w:val="29"/>
              <w:tblW w:w="849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1"/>
            </w:tblGrid>
            <w:tr w14:paraId="40E6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491" w:type="dxa"/>
                  <w:tcBorders>
                    <w:top w:val="single" w:color="auto" w:sz="4" w:space="0"/>
                    <w:left w:val="single" w:color="auto" w:sz="4" w:space="0"/>
                    <w:bottom w:val="single" w:color="auto" w:sz="4" w:space="0"/>
                    <w:right w:val="single" w:color="auto" w:sz="4" w:space="0"/>
                  </w:tcBorders>
                  <w:vAlign w:val="center"/>
                </w:tcPr>
                <w:p w14:paraId="4D750DAB">
                  <w:pPr>
                    <w:ind w:left="210" w:leftChars="100" w:right="210" w:rightChars="100" w:firstLine="480" w:firstLineChars="200"/>
                    <w:rPr>
                      <w:rFonts w:ascii="宋体" w:hAnsi="宋体" w:cs="宋体"/>
                      <w:color w:val="auto"/>
                      <w:sz w:val="24"/>
                      <w:highlight w:val="none"/>
                    </w:rPr>
                  </w:pPr>
                  <w:r>
                    <w:rPr>
                      <w:rFonts w:hint="eastAsia"/>
                      <w:color w:val="auto"/>
                      <w:sz w:val="24"/>
                      <w:highlight w:val="none"/>
                    </w:rPr>
                    <w:t>备注：以上要求提供的所有佐证资质材料（包含但不限于原厂承诺、服务认证证书、截图、文字说明等），在成交后签订合同前必须由原生产厂家和成交供应商一起盖章后提交采购人确认，不能提供或有意拖延则视为非实质性响应，将取消其成交资格，供应商将承担一切后果与责任。</w:t>
                  </w:r>
                </w:p>
              </w:tc>
            </w:tr>
          </w:tbl>
          <w:p w14:paraId="137FED75">
            <w:pPr>
              <w:spacing w:line="340" w:lineRule="exact"/>
              <w:ind w:firstLine="480" w:firstLineChars="200"/>
              <w:rPr>
                <w:rFonts w:ascii="宋体" w:hAnsi="宋体" w:cs="宋体"/>
                <w:color w:val="auto"/>
                <w:sz w:val="24"/>
                <w:highlight w:val="none"/>
              </w:rPr>
            </w:pPr>
          </w:p>
        </w:tc>
      </w:tr>
    </w:tbl>
    <w:p w14:paraId="33F3AA66">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rPr>
        <w:t>25</w:t>
      </w:r>
      <w:r>
        <w:rPr>
          <w:rFonts w:hint="eastAsia" w:ascii="宋体" w:hAnsi="宋体" w:cs="宋体"/>
          <w:color w:val="auto"/>
          <w:sz w:val="28"/>
          <w:szCs w:val="28"/>
          <w:highlight w:val="none"/>
          <w:lang w:val="zh-CN"/>
        </w:rPr>
        <w:t>分</w:t>
      </w:r>
    </w:p>
    <w:p w14:paraId="11A4404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价格分统一采用低价优先法计算，即满足磋商文件要求且最后报价（折扣率）最低的供应商的价格为磋商基准价，其价格分为满分。其他供应商的价格分统一按照下列公式计算：</w:t>
      </w:r>
    </w:p>
    <w:p w14:paraId="4F54164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磋商报价得分=（磋商基准价/最后磋商报价）×25</w:t>
      </w:r>
    </w:p>
    <w:p w14:paraId="460F207D">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429CD43A">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4F205B4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4510F438">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02959A4D">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现场不对响应报价进行唱标，直接由磋商小组评审，最终公布成交价。</w:t>
      </w:r>
    </w:p>
    <w:p w14:paraId="07664126">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687B2B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自确定成交供应商之日起2个工作日内，在南通职业大学网站公告成交结果，公告期限为1个工作日。</w:t>
      </w:r>
    </w:p>
    <w:p w14:paraId="52D346E3">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371991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58DCA4B6">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245B11BB">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024C1B2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09C5CBD2">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当成交候选人放弃成交、因不可抗力不能履行合同，或者被查实存在影响成交结果的违法行为等情形，不符合成交条件的，采购人重新采购。</w:t>
      </w:r>
    </w:p>
    <w:p w14:paraId="70BDB474">
      <w:pPr>
        <w:adjustRightInd w:val="0"/>
        <w:snapToGrid w:val="0"/>
        <w:spacing w:line="360" w:lineRule="auto"/>
        <w:jc w:val="center"/>
        <w:outlineLvl w:val="0"/>
        <w:rPr>
          <w:rFonts w:ascii="宋体" w:hAnsi="宋体" w:cs="宋体"/>
          <w:b/>
          <w:color w:val="auto"/>
          <w:sz w:val="36"/>
          <w:szCs w:val="36"/>
          <w:highlight w:val="none"/>
        </w:rPr>
        <w:sectPr>
          <w:pgSz w:w="11907" w:h="16839"/>
          <w:pgMar w:top="1440" w:right="1803" w:bottom="1440" w:left="1803" w:header="720" w:footer="720" w:gutter="0"/>
          <w:cols w:space="720" w:num="1"/>
          <w:docGrid w:linePitch="286" w:charSpace="0"/>
        </w:sectPr>
      </w:pPr>
      <w:r>
        <w:rPr>
          <w:rFonts w:hint="eastAsia" w:ascii="宋体" w:hAnsi="宋体" w:cs="宋体"/>
          <w:b/>
          <w:color w:val="auto"/>
          <w:sz w:val="36"/>
          <w:szCs w:val="36"/>
          <w:highlight w:val="none"/>
        </w:rPr>
        <w:br w:type="page"/>
      </w:r>
    </w:p>
    <w:p w14:paraId="4C1E4354">
      <w:pPr>
        <w:adjustRightInd w:val="0"/>
        <w:snapToGrid w:val="0"/>
        <w:spacing w:line="420" w:lineRule="exact"/>
        <w:jc w:val="center"/>
        <w:rPr>
          <w:rFonts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27B903A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一、质疑事项</w:t>
      </w:r>
    </w:p>
    <w:p w14:paraId="17D50F5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1.提出质疑的供应商应当是参与所质疑项目采购活动的供应商。潜在供应商依法获取其可质疑的采购文件的，可以对采购文件提出质疑。</w:t>
      </w:r>
    </w:p>
    <w:p w14:paraId="2991B75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2.供应商认为采购文件、采购过程和采购结果使自己的权益受到损害的，可以在知道或应知其权益受到损害之日起七个工作日内，以书面形式向代理机构或采购人提出质疑。上述应知其权益受到损害之日，是指：</w:t>
      </w:r>
    </w:p>
    <w:p w14:paraId="39A58883">
      <w:pPr>
        <w:pStyle w:val="5"/>
        <w:adjustRightInd w:val="0"/>
        <w:snapToGrid w:val="0"/>
        <w:spacing w:line="460" w:lineRule="exact"/>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2.1对可以质疑的采购文件提出质疑的，为收到采购文件之日或者采购文件公告期限届满之日；采购项目磋商开始后，不再接受供应商对采购文件（含更正公告等）内容的异议或质询（质疑）。</w:t>
      </w:r>
    </w:p>
    <w:p w14:paraId="7E3C91FC">
      <w:pPr>
        <w:adjustRightInd w:val="0"/>
        <w:snapToGrid w:val="0"/>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6F359AFB">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394E640F">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对成交或者成交结果提出质疑的，为成交或者成交结果公告期限届满之日。</w:t>
      </w:r>
    </w:p>
    <w:p w14:paraId="6BE7E38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72DBE47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3.质疑函必须按照本采购文件中《质疑函范本》要求的格式和内容进行填写。</w:t>
      </w:r>
    </w:p>
    <w:p w14:paraId="1287A1F4">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对采购方式、采购文件中项目需求、供应商资格条件、评审方法和评审标准、资格审查结果等应当由采购人答复的质疑，请向采购人提出，由采购人负责答复。供应商对其他事项的质疑，请向招采购代理机构提出，由采购人或采购代理机构负责答复。</w:t>
      </w:r>
    </w:p>
    <w:p w14:paraId="052C9E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320DDA7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采购人及采购代理机构质疑接收人及联系方式，见采购文件第一部分。</w:t>
      </w:r>
    </w:p>
    <w:p w14:paraId="5188E97B">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52989191">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6526FCC8">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4E9AD571">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6F078BA4">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696EC19E">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408F8DC9">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73826534">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29AA3AD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465444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A6D899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6074626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6.3未参加磋商活动的供应商或在磋商活动中自身权益未受到损害的供应商所提出的质疑。</w:t>
      </w:r>
    </w:p>
    <w:p w14:paraId="3F19E0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供应商提出书面质疑必须有理、有据，不得捏造事实、提供虚假材料进行恶意质疑。否则，一经查实，采购代理机构有权依据采购的有关规定，报请采购监管部门对该供应商进行相应的行政处罚和记录该供应商的失信信息。一、质疑的提出</w:t>
      </w:r>
    </w:p>
    <w:p w14:paraId="1E5D322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8.下载采购文件的供应商应根据第二章“供应商须知”中第一条第4款的约定提出；响应文件接收截止后，供应商未进行登记的，不能就响应文件接收截止后的磋商过程、成交结果提出质疑；在磋商过程中，凡主持人或磋商小组明确提出须由供应商确认的事项，供应商当场无异议的，事后不得提出质疑。</w:t>
      </w:r>
    </w:p>
    <w:p w14:paraId="4DDAB38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采购单位或代理机构。采购单位或代理机构不具有法定调查、认定权限。</w:t>
      </w:r>
    </w:p>
    <w:p w14:paraId="661BC6C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对本次采购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B114B5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534510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D76976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采购单位或代理机构不负责搜集相关佐证材料等工作。</w:t>
      </w:r>
    </w:p>
    <w:p w14:paraId="7831CF5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01C559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1.质疑函》须由质疑人的法定代表人或参加本次磋商授权人送达采购单位和代理机构。</w:t>
      </w:r>
    </w:p>
    <w:p w14:paraId="784245A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对符合提出质疑要求的，采购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510E1FF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7F427AB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4.采购单位、代理机构负责将质疑人提出的质疑相关材料提供给相关专家或磋商小组审核，并将审核意见回复质疑人。</w:t>
      </w:r>
    </w:p>
    <w:p w14:paraId="411B89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5A199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5.因质疑情况复杂，组织论证或审查时间较长的，采购人、代理机构以书面形式通知质疑人，可适当延长质疑回复处理时间。</w:t>
      </w:r>
    </w:p>
    <w:p w14:paraId="30B89889">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①质疑成立的处理。采购人或代理机构终止采购，并建议有关部门给相关当事人予以处理。</w:t>
      </w:r>
    </w:p>
    <w:p w14:paraId="34F8EDB9">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5065BE9E">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38663166">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04FEE012">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3）质疑人不按《质疑函》格式就提出质疑的，作违约处理。同时，视情列入不良供应商名单。</w:t>
      </w:r>
    </w:p>
    <w:p w14:paraId="7C0C4D05">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4）质疑人虽提供了相关佐证材料，但不能证明其质疑成立的，采购人或代理机构请质疑人补充相关佐证材料，仍不能证明其质疑成立的，作违约处理。</w:t>
      </w:r>
    </w:p>
    <w:p w14:paraId="658796D5">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5）质疑人不能提供相关佐证材料的，采购人、代理机构已指出，质疑人仍然坚持提出质疑的，作违约处理。</w:t>
      </w:r>
    </w:p>
    <w:p w14:paraId="1ABA1616">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6）对明显有违事实的、经相关专家或磋商小组认定无依据的、经其他供应商举证无依据的质疑，作违约处理，视情在采购人官网媒体予以披露。</w:t>
      </w:r>
    </w:p>
    <w:p w14:paraId="224DE875">
      <w:pPr>
        <w:adjustRightInd w:val="0"/>
        <w:snapToGrid w:val="0"/>
        <w:spacing w:line="460" w:lineRule="exact"/>
        <w:ind w:firstLine="280" w:firstLineChars="100"/>
        <w:contextualSpacing/>
        <w:rPr>
          <w:rFonts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4D66AD9F">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三、无佐证材料的举报作违约处理。供应商不得进行不提供相关佐证材料（含无法查实的如宣传册、媒体报道、猜测、推理等）向有关部门的举报，否则作违约处理。</w:t>
      </w:r>
    </w:p>
    <w:p w14:paraId="54BFC565">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四、投诉不成立的作违约处理。供应商进行质疑后，采购人回复质疑不成立，供应商仍进行投诉的，并最终投诉不成立的，作违约处理。</w:t>
      </w:r>
    </w:p>
    <w:p w14:paraId="424B424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五、《质疑函》《质疑回复函》，质疑、举报、投诉不成立等相关情况，视情在采购人官网等相关媒体予以披露。</w:t>
      </w:r>
    </w:p>
    <w:p w14:paraId="7F4BCC17">
      <w:pPr>
        <w:adjustRightInd w:val="0"/>
        <w:snapToGrid w:val="0"/>
        <w:spacing w:line="460" w:lineRule="exact"/>
        <w:ind w:firstLine="560" w:firstLineChars="200"/>
        <w:rPr>
          <w:rFonts w:ascii="宋体" w:hAnsi="宋体" w:cs="宋体"/>
          <w:dstrike/>
          <w:color w:val="auto"/>
          <w:sz w:val="28"/>
          <w:szCs w:val="28"/>
          <w:highlight w:val="none"/>
        </w:rPr>
      </w:pPr>
      <w:r>
        <w:rPr>
          <w:rFonts w:hint="eastAsia" w:ascii="宋体" w:hAnsi="宋体" w:cs="宋体"/>
          <w:color w:val="auto"/>
          <w:sz w:val="28"/>
          <w:szCs w:val="28"/>
          <w:highlight w:val="none"/>
        </w:rPr>
        <w:t>六、质疑人对采购人或代理机构的答复不满意或者采购人、代理机构未在规定的时间内作出答复的，可以在答复期满后15个工作日内向相关监督管理部门投诉。</w:t>
      </w:r>
    </w:p>
    <w:p w14:paraId="02552ED4">
      <w:pPr>
        <w:adjustRightInd w:val="0"/>
        <w:snapToGrid w:val="0"/>
        <w:spacing w:line="360" w:lineRule="auto"/>
        <w:jc w:val="center"/>
        <w:outlineLvl w:val="0"/>
        <w:rPr>
          <w:rFonts w:ascii="宋体" w:hAnsi="宋体" w:cs="宋体"/>
          <w:bCs/>
          <w:color w:val="auto"/>
          <w:sz w:val="36"/>
          <w:szCs w:val="36"/>
          <w:highlight w:val="none"/>
        </w:rPr>
        <w:sectPr>
          <w:pgSz w:w="11907" w:h="16839"/>
          <w:pgMar w:top="1440" w:right="1803" w:bottom="1440" w:left="1803" w:header="720" w:footer="720" w:gutter="0"/>
          <w:cols w:space="720" w:num="1"/>
          <w:docGrid w:linePitch="286" w:charSpace="0"/>
        </w:sectPr>
      </w:pPr>
    </w:p>
    <w:p w14:paraId="09C0E382">
      <w:pPr>
        <w:adjustRightInd w:val="0"/>
        <w:snapToGrid w:val="0"/>
        <w:spacing w:line="420" w:lineRule="exact"/>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第六部分 响应文件组成</w:t>
      </w:r>
    </w:p>
    <w:p w14:paraId="4DB6FE11">
      <w:pPr>
        <w:adjustRightInd w:val="0"/>
        <w:snapToGrid w:val="0"/>
        <w:spacing w:line="420" w:lineRule="exact"/>
        <w:ind w:firstLine="562" w:firstLineChars="200"/>
        <w:jc w:val="left"/>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响应文件由资格审查文件、商务技术文件、价格文件、电子响应文件四部分组成。</w:t>
      </w:r>
    </w:p>
    <w:p w14:paraId="30FB2942">
      <w:pPr>
        <w:adjustRightInd w:val="0"/>
        <w:snapToGrid w:val="0"/>
        <w:spacing w:line="420" w:lineRule="exact"/>
        <w:ind w:firstLine="562" w:firstLineChars="200"/>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79DD2162">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5C8E58A1">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w:t>
      </w:r>
      <w:r>
        <w:rPr>
          <w:rFonts w:hint="eastAsia" w:ascii="宋体" w:hAnsi="宋体" w:cs="宋体"/>
          <w:color w:val="auto"/>
          <w:kern w:val="0"/>
          <w:sz w:val="28"/>
          <w:szCs w:val="28"/>
          <w:highlight w:val="none"/>
        </w:rPr>
        <w:t>磋商</w:t>
      </w:r>
      <w:r>
        <w:rPr>
          <w:rFonts w:hint="eastAsia" w:ascii="宋体" w:hAnsi="宋体" w:cs="宋体"/>
          <w:color w:val="auto"/>
          <w:kern w:val="0"/>
          <w:sz w:val="28"/>
          <w:szCs w:val="28"/>
          <w:highlight w:val="none"/>
          <w:lang w:val="zh-CN"/>
        </w:rPr>
        <w:t>需提供法定代表人身份证明书（格式见附件2）；</w:t>
      </w:r>
    </w:p>
    <w:p w14:paraId="5A9063E1">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rPr>
        <w:t>非法定代表人参加需提供</w:t>
      </w:r>
      <w:r>
        <w:rPr>
          <w:rFonts w:ascii="Calibri" w:hAnsi="Calibri" w:cs="Calibri"/>
          <w:color w:val="auto"/>
          <w:kern w:val="0"/>
          <w:sz w:val="28"/>
          <w:szCs w:val="28"/>
          <w:highlight w:val="none"/>
        </w:rPr>
        <w:t>①</w:t>
      </w:r>
      <w:r>
        <w:rPr>
          <w:rFonts w:hint="eastAsia" w:ascii="宋体" w:hAnsi="宋体" w:cs="宋体"/>
          <w:color w:val="auto"/>
          <w:kern w:val="0"/>
          <w:sz w:val="28"/>
          <w:szCs w:val="28"/>
          <w:highlight w:val="none"/>
          <w:lang w:val="zh-CN"/>
        </w:rPr>
        <w:t>法定代表人身份证明书（格式见附件2）</w:t>
      </w:r>
      <w:r>
        <w:rPr>
          <w:rFonts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071A1A3B">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4.现场踏勘承诺函（格式见附件4）。</w:t>
      </w:r>
    </w:p>
    <w:p w14:paraId="10DFD5CD">
      <w:pPr>
        <w:adjustRightInd w:val="0"/>
        <w:snapToGrid w:val="0"/>
        <w:spacing w:line="420" w:lineRule="exact"/>
        <w:ind w:firstLine="562" w:firstLineChars="200"/>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二、</w:t>
      </w:r>
      <w:r>
        <w:rPr>
          <w:rFonts w:hint="eastAsia" w:ascii="宋体" w:hAnsi="宋体" w:cs="宋体"/>
          <w:b/>
          <w:bCs/>
          <w:color w:val="auto"/>
          <w:kern w:val="0"/>
          <w:sz w:val="28"/>
          <w:szCs w:val="28"/>
          <w:highlight w:val="none"/>
          <w:lang w:val="zh-CN"/>
        </w:rPr>
        <w:t>商务技术文件</w:t>
      </w:r>
    </w:p>
    <w:p w14:paraId="098D46B7">
      <w:pPr>
        <w:adjustRightInd w:val="0"/>
        <w:snapToGrid w:val="0"/>
        <w:spacing w:line="42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rPr>
        <w:t>7</w:t>
      </w:r>
      <w:r>
        <w:rPr>
          <w:rFonts w:hint="eastAsia" w:ascii="宋体" w:hAnsi="宋体" w:cs="宋体"/>
          <w:bCs/>
          <w:color w:val="auto"/>
          <w:kern w:val="0"/>
          <w:sz w:val="28"/>
          <w:szCs w:val="28"/>
          <w:highlight w:val="none"/>
          <w:lang w:val="zh-CN"/>
        </w:rPr>
        <w:t>）；</w:t>
      </w:r>
    </w:p>
    <w:p w14:paraId="085ADDAB">
      <w:pPr>
        <w:adjustRightInd w:val="0"/>
        <w:snapToGrid w:val="0"/>
        <w:spacing w:line="420" w:lineRule="exact"/>
        <w:ind w:firstLine="560" w:firstLineChars="200"/>
        <w:rPr>
          <w:rFonts w:ascii="宋体" w:hAnsi="宋体" w:cs="宋体"/>
          <w:color w:val="auto"/>
          <w:kern w:val="0"/>
          <w:sz w:val="28"/>
          <w:szCs w:val="28"/>
          <w:highlight w:val="none"/>
        </w:rPr>
      </w:pPr>
      <w:r>
        <w:rPr>
          <w:rFonts w:hint="eastAsia" w:ascii="宋体" w:hAnsi="宋体" w:cs="宋体"/>
          <w:bCs/>
          <w:color w:val="auto"/>
          <w:kern w:val="0"/>
          <w:sz w:val="28"/>
          <w:szCs w:val="28"/>
          <w:highlight w:val="none"/>
        </w:rPr>
        <w:t>2.</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rPr>
        <w:t>8</w:t>
      </w:r>
      <w:r>
        <w:rPr>
          <w:rFonts w:hint="eastAsia" w:ascii="宋体" w:hAnsi="宋体" w:cs="宋体"/>
          <w:bCs/>
          <w:color w:val="auto"/>
          <w:kern w:val="0"/>
          <w:sz w:val="28"/>
          <w:szCs w:val="28"/>
          <w:highlight w:val="none"/>
          <w:lang w:val="zh-CN"/>
        </w:rPr>
        <w:t>）；</w:t>
      </w:r>
    </w:p>
    <w:p w14:paraId="698CF1F4">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3.</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631F08D3">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4</w:t>
      </w:r>
      <w:r>
        <w:rPr>
          <w:rFonts w:hint="eastAsia" w:ascii="宋体" w:hAnsi="宋体" w:cs="宋体"/>
          <w:color w:val="auto"/>
          <w:kern w:val="0"/>
          <w:sz w:val="28"/>
          <w:szCs w:val="28"/>
          <w:highlight w:val="none"/>
          <w:lang w:val="zh-CN"/>
        </w:rPr>
        <w:t>.评审办法中未涉及的事项，供应商认为需要提交的其他资料。</w:t>
      </w:r>
    </w:p>
    <w:p w14:paraId="5D4488C9">
      <w:pPr>
        <w:adjustRightInd w:val="0"/>
        <w:snapToGrid w:val="0"/>
        <w:spacing w:line="420" w:lineRule="exact"/>
        <w:ind w:firstLine="562" w:firstLineChars="200"/>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三、</w:t>
      </w:r>
      <w:r>
        <w:rPr>
          <w:rFonts w:hint="eastAsia" w:ascii="宋体" w:hAnsi="宋体" w:cs="宋体"/>
          <w:b/>
          <w:bCs/>
          <w:color w:val="auto"/>
          <w:kern w:val="0"/>
          <w:sz w:val="28"/>
          <w:szCs w:val="28"/>
          <w:highlight w:val="none"/>
          <w:lang w:val="zh-CN"/>
        </w:rPr>
        <w:t>价格文件</w:t>
      </w:r>
    </w:p>
    <w:p w14:paraId="4142F541">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w:t>
      </w:r>
      <w:r>
        <w:rPr>
          <w:rFonts w:hint="eastAsia" w:ascii="宋体" w:hAnsi="宋体" w:cs="宋体"/>
          <w:color w:val="auto"/>
          <w:kern w:val="0"/>
          <w:sz w:val="28"/>
          <w:szCs w:val="28"/>
          <w:highlight w:val="none"/>
        </w:rPr>
        <w:t>总</w:t>
      </w:r>
      <w:r>
        <w:rPr>
          <w:rFonts w:hint="eastAsia" w:ascii="宋体" w:hAnsi="宋体" w:cs="宋体"/>
          <w:color w:val="auto"/>
          <w:kern w:val="0"/>
          <w:sz w:val="28"/>
          <w:szCs w:val="28"/>
          <w:highlight w:val="none"/>
          <w:lang w:val="zh-CN"/>
        </w:rPr>
        <w:t>表（格式见附件</w:t>
      </w:r>
      <w:r>
        <w:rPr>
          <w:rFonts w:hint="eastAsia" w:ascii="宋体" w:hAnsi="宋体" w:cs="宋体"/>
          <w:color w:val="auto"/>
          <w:kern w:val="0"/>
          <w:sz w:val="28"/>
          <w:szCs w:val="28"/>
          <w:highlight w:val="none"/>
        </w:rPr>
        <w:t>9</w:t>
      </w:r>
      <w:r>
        <w:rPr>
          <w:rFonts w:hint="eastAsia" w:ascii="宋体" w:hAnsi="宋体" w:cs="宋体"/>
          <w:color w:val="auto"/>
          <w:kern w:val="0"/>
          <w:sz w:val="28"/>
          <w:szCs w:val="28"/>
          <w:highlight w:val="none"/>
          <w:lang w:val="zh-CN"/>
        </w:rPr>
        <w:t>）；</w:t>
      </w:r>
    </w:p>
    <w:p w14:paraId="2B9FB4D1">
      <w:pPr>
        <w:adjustRightInd w:val="0"/>
        <w:snapToGrid w:val="0"/>
        <w:spacing w:line="42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2.分项报价表（格式见附件10）；</w:t>
      </w:r>
    </w:p>
    <w:p w14:paraId="60CC9022">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3.</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rPr>
        <w:t>11</w:t>
      </w:r>
      <w:r>
        <w:rPr>
          <w:rFonts w:hint="eastAsia" w:ascii="宋体" w:hAnsi="宋体" w:cs="宋体"/>
          <w:color w:val="auto"/>
          <w:kern w:val="0"/>
          <w:sz w:val="28"/>
          <w:szCs w:val="28"/>
          <w:highlight w:val="none"/>
          <w:lang w:val="zh-CN"/>
        </w:rPr>
        <w:t>）。</w:t>
      </w:r>
    </w:p>
    <w:p w14:paraId="717F9B58">
      <w:pPr>
        <w:adjustRightInd w:val="0"/>
        <w:snapToGrid w:val="0"/>
        <w:spacing w:line="420" w:lineRule="exact"/>
        <w:ind w:firstLine="562" w:firstLineChars="200"/>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rPr>
        <w:t>四、电子响应文件（一份）</w:t>
      </w:r>
    </w:p>
    <w:p w14:paraId="3F13807D">
      <w:pPr>
        <w:adjustRightInd w:val="0"/>
        <w:snapToGrid w:val="0"/>
        <w:spacing w:line="42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7A2AD22C">
      <w:pPr>
        <w:snapToGrid w:val="0"/>
        <w:spacing w:line="360" w:lineRule="auto"/>
        <w:ind w:firstLine="540" w:firstLineChars="192"/>
        <w:contextualSpacing/>
        <w:rPr>
          <w:rFonts w:ascii="宋体" w:hAnsi="宋体" w:cs="宋体"/>
          <w:b/>
          <w:color w:val="auto"/>
          <w:kern w:val="0"/>
          <w:sz w:val="28"/>
          <w:szCs w:val="28"/>
          <w:highlight w:val="none"/>
        </w:rPr>
      </w:pPr>
    </w:p>
    <w:p w14:paraId="5B942320">
      <w:pPr>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0964433">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3836E023">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5F9DAAE4">
      <w:pPr>
        <w:spacing w:line="360" w:lineRule="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341FABB2">
      <w:pPr>
        <w:spacing w:line="360" w:lineRule="auto"/>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（项目编号）采购活动。针对本项目供应商资格要求作出如下承诺：</w:t>
      </w:r>
    </w:p>
    <w:p w14:paraId="3CD93AB6">
      <w:pPr>
        <w:spacing w:line="360" w:lineRule="auto"/>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6D091960">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568ACBE3">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21F94DE">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57AF5B6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0848BDA3">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567CD0B1">
      <w:pPr>
        <w:spacing w:line="360" w:lineRule="auto"/>
        <w:ind w:firstLine="560" w:firstLineChars="200"/>
        <w:rPr>
          <w:rFonts w:ascii="宋体" w:hAnsi="宋体" w:cs="宋体"/>
          <w:color w:val="auto"/>
          <w:sz w:val="28"/>
          <w:szCs w:val="28"/>
          <w:highlight w:val="none"/>
        </w:rPr>
      </w:pPr>
    </w:p>
    <w:p w14:paraId="51793A5B">
      <w:pPr>
        <w:spacing w:line="360" w:lineRule="auto"/>
        <w:rPr>
          <w:rFonts w:ascii="宋体" w:hAnsi="宋体" w:cs="宋体"/>
          <w:bCs/>
          <w:color w:val="auto"/>
          <w:sz w:val="28"/>
          <w:szCs w:val="28"/>
          <w:highlight w:val="none"/>
        </w:rPr>
      </w:pPr>
    </w:p>
    <w:p w14:paraId="2AA2EABF">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388BF68D">
      <w:pPr>
        <w:spacing w:line="360" w:lineRule="auto"/>
        <w:ind w:firstLine="560" w:firstLineChars="200"/>
        <w:rPr>
          <w:rFonts w:ascii="宋体" w:hAnsi="宋体" w:cs="宋体"/>
          <w:bCs/>
          <w:color w:val="auto"/>
          <w:sz w:val="28"/>
          <w:szCs w:val="28"/>
          <w:highlight w:val="none"/>
        </w:rPr>
      </w:pPr>
    </w:p>
    <w:p w14:paraId="5B0B7509">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717E8617">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1B92C4C6">
      <w:pPr>
        <w:snapToGrid w:val="0"/>
        <w:spacing w:line="360" w:lineRule="auto"/>
        <w:ind w:firstLine="540" w:firstLineChars="192"/>
        <w:contextualSpacing/>
        <w:rPr>
          <w:rFonts w:ascii="宋体" w:hAnsi="宋体" w:cs="宋体"/>
          <w:b/>
          <w:color w:val="auto"/>
          <w:kern w:val="0"/>
          <w:sz w:val="28"/>
          <w:szCs w:val="28"/>
          <w:highlight w:val="none"/>
        </w:rPr>
      </w:pPr>
    </w:p>
    <w:p w14:paraId="2FE07804">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51EB26A5">
      <w:pPr>
        <w:spacing w:line="360" w:lineRule="auto"/>
        <w:jc w:val="center"/>
        <w:rPr>
          <w:rFonts w:ascii="宋体" w:hAnsi="宋体" w:cs="宋体"/>
          <w:b/>
          <w:bCs/>
          <w:color w:val="auto"/>
          <w:sz w:val="28"/>
          <w:szCs w:val="28"/>
          <w:highlight w:val="none"/>
        </w:rPr>
      </w:pPr>
    </w:p>
    <w:p w14:paraId="59D7F532">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42AE3F5E">
      <w:pPr>
        <w:spacing w:line="360" w:lineRule="auto"/>
        <w:rPr>
          <w:rFonts w:ascii="宋体" w:hAnsi="宋体" w:cs="宋体"/>
          <w:color w:val="auto"/>
          <w:sz w:val="28"/>
          <w:szCs w:val="28"/>
          <w:highlight w:val="none"/>
        </w:rPr>
      </w:pPr>
    </w:p>
    <w:p w14:paraId="5F2CB46E">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4673638C">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1695DCAF">
      <w:pPr>
        <w:spacing w:line="360" w:lineRule="auto"/>
        <w:ind w:firstLine="480"/>
        <w:rPr>
          <w:rFonts w:ascii="宋体" w:hAnsi="宋体" w:cs="宋体"/>
          <w:color w:val="auto"/>
          <w:sz w:val="28"/>
          <w:szCs w:val="28"/>
          <w:highlight w:val="none"/>
        </w:rPr>
      </w:pPr>
    </w:p>
    <w:p w14:paraId="085FE5E7">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23D7A258">
      <w:pPr>
        <w:spacing w:line="360" w:lineRule="auto"/>
        <w:ind w:firstLine="560" w:firstLineChars="200"/>
        <w:rPr>
          <w:rFonts w:ascii="宋体" w:hAnsi="宋体" w:cs="宋体"/>
          <w:color w:val="auto"/>
          <w:sz w:val="28"/>
          <w:szCs w:val="28"/>
          <w:highlight w:val="none"/>
        </w:rPr>
      </w:pPr>
    </w:p>
    <w:p w14:paraId="5028CE58">
      <w:pPr>
        <w:spacing w:line="360" w:lineRule="auto"/>
        <w:rPr>
          <w:rFonts w:ascii="宋体" w:hAnsi="宋体" w:cs="宋体"/>
          <w:color w:val="auto"/>
          <w:sz w:val="28"/>
          <w:szCs w:val="28"/>
          <w:highlight w:val="none"/>
        </w:rPr>
      </w:pPr>
    </w:p>
    <w:p w14:paraId="3F9794C0">
      <w:pPr>
        <w:snapToGrid w:val="0"/>
        <w:spacing w:line="360" w:lineRule="auto"/>
        <w:ind w:firstLine="540" w:firstLineChars="192"/>
        <w:contextualSpacing/>
        <w:rPr>
          <w:rFonts w:ascii="宋体" w:hAnsi="宋体" w:cs="宋体"/>
          <w:b/>
          <w:color w:val="auto"/>
          <w:kern w:val="0"/>
          <w:sz w:val="28"/>
          <w:szCs w:val="28"/>
          <w:highlight w:val="none"/>
        </w:rPr>
      </w:pPr>
    </w:p>
    <w:p w14:paraId="119BA29D">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1A5DB">
      <w:pPr>
        <w:snapToGrid w:val="0"/>
        <w:spacing w:line="360" w:lineRule="auto"/>
        <w:ind w:firstLine="540" w:firstLineChars="192"/>
        <w:contextualSpacing/>
        <w:rPr>
          <w:rFonts w:ascii="宋体" w:hAnsi="宋体" w:cs="宋体"/>
          <w:b/>
          <w:color w:val="auto"/>
          <w:kern w:val="0"/>
          <w:sz w:val="28"/>
          <w:szCs w:val="28"/>
          <w:highlight w:val="none"/>
          <w:lang w:val="zh-CN"/>
        </w:rPr>
      </w:pPr>
    </w:p>
    <w:p w14:paraId="5EB29983">
      <w:pPr>
        <w:snapToGrid w:val="0"/>
        <w:spacing w:line="360" w:lineRule="auto"/>
        <w:ind w:firstLine="540" w:firstLineChars="192"/>
        <w:contextualSpacing/>
        <w:rPr>
          <w:rFonts w:ascii="宋体" w:hAnsi="宋体" w:cs="宋体"/>
          <w:b/>
          <w:color w:val="auto"/>
          <w:kern w:val="0"/>
          <w:sz w:val="28"/>
          <w:szCs w:val="28"/>
          <w:highlight w:val="none"/>
          <w:lang w:val="zh-CN"/>
        </w:rPr>
      </w:pPr>
    </w:p>
    <w:p w14:paraId="332DB9CF">
      <w:pPr>
        <w:snapToGrid w:val="0"/>
        <w:spacing w:line="360" w:lineRule="auto"/>
        <w:ind w:firstLine="540" w:firstLineChars="192"/>
        <w:contextualSpacing/>
        <w:rPr>
          <w:rFonts w:ascii="宋体" w:hAnsi="宋体" w:cs="宋体"/>
          <w:b/>
          <w:color w:val="auto"/>
          <w:kern w:val="0"/>
          <w:sz w:val="28"/>
          <w:szCs w:val="28"/>
          <w:highlight w:val="none"/>
          <w:lang w:val="zh-CN"/>
        </w:rPr>
      </w:pPr>
    </w:p>
    <w:p w14:paraId="291E889F">
      <w:pPr>
        <w:snapToGrid w:val="0"/>
        <w:spacing w:line="360" w:lineRule="auto"/>
        <w:ind w:firstLine="540" w:firstLineChars="192"/>
        <w:contextualSpacing/>
        <w:rPr>
          <w:rFonts w:ascii="宋体" w:hAnsi="宋体" w:cs="宋体"/>
          <w:b/>
          <w:color w:val="auto"/>
          <w:kern w:val="0"/>
          <w:sz w:val="28"/>
          <w:szCs w:val="28"/>
          <w:highlight w:val="none"/>
          <w:lang w:val="zh-CN"/>
        </w:rPr>
      </w:pPr>
    </w:p>
    <w:p w14:paraId="076FA95C">
      <w:pPr>
        <w:snapToGrid w:val="0"/>
        <w:spacing w:line="360" w:lineRule="auto"/>
        <w:ind w:firstLine="540" w:firstLineChars="192"/>
        <w:contextualSpacing/>
        <w:rPr>
          <w:rFonts w:ascii="宋体" w:hAnsi="宋体" w:cs="宋体"/>
          <w:b/>
          <w:color w:val="auto"/>
          <w:kern w:val="0"/>
          <w:sz w:val="28"/>
          <w:szCs w:val="28"/>
          <w:highlight w:val="none"/>
          <w:lang w:val="zh-CN"/>
        </w:rPr>
      </w:pPr>
    </w:p>
    <w:p w14:paraId="203D2169">
      <w:pPr>
        <w:snapToGrid w:val="0"/>
        <w:spacing w:line="360" w:lineRule="auto"/>
        <w:ind w:firstLine="540" w:firstLineChars="192"/>
        <w:contextualSpacing/>
        <w:rPr>
          <w:rFonts w:ascii="宋体" w:hAnsi="宋体" w:cs="宋体"/>
          <w:b/>
          <w:color w:val="auto"/>
          <w:kern w:val="0"/>
          <w:sz w:val="28"/>
          <w:szCs w:val="28"/>
          <w:highlight w:val="none"/>
          <w:lang w:val="zh-CN"/>
        </w:rPr>
      </w:pPr>
    </w:p>
    <w:p w14:paraId="0880820A">
      <w:pPr>
        <w:snapToGrid w:val="0"/>
        <w:spacing w:line="360" w:lineRule="auto"/>
        <w:ind w:firstLine="540" w:firstLineChars="192"/>
        <w:contextualSpacing/>
        <w:rPr>
          <w:rFonts w:ascii="宋体" w:hAnsi="宋体" w:cs="宋体"/>
          <w:b/>
          <w:color w:val="auto"/>
          <w:kern w:val="0"/>
          <w:sz w:val="28"/>
          <w:szCs w:val="28"/>
          <w:highlight w:val="none"/>
          <w:lang w:val="zh-CN"/>
        </w:rPr>
      </w:pPr>
    </w:p>
    <w:p w14:paraId="2C3AE5E0">
      <w:pPr>
        <w:snapToGrid w:val="0"/>
        <w:spacing w:line="360" w:lineRule="auto"/>
        <w:ind w:firstLine="540" w:firstLineChars="192"/>
        <w:contextualSpacing/>
        <w:rPr>
          <w:rFonts w:ascii="宋体" w:hAnsi="宋体" w:cs="宋体"/>
          <w:b/>
          <w:color w:val="auto"/>
          <w:kern w:val="0"/>
          <w:sz w:val="28"/>
          <w:szCs w:val="28"/>
          <w:highlight w:val="none"/>
          <w:lang w:val="zh-CN"/>
        </w:rPr>
      </w:pPr>
    </w:p>
    <w:p w14:paraId="64976300">
      <w:pPr>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40FC711">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1A1B7532">
      <w:pPr>
        <w:spacing w:line="360" w:lineRule="auto"/>
        <w:jc w:val="center"/>
        <w:rPr>
          <w:rFonts w:ascii="宋体" w:hAnsi="宋体" w:cs="宋体"/>
          <w:color w:val="auto"/>
          <w:sz w:val="32"/>
          <w:szCs w:val="32"/>
          <w:highlight w:val="none"/>
        </w:rPr>
      </w:pPr>
    </w:p>
    <w:p w14:paraId="5AC1CBA0">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692E0BC9">
      <w:pPr>
        <w:spacing w:line="360" w:lineRule="auto"/>
        <w:ind w:firstLine="560" w:firstLineChars="200"/>
        <w:rPr>
          <w:rFonts w:ascii="宋体" w:hAnsi="宋体" w:cs="宋体"/>
          <w:color w:val="auto"/>
          <w:sz w:val="28"/>
          <w:szCs w:val="28"/>
          <w:highlight w:val="none"/>
        </w:rPr>
      </w:pPr>
    </w:p>
    <w:p w14:paraId="6F1A3731">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23B7CEA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5C45895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1BEC298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32D6E68C">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6837AA8E">
      <w:pPr>
        <w:spacing w:line="360" w:lineRule="auto"/>
        <w:ind w:firstLine="560" w:firstLineChars="200"/>
        <w:jc w:val="right"/>
        <w:rPr>
          <w:rFonts w:ascii="宋体" w:hAnsi="宋体" w:cs="宋体"/>
          <w:color w:val="auto"/>
          <w:sz w:val="28"/>
          <w:szCs w:val="28"/>
          <w:highlight w:val="none"/>
        </w:rPr>
      </w:pPr>
    </w:p>
    <w:p w14:paraId="740A27D9">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66621E5">
      <w:pPr>
        <w:snapToGrid w:val="0"/>
        <w:spacing w:line="360" w:lineRule="auto"/>
        <w:ind w:firstLine="562" w:firstLineChars="200"/>
        <w:contextualSpacing/>
        <w:rPr>
          <w:rFonts w:ascii="宋体" w:hAnsi="宋体" w:cs="宋体"/>
          <w:b/>
          <w:color w:val="auto"/>
          <w:kern w:val="0"/>
          <w:sz w:val="28"/>
          <w:szCs w:val="28"/>
          <w:highlight w:val="none"/>
        </w:rPr>
      </w:pPr>
    </w:p>
    <w:p w14:paraId="6E923FF2">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注：提供授权代表本人身份证（正、反面）复印件</w:t>
      </w:r>
    </w:p>
    <w:p w14:paraId="5527B778">
      <w:pPr>
        <w:snapToGrid w:val="0"/>
        <w:spacing w:line="360" w:lineRule="auto"/>
        <w:ind w:firstLine="562" w:firstLineChars="200"/>
        <w:contextualSpacing/>
        <w:rPr>
          <w:rFonts w:ascii="宋体" w:hAnsi="宋体" w:cs="宋体"/>
          <w:b/>
          <w:color w:val="auto"/>
          <w:kern w:val="0"/>
          <w:sz w:val="28"/>
          <w:szCs w:val="28"/>
          <w:highlight w:val="none"/>
        </w:rPr>
      </w:pPr>
    </w:p>
    <w:p w14:paraId="11D2248A">
      <w:pPr>
        <w:snapToGrid w:val="0"/>
        <w:spacing w:line="360" w:lineRule="auto"/>
        <w:ind w:firstLine="540" w:firstLineChars="192"/>
        <w:contextualSpacing/>
        <w:rPr>
          <w:rFonts w:ascii="宋体" w:hAnsi="宋体" w:cs="宋体"/>
          <w:b/>
          <w:color w:val="auto"/>
          <w:kern w:val="0"/>
          <w:sz w:val="28"/>
          <w:szCs w:val="28"/>
          <w:highlight w:val="none"/>
        </w:rPr>
      </w:pPr>
    </w:p>
    <w:p w14:paraId="3DB91E8A">
      <w:pPr>
        <w:snapToGrid w:val="0"/>
        <w:spacing w:line="360" w:lineRule="auto"/>
        <w:ind w:firstLine="540" w:firstLineChars="192"/>
        <w:contextualSpacing/>
        <w:rPr>
          <w:rFonts w:ascii="宋体" w:hAnsi="宋体" w:cs="宋体"/>
          <w:b/>
          <w:color w:val="auto"/>
          <w:kern w:val="0"/>
          <w:sz w:val="28"/>
          <w:szCs w:val="28"/>
          <w:highlight w:val="none"/>
        </w:rPr>
      </w:pPr>
    </w:p>
    <w:p w14:paraId="65A1A359">
      <w:pPr>
        <w:snapToGrid w:val="0"/>
        <w:spacing w:line="360" w:lineRule="auto"/>
        <w:ind w:firstLine="540" w:firstLineChars="192"/>
        <w:contextualSpacing/>
        <w:rPr>
          <w:rFonts w:ascii="宋体" w:hAnsi="宋体" w:cs="宋体"/>
          <w:b/>
          <w:color w:val="auto"/>
          <w:kern w:val="0"/>
          <w:sz w:val="28"/>
          <w:szCs w:val="28"/>
          <w:highlight w:val="none"/>
        </w:rPr>
      </w:pPr>
    </w:p>
    <w:p w14:paraId="12A3B610">
      <w:pPr>
        <w:pStyle w:val="75"/>
        <w:ind w:firstLine="562"/>
        <w:rPr>
          <w:rFonts w:ascii="宋体" w:hAnsi="宋体" w:cs="宋体"/>
          <w:b/>
          <w:color w:val="auto"/>
          <w:kern w:val="0"/>
          <w:sz w:val="28"/>
          <w:szCs w:val="28"/>
          <w:highlight w:val="none"/>
        </w:rPr>
      </w:pPr>
    </w:p>
    <w:p w14:paraId="1B25C591">
      <w:pPr>
        <w:pStyle w:val="75"/>
        <w:ind w:firstLine="562"/>
        <w:rPr>
          <w:rFonts w:ascii="宋体" w:hAnsi="宋体" w:cs="宋体"/>
          <w:b/>
          <w:color w:val="auto"/>
          <w:kern w:val="0"/>
          <w:sz w:val="28"/>
          <w:szCs w:val="28"/>
          <w:highlight w:val="none"/>
        </w:rPr>
      </w:pPr>
    </w:p>
    <w:p w14:paraId="73A8B0AE">
      <w:pPr>
        <w:spacing w:line="300" w:lineRule="auto"/>
        <w:contextualSpacing/>
        <w:rPr>
          <w:rFonts w:ascii="宋体" w:hAnsi="宋体" w:cs="宋体"/>
          <w:b/>
          <w:color w:val="auto"/>
          <w:sz w:val="32"/>
          <w:szCs w:val="32"/>
          <w:highlight w:val="none"/>
        </w:rPr>
      </w:pPr>
      <w:r>
        <w:rPr>
          <w:rFonts w:hint="eastAsia" w:ascii="宋体" w:hAnsi="宋体" w:cs="宋体"/>
          <w:color w:val="auto"/>
          <w:kern w:val="0"/>
          <w:sz w:val="32"/>
          <w:szCs w:val="32"/>
          <w:highlight w:val="none"/>
        </w:rPr>
        <w:br w:type="page"/>
      </w:r>
    </w:p>
    <w:p w14:paraId="004F009A">
      <w:pPr>
        <w:rPr>
          <w:rFonts w:ascii="宋体" w:hAnsi="宋体" w:cs="宋体"/>
          <w:color w:val="auto"/>
          <w:sz w:val="28"/>
          <w:szCs w:val="28"/>
          <w:highlight w:val="none"/>
        </w:rPr>
      </w:pPr>
      <w:r>
        <w:rPr>
          <w:rFonts w:hint="eastAsia" w:ascii="宋体" w:hAnsi="宋体" w:cs="宋体"/>
          <w:color w:val="auto"/>
          <w:sz w:val="28"/>
          <w:szCs w:val="28"/>
          <w:highlight w:val="none"/>
        </w:rPr>
        <w:t>附件4</w:t>
      </w:r>
    </w:p>
    <w:p w14:paraId="665BC3E9">
      <w:pPr>
        <w:pStyle w:val="2"/>
        <w:keepNext w:val="0"/>
        <w:keepLines w:val="0"/>
        <w:widowControl/>
        <w:spacing w:before="0" w:after="0" w:line="360" w:lineRule="atLeast"/>
        <w:jc w:val="center"/>
        <w:rPr>
          <w:color w:val="auto"/>
          <w:sz w:val="28"/>
          <w:szCs w:val="28"/>
          <w:highlight w:val="none"/>
        </w:rPr>
      </w:pPr>
      <w:r>
        <w:rPr>
          <w:color w:val="auto"/>
          <w:sz w:val="28"/>
          <w:szCs w:val="28"/>
          <w:highlight w:val="none"/>
        </w:rPr>
        <w:t>现场踏勘承诺函</w:t>
      </w:r>
    </w:p>
    <w:p w14:paraId="09DC663C">
      <w:pPr>
        <w:widowControl/>
        <w:spacing w:line="400" w:lineRule="atLeast"/>
        <w:jc w:val="left"/>
        <w:rPr>
          <w:color w:val="auto"/>
          <w:sz w:val="24"/>
          <w:highlight w:val="none"/>
        </w:rPr>
      </w:pPr>
      <w:r>
        <w:rPr>
          <w:rFonts w:ascii="宋体" w:hAnsi="宋体" w:cs="宋体"/>
          <w:color w:val="auto"/>
          <w:kern w:val="0"/>
          <w:sz w:val="24"/>
          <w:highlight w:val="none"/>
          <w:lang w:bidi="ar"/>
        </w:rPr>
        <w:t>致：南通职业大学</w:t>
      </w:r>
    </w:p>
    <w:p w14:paraId="730537DB">
      <w:pPr>
        <w:widowControl/>
        <w:spacing w:line="400" w:lineRule="atLeast"/>
        <w:ind w:firstLine="480" w:firstLineChars="200"/>
        <w:jc w:val="left"/>
        <w:rPr>
          <w:color w:val="auto"/>
          <w:sz w:val="24"/>
          <w:highlight w:val="none"/>
        </w:rPr>
      </w:pPr>
      <w:r>
        <w:rPr>
          <w:rFonts w:ascii="宋体" w:hAnsi="宋体" w:cs="宋体"/>
          <w:color w:val="auto"/>
          <w:kern w:val="0"/>
          <w:sz w:val="24"/>
          <w:highlight w:val="none"/>
          <w:lang w:bidi="ar"/>
        </w:rPr>
        <w:t>本单位__________（</w:t>
      </w:r>
      <w:r>
        <w:rPr>
          <w:rFonts w:hint="eastAsia" w:ascii="宋体" w:hAnsi="宋体" w:cs="宋体"/>
          <w:color w:val="auto"/>
          <w:kern w:val="0"/>
          <w:sz w:val="24"/>
          <w:highlight w:val="none"/>
          <w:lang w:bidi="ar"/>
        </w:rPr>
        <w:t>供应商</w:t>
      </w:r>
      <w:r>
        <w:rPr>
          <w:rFonts w:ascii="宋体" w:hAnsi="宋体" w:cs="宋体"/>
          <w:color w:val="auto"/>
          <w:kern w:val="0"/>
          <w:sz w:val="24"/>
          <w:highlight w:val="none"/>
          <w:lang w:bidi="ar"/>
        </w:rPr>
        <w:t>全称），自愿参与</w:t>
      </w:r>
      <w:r>
        <w:rPr>
          <w:rStyle w:val="32"/>
          <w:rFonts w:hint="eastAsia" w:ascii="宋体" w:hAnsi="宋体" w:cs="宋体"/>
          <w:color w:val="auto"/>
          <w:kern w:val="0"/>
          <w:sz w:val="24"/>
          <w:highlight w:val="none"/>
          <w:u w:val="single"/>
          <w:lang w:eastAsia="zh-CN" w:bidi="ar"/>
        </w:rPr>
        <w:t>南通职业大学汽车、轨道等实训中心仪器设备搬迁调试项目</w:t>
      </w:r>
      <w:r>
        <w:rPr>
          <w:rFonts w:ascii="宋体" w:hAnsi="宋体" w:cs="宋体"/>
          <w:color w:val="auto"/>
          <w:kern w:val="0"/>
          <w:sz w:val="24"/>
          <w:highlight w:val="none"/>
          <w:lang w:bidi="ar"/>
        </w:rPr>
        <w:t>采购磋商活动，现就本项目现场踏勘事宜郑重作出如下承诺：</w:t>
      </w:r>
    </w:p>
    <w:p w14:paraId="3D06158D">
      <w:pPr>
        <w:widowControl/>
        <w:spacing w:line="400" w:lineRule="atLeast"/>
        <w:ind w:left="-360" w:firstLine="480" w:firstLineChars="200"/>
        <w:jc w:val="left"/>
        <w:rPr>
          <w:color w:val="auto"/>
          <w:sz w:val="24"/>
          <w:highlight w:val="none"/>
        </w:rPr>
      </w:pPr>
      <w:r>
        <w:rPr>
          <w:rFonts w:hint="eastAsia"/>
          <w:color w:val="auto"/>
          <w:sz w:val="24"/>
          <w:highlight w:val="none"/>
        </w:rPr>
        <w:t>1.</w:t>
      </w:r>
      <w:r>
        <w:rPr>
          <w:color w:val="auto"/>
          <w:sz w:val="24"/>
          <w:highlight w:val="none"/>
        </w:rPr>
        <w:t>本单位已充分知悉磋商文件全部要求，自行安排专业技术人员于规定踏勘时间前往南通职业大学完成项目现场实地勘察，全面踏勘场地、设备存放点位、搬迁路线、楼层通道、校内转运条件、设备规格型号、施工环境、水电配套、作业限制、校园管理规定等全部现场实际情况。</w:t>
      </w:r>
    </w:p>
    <w:p w14:paraId="35A356D1">
      <w:pPr>
        <w:widowControl/>
        <w:spacing w:line="400" w:lineRule="atLeast"/>
        <w:ind w:left="-360" w:firstLine="480" w:firstLineChars="200"/>
        <w:jc w:val="left"/>
        <w:rPr>
          <w:color w:val="auto"/>
          <w:sz w:val="24"/>
          <w:highlight w:val="none"/>
        </w:rPr>
      </w:pPr>
      <w:r>
        <w:rPr>
          <w:rFonts w:hint="eastAsia"/>
          <w:color w:val="auto"/>
          <w:sz w:val="24"/>
          <w:highlight w:val="none"/>
        </w:rPr>
        <w:t>2.</w:t>
      </w:r>
      <w:r>
        <w:rPr>
          <w:color w:val="auto"/>
          <w:sz w:val="24"/>
          <w:highlight w:val="none"/>
        </w:rPr>
        <w:t>踏勘过程中，本单位已仔细核对《汽车与交通工程学院搬迁清单》《技师汽修搬迁清单》相关现场实物，充分掌握全部实训设备（</w:t>
      </w:r>
      <w:r>
        <w:rPr>
          <w:rFonts w:ascii="宋体" w:hAnsi="宋体" w:cs="宋体"/>
          <w:color w:val="auto"/>
          <w:sz w:val="24"/>
          <w:highlight w:val="none"/>
        </w:rPr>
        <w:t>捷安高科、风向标</w:t>
      </w:r>
      <w:r>
        <w:rPr>
          <w:rFonts w:hint="eastAsia" w:ascii="宋体" w:hAnsi="宋体" w:cs="宋体"/>
          <w:color w:val="auto"/>
          <w:sz w:val="24"/>
          <w:highlight w:val="none"/>
        </w:rPr>
        <w:t>、</w:t>
      </w:r>
      <w:r>
        <w:rPr>
          <w:color w:val="auto"/>
          <w:sz w:val="24"/>
          <w:highlight w:val="none"/>
        </w:rPr>
        <w:t>意昂神州、行云新能、朗仁、世达、格瑞斯新能源等品牌设备）拆装、转运、安装调试的全部施工难点、风险点、施工约束条件。</w:t>
      </w:r>
    </w:p>
    <w:p w14:paraId="2FEC2163">
      <w:pPr>
        <w:widowControl/>
        <w:spacing w:line="400" w:lineRule="atLeast"/>
        <w:ind w:left="-360" w:firstLine="480" w:firstLineChars="200"/>
        <w:jc w:val="left"/>
        <w:rPr>
          <w:color w:val="auto"/>
          <w:sz w:val="24"/>
          <w:highlight w:val="none"/>
        </w:rPr>
      </w:pPr>
      <w:r>
        <w:rPr>
          <w:rFonts w:hint="eastAsia"/>
          <w:color w:val="auto"/>
          <w:sz w:val="24"/>
          <w:highlight w:val="none"/>
        </w:rPr>
        <w:t>3.</w:t>
      </w:r>
      <w:r>
        <w:rPr>
          <w:color w:val="auto"/>
          <w:sz w:val="24"/>
          <w:highlight w:val="none"/>
        </w:rPr>
        <w:t>本单位已结合现场踏勘获取的全部信息，自主测算人工、车辆、防护耗材、技术服务、校内管控、安全防护、应急处置、代理服务费等全部成本，编制响应文件及报价时已完整考量所有现场客观因素、施工风险、校方管理要求，报价包含本项目实施所需全部费用。</w:t>
      </w:r>
    </w:p>
    <w:p w14:paraId="66005715">
      <w:pPr>
        <w:widowControl/>
        <w:spacing w:line="400" w:lineRule="atLeast"/>
        <w:ind w:left="-360" w:firstLine="480" w:firstLineChars="200"/>
        <w:jc w:val="left"/>
        <w:rPr>
          <w:color w:val="auto"/>
          <w:sz w:val="24"/>
          <w:highlight w:val="none"/>
        </w:rPr>
      </w:pPr>
      <w:r>
        <w:rPr>
          <w:rFonts w:hint="eastAsia"/>
          <w:color w:val="auto"/>
          <w:sz w:val="24"/>
          <w:highlight w:val="none"/>
        </w:rPr>
        <w:t>4.</w:t>
      </w:r>
      <w:r>
        <w:rPr>
          <w:color w:val="auto"/>
          <w:sz w:val="24"/>
          <w:highlight w:val="none"/>
        </w:rPr>
        <w:t>本单位承诺：</w:t>
      </w:r>
      <w:r>
        <w:rPr>
          <w:rFonts w:hint="eastAsia"/>
          <w:color w:val="auto"/>
          <w:sz w:val="24"/>
          <w:highlight w:val="none"/>
        </w:rPr>
        <w:t>成交</w:t>
      </w:r>
      <w:r>
        <w:rPr>
          <w:color w:val="auto"/>
          <w:sz w:val="24"/>
          <w:highlight w:val="none"/>
        </w:rPr>
        <w:t>后绝不以 “未踏勘现场、不了解场地、不清楚设备现状、低估施工难度、校内作业条件受限” 等任何现场相关理由，向采购人提出增加费用、延长工期、减免合同约束、索赔等要求，所有因踏勘疏漏、自身预判不足产生的成本亏损、工期延误、设备损坏等全部损失，均由本单位自行独立承担。</w:t>
      </w:r>
    </w:p>
    <w:p w14:paraId="6BA6EC50">
      <w:pPr>
        <w:widowControl/>
        <w:spacing w:line="400" w:lineRule="atLeast"/>
        <w:ind w:left="-360" w:firstLine="480" w:firstLineChars="200"/>
        <w:jc w:val="left"/>
        <w:rPr>
          <w:color w:val="auto"/>
          <w:sz w:val="24"/>
          <w:highlight w:val="none"/>
        </w:rPr>
      </w:pPr>
      <w:r>
        <w:rPr>
          <w:rFonts w:hint="eastAsia"/>
          <w:color w:val="auto"/>
          <w:sz w:val="24"/>
          <w:highlight w:val="none"/>
        </w:rPr>
        <w:t>5.</w:t>
      </w:r>
      <w:r>
        <w:rPr>
          <w:color w:val="auto"/>
          <w:sz w:val="24"/>
          <w:highlight w:val="none"/>
        </w:rPr>
        <w:t>踏勘期间本单位严格遵守南通职业大学校园管理规章制度，做好人员安全防护，文明踏勘，不损坏校内设施、实训设备，不干扰正常教学秩序，踏勘过程中发生的人身伤害、财产损毁等一切责任与费用均由本单位承担。</w:t>
      </w:r>
    </w:p>
    <w:p w14:paraId="341F372A">
      <w:pPr>
        <w:widowControl/>
        <w:spacing w:line="400" w:lineRule="atLeast"/>
        <w:ind w:left="-360" w:firstLine="480" w:firstLineChars="200"/>
        <w:jc w:val="left"/>
        <w:rPr>
          <w:color w:val="auto"/>
          <w:sz w:val="24"/>
          <w:highlight w:val="none"/>
        </w:rPr>
      </w:pPr>
      <w:r>
        <w:rPr>
          <w:rFonts w:hint="eastAsia"/>
          <w:color w:val="auto"/>
          <w:sz w:val="24"/>
          <w:highlight w:val="none"/>
        </w:rPr>
        <w:t>6.</w:t>
      </w:r>
      <w:r>
        <w:rPr>
          <w:color w:val="auto"/>
          <w:sz w:val="24"/>
          <w:highlight w:val="none"/>
        </w:rPr>
        <w:t>本单位完全认可磋商文件载明的踏勘相关全部条款，本承诺函为响应文件不可分割的组成部分，具备法律效力，若违反本承诺，采购人有权判定我方响应无效或取消</w:t>
      </w:r>
      <w:r>
        <w:rPr>
          <w:rFonts w:hint="eastAsia"/>
          <w:color w:val="auto"/>
          <w:sz w:val="24"/>
          <w:highlight w:val="none"/>
        </w:rPr>
        <w:t>成交</w:t>
      </w:r>
      <w:r>
        <w:rPr>
          <w:color w:val="auto"/>
          <w:sz w:val="24"/>
          <w:highlight w:val="none"/>
        </w:rPr>
        <w:t>资格，并追究相应违约责任。</w:t>
      </w:r>
    </w:p>
    <w:p w14:paraId="5B45ACEB">
      <w:pPr>
        <w:widowControl/>
        <w:spacing w:line="360" w:lineRule="atLeast"/>
        <w:jc w:val="left"/>
        <w:rPr>
          <w:rFonts w:ascii="宋体" w:hAnsi="宋体" w:cs="宋体"/>
          <w:color w:val="auto"/>
          <w:kern w:val="0"/>
          <w:sz w:val="24"/>
          <w:highlight w:val="none"/>
          <w:lang w:bidi="ar"/>
        </w:rPr>
      </w:pPr>
    </w:p>
    <w:p w14:paraId="076B31A4">
      <w:pPr>
        <w:widowControl/>
        <w:spacing w:line="460" w:lineRule="exact"/>
        <w:jc w:val="left"/>
        <w:rPr>
          <w:rFonts w:ascii="宋体" w:hAnsi="宋体" w:cs="宋体"/>
          <w:color w:val="auto"/>
          <w:kern w:val="0"/>
          <w:sz w:val="24"/>
          <w:highlight w:val="none"/>
          <w:lang w:bidi="ar"/>
        </w:rPr>
      </w:pPr>
      <w:r>
        <w:rPr>
          <w:rFonts w:ascii="宋体" w:hAnsi="宋体" w:cs="宋体"/>
          <w:color w:val="auto"/>
          <w:kern w:val="0"/>
          <w:sz w:val="24"/>
          <w:highlight w:val="none"/>
          <w:lang w:bidi="ar"/>
        </w:rPr>
        <w:t xml:space="preserve">承诺单位（加盖单位公章）：________________________ </w:t>
      </w:r>
    </w:p>
    <w:p w14:paraId="6FD82EFA">
      <w:pPr>
        <w:widowControl/>
        <w:spacing w:line="460" w:lineRule="exact"/>
        <w:jc w:val="left"/>
        <w:rPr>
          <w:rFonts w:ascii="宋体" w:hAnsi="宋体" w:cs="宋体"/>
          <w:color w:val="auto"/>
          <w:kern w:val="0"/>
          <w:sz w:val="24"/>
          <w:highlight w:val="none"/>
          <w:lang w:bidi="ar"/>
        </w:rPr>
      </w:pPr>
      <w:r>
        <w:rPr>
          <w:rFonts w:ascii="宋体" w:hAnsi="宋体" w:cs="宋体"/>
          <w:color w:val="auto"/>
          <w:kern w:val="0"/>
          <w:sz w:val="24"/>
          <w:highlight w:val="none"/>
          <w:lang w:bidi="ar"/>
        </w:rPr>
        <w:t xml:space="preserve">法定代表人/授权委托人（签字）：____________________ </w:t>
      </w:r>
    </w:p>
    <w:p w14:paraId="18EE77E9">
      <w:pPr>
        <w:widowControl/>
        <w:spacing w:line="460" w:lineRule="exact"/>
        <w:jc w:val="left"/>
        <w:rPr>
          <w:rFonts w:ascii="宋体" w:hAnsi="宋体" w:cs="宋体"/>
          <w:color w:val="auto"/>
          <w:kern w:val="0"/>
          <w:sz w:val="24"/>
          <w:highlight w:val="none"/>
          <w:lang w:bidi="ar"/>
        </w:rPr>
      </w:pPr>
      <w:r>
        <w:rPr>
          <w:rFonts w:ascii="宋体" w:hAnsi="宋体" w:cs="宋体"/>
          <w:color w:val="auto"/>
          <w:kern w:val="0"/>
          <w:sz w:val="24"/>
          <w:highlight w:val="none"/>
          <w:lang w:bidi="ar"/>
        </w:rPr>
        <w:t xml:space="preserve">联系电话：____________________________ </w:t>
      </w:r>
    </w:p>
    <w:p w14:paraId="7579518A">
      <w:pPr>
        <w:widowControl/>
        <w:spacing w:line="460" w:lineRule="exact"/>
        <w:jc w:val="left"/>
        <w:rPr>
          <w:color w:val="auto"/>
          <w:sz w:val="24"/>
          <w:highlight w:val="none"/>
        </w:rPr>
      </w:pPr>
      <w:r>
        <w:rPr>
          <w:rFonts w:ascii="宋体" w:hAnsi="宋体" w:cs="宋体"/>
          <w:color w:val="auto"/>
          <w:kern w:val="0"/>
          <w:sz w:val="24"/>
          <w:highlight w:val="none"/>
          <w:lang w:bidi="ar"/>
        </w:rPr>
        <w:t>日期：______年____月____日</w:t>
      </w:r>
    </w:p>
    <w:p w14:paraId="5A43EC86">
      <w:pPr>
        <w:spacing w:line="480" w:lineRule="exact"/>
        <w:rPr>
          <w:rFonts w:ascii="宋体" w:hAnsi="宋体" w:cs="宋体"/>
          <w:b/>
          <w:color w:val="auto"/>
          <w:sz w:val="28"/>
          <w:szCs w:val="28"/>
          <w:highlight w:val="none"/>
        </w:rPr>
        <w:sectPr>
          <w:pgSz w:w="11906" w:h="16838"/>
          <w:pgMar w:top="1440" w:right="1797" w:bottom="1440" w:left="1797" w:header="851" w:footer="992" w:gutter="0"/>
          <w:cols w:space="720" w:num="1"/>
          <w:docGrid w:type="lines" w:linePitch="312" w:charSpace="0"/>
        </w:sectPr>
      </w:pPr>
    </w:p>
    <w:p w14:paraId="1A77F718">
      <w:pPr>
        <w:spacing w:line="360" w:lineRule="auto"/>
        <w:ind w:firstLine="643" w:firstLineChars="200"/>
        <w:rPr>
          <w:rFonts w:ascii="宋体" w:hAnsi="宋体" w:cs="宋体"/>
          <w:b/>
          <w:bCs/>
          <w:color w:val="auto"/>
          <w:sz w:val="32"/>
          <w:szCs w:val="32"/>
          <w:highlight w:val="none"/>
        </w:rPr>
      </w:pPr>
      <w:r>
        <w:rPr>
          <w:rFonts w:hint="eastAsia" w:ascii="宋体" w:hAnsi="宋体" w:cs="宋体"/>
          <w:b/>
          <w:bCs/>
          <w:color w:val="auto"/>
          <w:sz w:val="32"/>
          <w:szCs w:val="32"/>
          <w:highlight w:val="none"/>
        </w:rPr>
        <w:t>附件5</w:t>
      </w:r>
    </w:p>
    <w:p w14:paraId="17B178ED">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设备原厂技术支持承诺函</w:t>
      </w:r>
    </w:p>
    <w:p w14:paraId="038AC263">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致：南通职业大学</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项目名称：</w:t>
      </w:r>
      <w:r>
        <w:rPr>
          <w:rFonts w:hint="eastAsia" w:ascii="宋体" w:hAnsi="宋体" w:cs="宋体"/>
          <w:color w:val="auto"/>
          <w:kern w:val="0"/>
          <w:sz w:val="28"/>
          <w:szCs w:val="28"/>
          <w:highlight w:val="none"/>
          <w:lang w:eastAsia="zh-CN"/>
        </w:rPr>
        <w:t>南通职业大学汽车、轨道等实训中心仪器设备搬迁调试项目</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项目编号：</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出具单位（设备原厂）：</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对应品牌：</w:t>
      </w:r>
    </w:p>
    <w:p w14:paraId="325E7629">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□捷安高科（2023 批次，在保） </w:t>
      </w:r>
    </w:p>
    <w:p w14:paraId="47ED4028">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□捷安高科（2021 批次，过保） </w:t>
      </w:r>
    </w:p>
    <w:p w14:paraId="3CE1847A">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□风向标（过保） </w:t>
      </w:r>
    </w:p>
    <w:p w14:paraId="66CE0515">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□意昂神州 EON（在保） </w:t>
      </w:r>
    </w:p>
    <w:p w14:paraId="51445B52">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□行云新能 INWINIC（过保） </w:t>
      </w:r>
    </w:p>
    <w:p w14:paraId="1971F64F">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□朗仁 XTOOL（在保） </w:t>
      </w:r>
    </w:p>
    <w:p w14:paraId="49BB1C75">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□世达 SATA（在保） </w:t>
      </w:r>
    </w:p>
    <w:p w14:paraId="41EB2561">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□格瑞斯新能源（在保） </w:t>
      </w:r>
    </w:p>
    <w:p w14:paraId="4098679A">
      <w:pPr>
        <w:spacing w:before="120" w:line="460" w:lineRule="exact"/>
        <w:ind w:left="559" w:leftChars="266"/>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备注：本承诺函仅可对应单个品牌，多品牌需各品牌原厂分别单独出具。</w:t>
      </w:r>
    </w:p>
    <w:p w14:paraId="7F92D4AE">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本单位系上述品牌实训设备合法生产制造商，现就</w:t>
      </w:r>
      <w:r>
        <w:rPr>
          <w:rFonts w:hint="eastAsia" w:ascii="宋体" w:hAnsi="宋体" w:cs="宋体"/>
          <w:color w:val="auto"/>
          <w:kern w:val="0"/>
          <w:sz w:val="28"/>
          <w:szCs w:val="28"/>
          <w:highlight w:val="none"/>
          <w:u w:val="single"/>
        </w:rPr>
        <w:t xml:space="preserve">   （供应商全称）</w:t>
      </w:r>
      <w:r>
        <w:rPr>
          <w:rFonts w:hint="eastAsia" w:ascii="宋体" w:hAnsi="宋体" w:cs="宋体"/>
          <w:color w:val="auto"/>
          <w:kern w:val="0"/>
          <w:sz w:val="28"/>
          <w:szCs w:val="28"/>
          <w:highlight w:val="none"/>
        </w:rPr>
        <w:t>参与本项目磋商事宜，出具本技术支持承诺函。本文件仅作为商务技术评审加分佐证材料，不作为磋商强制性资格条件，未取得本函不判定供应商无效响应。</w:t>
      </w:r>
    </w:p>
    <w:p w14:paraId="6373ABE7">
      <w:pPr>
        <w:spacing w:before="320" w:line="460" w:lineRule="exact"/>
        <w:ind w:firstLine="562" w:firstLineChars="200"/>
        <w:jc w:val="left"/>
        <w:outlineLvl w:val="1"/>
        <w:rPr>
          <w:rFonts w:ascii="宋体" w:hAnsi="宋体" w:cs="宋体"/>
          <w:b/>
          <w:bCs/>
          <w:color w:val="auto"/>
          <w:kern w:val="0"/>
          <w:sz w:val="28"/>
          <w:szCs w:val="28"/>
          <w:highlight w:val="none"/>
        </w:rPr>
      </w:pPr>
      <w:bookmarkStart w:id="85" w:name="heading_0"/>
      <w:r>
        <w:rPr>
          <w:rFonts w:hint="eastAsia" w:ascii="宋体" w:hAnsi="宋体" w:cs="宋体"/>
          <w:b/>
          <w:bCs/>
          <w:color w:val="auto"/>
          <w:kern w:val="0"/>
          <w:sz w:val="28"/>
          <w:szCs w:val="28"/>
          <w:highlight w:val="none"/>
        </w:rPr>
        <w:t>一、技术能力确认</w:t>
      </w:r>
      <w:bookmarkEnd w:id="85"/>
    </w:p>
    <w:p w14:paraId="4F3EF2BF">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经我司审核确认，该供应商熟练掌握我司品牌实训设备内部构造、专用拆机工艺、线路复原标准、整机重装校准流程、教学控制系统参数重置等全套原厂技术，具备独立开展本品牌设备拆机、转运、重装校准、系统恢复、质保延续全流程搬迁作业资质与服务能力，施工标准完全符合原厂设备技术规范。</w:t>
      </w:r>
    </w:p>
    <w:p w14:paraId="36CEC6A7">
      <w:pPr>
        <w:spacing w:before="320" w:line="460" w:lineRule="exact"/>
        <w:ind w:firstLine="562" w:firstLineChars="200"/>
        <w:jc w:val="left"/>
        <w:outlineLvl w:val="1"/>
        <w:rPr>
          <w:rFonts w:ascii="宋体" w:hAnsi="宋体" w:cs="宋体"/>
          <w:b/>
          <w:bCs/>
          <w:color w:val="auto"/>
          <w:kern w:val="0"/>
          <w:sz w:val="28"/>
          <w:szCs w:val="28"/>
          <w:highlight w:val="none"/>
        </w:rPr>
      </w:pPr>
      <w:bookmarkStart w:id="86" w:name="heading_1"/>
      <w:r>
        <w:rPr>
          <w:rFonts w:hint="eastAsia" w:ascii="宋体" w:hAnsi="宋体" w:cs="宋体"/>
          <w:b/>
          <w:bCs/>
          <w:color w:val="auto"/>
          <w:kern w:val="0"/>
          <w:sz w:val="28"/>
          <w:szCs w:val="28"/>
          <w:highlight w:val="none"/>
        </w:rPr>
        <w:t>二、原厂配套保障承诺</w:t>
      </w:r>
      <w:bookmarkEnd w:id="86"/>
    </w:p>
    <w:p w14:paraId="2CBF8E7A">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1.质保延续承诺：若由该供应商按原厂规范实施我司设备搬迁，搬迁操作不会导致设备原厂质保失效，设备出厂原有全部质保权益完整保留。</w:t>
      </w:r>
    </w:p>
    <w:p w14:paraId="7640EAB3">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2.全程技术支撑：项目全部施工周期内，我司提供 7×24 小时远程技术指导、故障排查、系统参数还原专属技术支持。</w:t>
      </w:r>
    </w:p>
    <w:p w14:paraId="69B40B26">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3.故障兜底处置：搬迁拆装、调试环节因施工产生设备软硬件故障的，我司无偿配合供应商开展原厂维修、程序重装、精度校准服务，不向采购单位收取任何原厂技术服务费。</w:t>
      </w:r>
    </w:p>
    <w:p w14:paraId="59D9BA27">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4.可选现场技术支撑：项目施工遇重大疑难设备拆装调试问题，我司可按需安排原厂认证工程师到场提供现场技术指导。</w:t>
      </w:r>
    </w:p>
    <w:p w14:paraId="62FB124F">
      <w:pPr>
        <w:spacing w:before="120" w:line="460" w:lineRule="exact"/>
        <w:ind w:firstLine="562" w:firstLineChars="200"/>
        <w:jc w:val="left"/>
        <w:rPr>
          <w:rFonts w:ascii="宋体" w:hAnsi="宋体" w:cs="宋体"/>
          <w:b/>
          <w:bCs/>
          <w:color w:val="auto"/>
          <w:kern w:val="0"/>
          <w:sz w:val="28"/>
          <w:szCs w:val="28"/>
          <w:highlight w:val="none"/>
        </w:rPr>
      </w:pPr>
      <w:bookmarkStart w:id="87" w:name="heading_2"/>
      <w:r>
        <w:rPr>
          <w:rFonts w:hint="eastAsia" w:ascii="宋体" w:hAnsi="宋体" w:cs="宋体"/>
          <w:b/>
          <w:bCs/>
          <w:color w:val="auto"/>
          <w:kern w:val="0"/>
          <w:sz w:val="28"/>
          <w:szCs w:val="28"/>
          <w:highlight w:val="none"/>
        </w:rPr>
        <w:t>三、文件使用与核验说明</w:t>
      </w:r>
      <w:bookmarkEnd w:id="87"/>
    </w:p>
    <w:p w14:paraId="65612BEA">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1.本承诺函仅针对本项目有效，不得转借、挪作其他项目使用；</w:t>
      </w:r>
    </w:p>
    <w:p w14:paraId="3A510EED">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2.供应商磋商时提交本函复印件须加盖供应商公章，项目成交后采购人有权核验本承诺函原件，核查文件真实性；</w:t>
      </w:r>
    </w:p>
    <w:p w14:paraId="7F640FE8">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3.本文件需加盖设备生产企业公章方为有效，无原厂公章不予计分。</w:t>
      </w:r>
    </w:p>
    <w:p w14:paraId="5099CC0E">
      <w:pPr>
        <w:spacing w:before="120" w:line="460" w:lineRule="exact"/>
        <w:ind w:left="559" w:leftChars="266"/>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原厂对接联系人：</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联系电话：</w:t>
      </w:r>
    </w:p>
    <w:p w14:paraId="1F15EA1A">
      <w:pPr>
        <w:spacing w:before="120" w:line="460" w:lineRule="exact"/>
        <w:ind w:left="559" w:leftChars="266"/>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设备生产企业（加盖公章）：</w:t>
      </w:r>
      <w:r>
        <w:rPr>
          <w:rFonts w:hint="eastAsia" w:ascii="宋体" w:hAnsi="宋体" w:cs="宋体"/>
          <w:color w:val="auto"/>
          <w:kern w:val="0"/>
          <w:sz w:val="28"/>
          <w:szCs w:val="28"/>
          <w:highlight w:val="none"/>
        </w:rPr>
        <w:br w:type="textWrapping"/>
      </w:r>
      <w:r>
        <w:rPr>
          <w:rFonts w:hint="eastAsia" w:ascii="宋体" w:hAnsi="宋体" w:cs="宋体"/>
          <w:color w:val="auto"/>
          <w:kern w:val="0"/>
          <w:sz w:val="28"/>
          <w:szCs w:val="28"/>
          <w:highlight w:val="none"/>
        </w:rPr>
        <w:t>开具日期：  年  月  日</w:t>
      </w:r>
    </w:p>
    <w:p w14:paraId="10506360">
      <w:pPr>
        <w:spacing w:line="480" w:lineRule="exact"/>
        <w:rPr>
          <w:rFonts w:ascii="宋体" w:hAnsi="宋体" w:cs="宋体"/>
          <w:b/>
          <w:color w:val="auto"/>
          <w:sz w:val="28"/>
          <w:szCs w:val="28"/>
          <w:highlight w:val="none"/>
        </w:rPr>
        <w:sectPr>
          <w:pgSz w:w="11906" w:h="16838"/>
          <w:pgMar w:top="1440" w:right="1797" w:bottom="1440" w:left="1797" w:header="851" w:footer="992" w:gutter="0"/>
          <w:cols w:space="720" w:num="1"/>
          <w:docGrid w:type="lines" w:linePitch="312" w:charSpace="0"/>
        </w:sectPr>
      </w:pPr>
    </w:p>
    <w:p w14:paraId="6F1D4B60">
      <w:pP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附件6：</w:t>
      </w:r>
    </w:p>
    <w:p w14:paraId="4DBA731C">
      <w:pPr>
        <w:pStyle w:val="3"/>
        <w:keepNext w:val="0"/>
        <w:keepLines w:val="0"/>
        <w:widowControl/>
        <w:spacing w:before="0" w:after="0" w:line="326" w:lineRule="atLeast"/>
        <w:jc w:val="center"/>
        <w:rPr>
          <w:rFonts w:ascii="宋体" w:hAnsi="宋体" w:eastAsia="宋体" w:cs="宋体"/>
          <w:color w:val="auto"/>
          <w:highlight w:val="none"/>
        </w:rPr>
      </w:pPr>
    </w:p>
    <w:p w14:paraId="1A33968C">
      <w:pPr>
        <w:pStyle w:val="3"/>
        <w:keepNext w:val="0"/>
        <w:keepLines w:val="0"/>
        <w:widowControl/>
        <w:spacing w:before="0" w:after="0" w:line="326" w:lineRule="atLeast"/>
        <w:jc w:val="center"/>
        <w:rPr>
          <w:rFonts w:ascii="宋体" w:hAnsi="宋体" w:eastAsia="宋体" w:cs="宋体"/>
          <w:color w:val="auto"/>
          <w:highlight w:val="none"/>
        </w:rPr>
      </w:pPr>
      <w:r>
        <w:rPr>
          <w:rFonts w:hint="eastAsia" w:ascii="宋体" w:hAnsi="宋体" w:eastAsia="宋体" w:cs="宋体"/>
          <w:color w:val="auto"/>
          <w:highlight w:val="none"/>
        </w:rPr>
        <w:t>过保设备原厂技术资源承诺函</w:t>
      </w:r>
    </w:p>
    <w:p w14:paraId="711B06C5">
      <w:pPr>
        <w:spacing w:before="120" w:line="460" w:lineRule="exact"/>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致：南通职业大学 </w:t>
      </w:r>
    </w:p>
    <w:p w14:paraId="253043B5">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项目名称：</w:t>
      </w:r>
      <w:r>
        <w:rPr>
          <w:rFonts w:hint="eastAsia" w:ascii="宋体" w:hAnsi="宋体" w:cs="宋体"/>
          <w:color w:val="auto"/>
          <w:kern w:val="0"/>
          <w:sz w:val="28"/>
          <w:szCs w:val="28"/>
          <w:highlight w:val="none"/>
          <w:lang w:eastAsia="zh-CN"/>
        </w:rPr>
        <w:t>南通职业大学汽车、轨道等实训中心仪器设备搬迁调试项目</w:t>
      </w:r>
      <w:r>
        <w:rPr>
          <w:rFonts w:hint="eastAsia" w:ascii="宋体" w:hAnsi="宋体" w:cs="宋体"/>
          <w:color w:val="auto"/>
          <w:kern w:val="0"/>
          <w:sz w:val="28"/>
          <w:szCs w:val="28"/>
          <w:highlight w:val="none"/>
        </w:rPr>
        <w:t xml:space="preserve"> </w:t>
      </w:r>
    </w:p>
    <w:p w14:paraId="1FC5B46D">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项目编号： </w:t>
      </w:r>
    </w:p>
    <w:p w14:paraId="598CBC57">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承诺品牌：</w:t>
      </w:r>
      <w:r>
        <w:rPr>
          <w:rFonts w:ascii="宋体" w:hAnsi="宋体" w:cs="宋体"/>
          <w:color w:val="auto"/>
          <w:sz w:val="24"/>
          <w:highlight w:val="none"/>
        </w:rPr>
        <w:t>□捷安高科（2021 批次） □风向标 □行云新能（INWINIC）</w:t>
      </w:r>
    </w:p>
    <w:p w14:paraId="523E28FB">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本单位郑重承诺如下：</w:t>
      </w:r>
    </w:p>
    <w:p w14:paraId="69445A6C">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1.我单位具备上述品牌全套原厂设备拆装、整机重装、精度校准、教学系统参数重置专属技术能力，拥有该品牌原厂工程师长期合作对接渠道，可全程按照原厂官方标准完成设备搬迁全流程施工。</w:t>
      </w:r>
    </w:p>
    <w:p w14:paraId="5E60BCCC">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2.搬迁全过程可随时协调原厂提供 7×24 小时远程技术指导，设备拆装、调试出现软硬件故障时，可协调原厂出具免费技术解决方案、参数重置、程序重装支持。</w:t>
      </w:r>
    </w:p>
    <w:p w14:paraId="21043B1A">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3.因我方拆装、调试操作不当造成设备损坏，由我单位全额承担维修、更换、原厂上门调试所有费用，无需采购人承担任何成本。</w:t>
      </w:r>
    </w:p>
    <w:p w14:paraId="1853DEEB">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本承诺内容真实有效，若存在虚假承诺，采购人有权直接取消我方成交资格，扣除全部合同款项，同时追究我单位全部经济与法律责任。</w:t>
      </w:r>
    </w:p>
    <w:p w14:paraId="5CD57A4B">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承诺单位（加盖公章）： </w:t>
      </w:r>
    </w:p>
    <w:p w14:paraId="059E7FE6">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法定代表人/授权委托人签字： </w:t>
      </w:r>
    </w:p>
    <w:p w14:paraId="3AC0E0DC">
      <w:pPr>
        <w:spacing w:before="120" w:line="460" w:lineRule="exact"/>
        <w:ind w:firstLine="560" w:firstLineChars="20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联系电话： 日期： 2026 年 月 日</w:t>
      </w:r>
    </w:p>
    <w:p w14:paraId="7DC0ADEC">
      <w:pPr>
        <w:spacing w:before="120" w:line="460" w:lineRule="exact"/>
        <w:ind w:firstLine="560" w:firstLineChars="200"/>
        <w:jc w:val="left"/>
        <w:rPr>
          <w:rFonts w:ascii="宋体" w:hAnsi="宋体" w:cs="宋体"/>
          <w:color w:val="auto"/>
          <w:kern w:val="0"/>
          <w:sz w:val="28"/>
          <w:szCs w:val="28"/>
          <w:highlight w:val="none"/>
        </w:rPr>
      </w:pPr>
    </w:p>
    <w:p w14:paraId="4DD9961F">
      <w:pPr>
        <w:spacing w:line="480" w:lineRule="exact"/>
        <w:rPr>
          <w:rFonts w:ascii="宋体" w:hAnsi="宋体" w:cs="宋体"/>
          <w:b/>
          <w:color w:val="auto"/>
          <w:sz w:val="28"/>
          <w:szCs w:val="28"/>
          <w:highlight w:val="none"/>
        </w:rPr>
      </w:pPr>
    </w:p>
    <w:p w14:paraId="1762E9FB">
      <w:pPr>
        <w:spacing w:line="480" w:lineRule="exact"/>
        <w:rPr>
          <w:rFonts w:ascii="宋体" w:hAnsi="宋体" w:cs="宋体"/>
          <w:b/>
          <w:color w:val="auto"/>
          <w:sz w:val="28"/>
          <w:szCs w:val="28"/>
          <w:highlight w:val="none"/>
        </w:rPr>
      </w:pPr>
    </w:p>
    <w:p w14:paraId="5DB11F34">
      <w:pPr>
        <w:spacing w:line="480" w:lineRule="exact"/>
        <w:rPr>
          <w:rFonts w:ascii="宋体" w:hAnsi="宋体" w:cs="宋体"/>
          <w:b/>
          <w:color w:val="auto"/>
          <w:sz w:val="28"/>
          <w:szCs w:val="28"/>
          <w:highlight w:val="none"/>
        </w:rPr>
      </w:pPr>
    </w:p>
    <w:p w14:paraId="24CB5302">
      <w:pP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附件7</w:t>
      </w:r>
    </w:p>
    <w:p w14:paraId="0008B409">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29"/>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609A8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77598D8E">
            <w:pPr>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6C0B42A5">
            <w:pPr>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26E4B8CD">
            <w:pPr>
              <w:jc w:val="center"/>
              <w:rPr>
                <w:rFonts w:ascii="宋体" w:hAnsi="宋体" w:cs="宋体"/>
                <w:color w:val="auto"/>
                <w:sz w:val="28"/>
                <w:szCs w:val="28"/>
                <w:highlight w:val="none"/>
              </w:rPr>
            </w:pPr>
            <w:r>
              <w:rPr>
                <w:rFonts w:hint="eastAsia" w:ascii="宋体" w:hAnsi="宋体" w:cs="宋体"/>
                <w:color w:val="auto"/>
                <w:sz w:val="28"/>
                <w:szCs w:val="28"/>
                <w:highlight w:val="none"/>
              </w:rPr>
              <w:t>磋商响应情况</w:t>
            </w:r>
          </w:p>
        </w:tc>
        <w:tc>
          <w:tcPr>
            <w:tcW w:w="2565" w:type="dxa"/>
            <w:vAlign w:val="center"/>
          </w:tcPr>
          <w:p w14:paraId="28794277">
            <w:pPr>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76484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4990B625">
            <w:pPr>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2790" w:type="dxa"/>
            <w:vAlign w:val="center"/>
          </w:tcPr>
          <w:p w14:paraId="34B59E70">
            <w:pPr>
              <w:rPr>
                <w:rFonts w:ascii="宋体" w:hAnsi="宋体" w:cs="宋体"/>
                <w:color w:val="auto"/>
                <w:sz w:val="28"/>
                <w:szCs w:val="28"/>
                <w:highlight w:val="none"/>
              </w:rPr>
            </w:pPr>
          </w:p>
        </w:tc>
        <w:tc>
          <w:tcPr>
            <w:tcW w:w="2460" w:type="dxa"/>
            <w:vAlign w:val="center"/>
          </w:tcPr>
          <w:p w14:paraId="001964A5">
            <w:pPr>
              <w:jc w:val="center"/>
              <w:rPr>
                <w:rFonts w:ascii="宋体" w:hAnsi="宋体" w:cs="宋体"/>
                <w:color w:val="auto"/>
                <w:sz w:val="28"/>
                <w:szCs w:val="28"/>
                <w:highlight w:val="none"/>
              </w:rPr>
            </w:pPr>
          </w:p>
        </w:tc>
        <w:tc>
          <w:tcPr>
            <w:tcW w:w="2565" w:type="dxa"/>
            <w:vAlign w:val="center"/>
          </w:tcPr>
          <w:p w14:paraId="043332BA">
            <w:pPr>
              <w:jc w:val="center"/>
              <w:rPr>
                <w:rFonts w:ascii="宋体" w:hAnsi="宋体" w:cs="宋体"/>
                <w:color w:val="auto"/>
                <w:sz w:val="28"/>
                <w:szCs w:val="28"/>
                <w:highlight w:val="none"/>
              </w:rPr>
            </w:pPr>
          </w:p>
        </w:tc>
      </w:tr>
      <w:tr w14:paraId="3A3B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5E4F0CDA">
            <w:pPr>
              <w:jc w:val="center"/>
              <w:rPr>
                <w:rFonts w:ascii="宋体" w:hAnsi="宋体" w:cs="宋体"/>
                <w:color w:val="auto"/>
                <w:sz w:val="28"/>
                <w:szCs w:val="28"/>
                <w:highlight w:val="none"/>
              </w:rPr>
            </w:pPr>
          </w:p>
        </w:tc>
        <w:tc>
          <w:tcPr>
            <w:tcW w:w="2790" w:type="dxa"/>
            <w:vAlign w:val="center"/>
          </w:tcPr>
          <w:p w14:paraId="71304100">
            <w:pPr>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2AEE822C">
            <w:pPr>
              <w:jc w:val="center"/>
              <w:rPr>
                <w:rFonts w:ascii="宋体" w:hAnsi="宋体" w:cs="宋体"/>
                <w:color w:val="auto"/>
                <w:sz w:val="28"/>
                <w:szCs w:val="28"/>
                <w:highlight w:val="none"/>
              </w:rPr>
            </w:pPr>
          </w:p>
        </w:tc>
        <w:tc>
          <w:tcPr>
            <w:tcW w:w="2565" w:type="dxa"/>
            <w:vAlign w:val="center"/>
          </w:tcPr>
          <w:p w14:paraId="5E5F008A">
            <w:pPr>
              <w:jc w:val="center"/>
              <w:rPr>
                <w:rFonts w:ascii="宋体" w:hAnsi="宋体" w:cs="宋体"/>
                <w:color w:val="auto"/>
                <w:sz w:val="28"/>
                <w:szCs w:val="28"/>
                <w:highlight w:val="none"/>
              </w:rPr>
            </w:pPr>
          </w:p>
        </w:tc>
      </w:tr>
    </w:tbl>
    <w:p w14:paraId="5658D569">
      <w:pPr>
        <w:spacing w:line="480" w:lineRule="exact"/>
        <w:jc w:val="center"/>
        <w:rPr>
          <w:rFonts w:ascii="宋体" w:hAnsi="宋体" w:cs="宋体"/>
          <w:b/>
          <w:color w:val="auto"/>
          <w:sz w:val="28"/>
          <w:szCs w:val="28"/>
          <w:highlight w:val="none"/>
        </w:rPr>
      </w:pPr>
    </w:p>
    <w:p w14:paraId="47ED235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  证明材料1，证明材料2，……</w:t>
      </w:r>
    </w:p>
    <w:p w14:paraId="6997DEFE">
      <w:pPr>
        <w:spacing w:line="480" w:lineRule="exact"/>
        <w:rPr>
          <w:rFonts w:ascii="宋体" w:hAnsi="宋体" w:cs="宋体"/>
          <w:color w:val="auto"/>
          <w:sz w:val="28"/>
          <w:szCs w:val="28"/>
          <w:highlight w:val="none"/>
        </w:rPr>
      </w:pPr>
    </w:p>
    <w:p w14:paraId="14A360F7">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338029C3">
      <w:pPr>
        <w:spacing w:line="480" w:lineRule="exact"/>
        <w:outlineLvl w:val="2"/>
        <w:rPr>
          <w:rFonts w:ascii="宋体" w:hAnsi="宋体" w:cs="宋体"/>
          <w:color w:val="auto"/>
          <w:sz w:val="28"/>
          <w:szCs w:val="28"/>
          <w:highlight w:val="none"/>
        </w:rPr>
      </w:pPr>
      <w:bookmarkStart w:id="88" w:name="_Toc16702"/>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rPr>
        <w:t>供应商</w:t>
      </w:r>
      <w:r>
        <w:rPr>
          <w:rFonts w:hint="eastAsia" w:ascii="宋体" w:hAnsi="宋体" w:cs="宋体"/>
          <w:color w:val="auto"/>
          <w:sz w:val="28"/>
          <w:szCs w:val="28"/>
          <w:highlight w:val="none"/>
        </w:rPr>
        <w:t>需对技术要求逐条做出明确响应。</w:t>
      </w:r>
      <w:bookmarkEnd w:id="88"/>
      <w:r>
        <w:rPr>
          <w:rFonts w:hint="eastAsia" w:ascii="宋体" w:hAnsi="宋体" w:cs="宋体"/>
          <w:color w:val="auto"/>
          <w:sz w:val="28"/>
          <w:szCs w:val="28"/>
          <w:highlight w:val="none"/>
        </w:rPr>
        <w:t>无负偏离的，可空白列示并加盖公章。</w:t>
      </w:r>
    </w:p>
    <w:p w14:paraId="73A86B2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2.如果采购文件要求提供证明材料，</w:t>
      </w:r>
      <w:r>
        <w:rPr>
          <w:rFonts w:hint="eastAsia" w:ascii="宋体" w:hAnsi="宋体" w:cs="宋体"/>
          <w:color w:val="auto"/>
          <w:kern w:val="0"/>
          <w:sz w:val="28"/>
          <w:szCs w:val="28"/>
          <w:highlight w:val="none"/>
        </w:rPr>
        <w:t>供应商</w:t>
      </w:r>
      <w:r>
        <w:rPr>
          <w:rFonts w:hint="eastAsia" w:ascii="宋体" w:hAnsi="宋体" w:cs="宋体"/>
          <w:color w:val="auto"/>
          <w:sz w:val="28"/>
          <w:szCs w:val="28"/>
          <w:highlight w:val="none"/>
        </w:rPr>
        <w:t>需将证明材料列于该表之下。</w:t>
      </w:r>
    </w:p>
    <w:p w14:paraId="3C93F970">
      <w:pPr>
        <w:spacing w:line="480" w:lineRule="exact"/>
        <w:outlineLvl w:val="3"/>
        <w:rPr>
          <w:rFonts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附件8</w:t>
      </w:r>
    </w:p>
    <w:p w14:paraId="10DF61BD">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6C96D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3CEE512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2264C4E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1D6C9EB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磋商响应情况</w:t>
            </w:r>
          </w:p>
        </w:tc>
        <w:tc>
          <w:tcPr>
            <w:tcW w:w="2320" w:type="dxa"/>
            <w:vAlign w:val="center"/>
          </w:tcPr>
          <w:p w14:paraId="0F9E3495">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D786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739FF6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220ACF60">
            <w:pPr>
              <w:spacing w:line="480" w:lineRule="exact"/>
              <w:jc w:val="center"/>
              <w:rPr>
                <w:rFonts w:ascii="宋体" w:hAnsi="宋体" w:cs="宋体"/>
                <w:color w:val="auto"/>
                <w:sz w:val="28"/>
                <w:szCs w:val="28"/>
                <w:highlight w:val="none"/>
              </w:rPr>
            </w:pPr>
          </w:p>
        </w:tc>
        <w:tc>
          <w:tcPr>
            <w:tcW w:w="2999" w:type="dxa"/>
          </w:tcPr>
          <w:p w14:paraId="21269E6E">
            <w:pPr>
              <w:spacing w:line="480" w:lineRule="exact"/>
              <w:jc w:val="center"/>
              <w:rPr>
                <w:rFonts w:ascii="宋体" w:hAnsi="宋体" w:cs="宋体"/>
                <w:color w:val="auto"/>
                <w:sz w:val="28"/>
                <w:szCs w:val="28"/>
                <w:highlight w:val="none"/>
              </w:rPr>
            </w:pPr>
          </w:p>
        </w:tc>
        <w:tc>
          <w:tcPr>
            <w:tcW w:w="2320" w:type="dxa"/>
          </w:tcPr>
          <w:p w14:paraId="1062A43D">
            <w:pPr>
              <w:spacing w:line="480" w:lineRule="exact"/>
              <w:jc w:val="center"/>
              <w:rPr>
                <w:rFonts w:ascii="宋体" w:hAnsi="宋体" w:cs="宋体"/>
                <w:color w:val="auto"/>
                <w:sz w:val="28"/>
                <w:szCs w:val="28"/>
                <w:highlight w:val="none"/>
              </w:rPr>
            </w:pPr>
          </w:p>
        </w:tc>
      </w:tr>
      <w:tr w14:paraId="5F31C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A8CFCD">
            <w:pPr>
              <w:spacing w:line="480" w:lineRule="exact"/>
              <w:jc w:val="center"/>
              <w:rPr>
                <w:rFonts w:ascii="宋体" w:hAnsi="宋体" w:cs="宋体"/>
                <w:color w:val="auto"/>
                <w:sz w:val="28"/>
                <w:szCs w:val="28"/>
                <w:highlight w:val="none"/>
              </w:rPr>
            </w:pPr>
          </w:p>
        </w:tc>
        <w:tc>
          <w:tcPr>
            <w:tcW w:w="3063" w:type="dxa"/>
          </w:tcPr>
          <w:p w14:paraId="46602F38">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386A2972">
            <w:pPr>
              <w:spacing w:line="480" w:lineRule="exact"/>
              <w:jc w:val="center"/>
              <w:rPr>
                <w:rFonts w:ascii="宋体" w:hAnsi="宋体" w:cs="宋体"/>
                <w:color w:val="auto"/>
                <w:sz w:val="28"/>
                <w:szCs w:val="28"/>
                <w:highlight w:val="none"/>
              </w:rPr>
            </w:pPr>
          </w:p>
        </w:tc>
        <w:tc>
          <w:tcPr>
            <w:tcW w:w="2320" w:type="dxa"/>
          </w:tcPr>
          <w:p w14:paraId="40C0466B">
            <w:pPr>
              <w:spacing w:line="480" w:lineRule="exact"/>
              <w:jc w:val="center"/>
              <w:rPr>
                <w:rFonts w:ascii="宋体" w:hAnsi="宋体" w:cs="宋体"/>
                <w:color w:val="auto"/>
                <w:sz w:val="28"/>
                <w:szCs w:val="28"/>
                <w:highlight w:val="none"/>
              </w:rPr>
            </w:pPr>
          </w:p>
        </w:tc>
      </w:tr>
    </w:tbl>
    <w:p w14:paraId="41C9E204">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  证明材料1，证明材料2，……</w:t>
      </w:r>
    </w:p>
    <w:p w14:paraId="0F91CE8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795B35C3">
      <w:pPr>
        <w:spacing w:line="480" w:lineRule="exact"/>
        <w:outlineLvl w:val="2"/>
        <w:rPr>
          <w:rFonts w:ascii="宋体" w:hAnsi="宋体" w:cs="宋体"/>
          <w:color w:val="auto"/>
          <w:sz w:val="28"/>
          <w:szCs w:val="28"/>
          <w:highlight w:val="none"/>
        </w:rPr>
      </w:pPr>
      <w:bookmarkStart w:id="89" w:name="_Toc12886"/>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rPr>
        <w:t>供应商</w:t>
      </w:r>
      <w:r>
        <w:rPr>
          <w:rFonts w:hint="eastAsia" w:ascii="宋体" w:hAnsi="宋体" w:cs="宋体"/>
          <w:color w:val="auto"/>
          <w:sz w:val="28"/>
          <w:szCs w:val="28"/>
          <w:highlight w:val="none"/>
        </w:rPr>
        <w:t>需对商务要求逐条做出明确响应。</w:t>
      </w:r>
      <w:bookmarkEnd w:id="89"/>
      <w:r>
        <w:rPr>
          <w:rFonts w:hint="eastAsia" w:ascii="宋体" w:hAnsi="宋体" w:cs="宋体"/>
          <w:color w:val="auto"/>
          <w:sz w:val="28"/>
          <w:szCs w:val="28"/>
          <w:highlight w:val="none"/>
        </w:rPr>
        <w:t>无负偏离的，可空白列示并加盖公章。</w:t>
      </w:r>
    </w:p>
    <w:p w14:paraId="5F0FAA6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2.如果采购文件要求提供证明材料，供应商需将证明材料列于该表之下。</w:t>
      </w:r>
    </w:p>
    <w:p w14:paraId="0E45697A">
      <w:pPr>
        <w:spacing w:line="480" w:lineRule="exact"/>
        <w:rPr>
          <w:rFonts w:ascii="宋体" w:hAnsi="宋体" w:cs="宋体"/>
          <w:b/>
          <w:color w:val="auto"/>
          <w:sz w:val="28"/>
          <w:szCs w:val="28"/>
          <w:highlight w:val="none"/>
        </w:rPr>
      </w:pPr>
    </w:p>
    <w:p w14:paraId="2E8C221A">
      <w:pPr>
        <w:snapToGrid w:val="0"/>
        <w:spacing w:line="400" w:lineRule="exact"/>
        <w:ind w:firstLine="540" w:firstLineChars="192"/>
        <w:contextualSpacing/>
        <w:rPr>
          <w:rFonts w:ascii="宋体" w:hAnsi="宋体" w:cs="宋体"/>
          <w:b/>
          <w:color w:val="auto"/>
          <w:kern w:val="0"/>
          <w:sz w:val="28"/>
          <w:szCs w:val="28"/>
          <w:highlight w:val="none"/>
        </w:rPr>
      </w:pPr>
    </w:p>
    <w:p w14:paraId="209D7A04">
      <w:pPr>
        <w:snapToGrid w:val="0"/>
        <w:spacing w:line="400" w:lineRule="exact"/>
        <w:ind w:firstLine="540" w:firstLineChars="192"/>
        <w:contextualSpacing/>
        <w:rPr>
          <w:rFonts w:ascii="宋体" w:hAnsi="宋体" w:cs="宋体"/>
          <w:b/>
          <w:color w:val="auto"/>
          <w:kern w:val="0"/>
          <w:sz w:val="28"/>
          <w:szCs w:val="28"/>
          <w:highlight w:val="none"/>
        </w:rPr>
      </w:pPr>
    </w:p>
    <w:p w14:paraId="180BC947">
      <w:pPr>
        <w:snapToGrid w:val="0"/>
        <w:spacing w:line="400" w:lineRule="exact"/>
        <w:ind w:firstLine="540" w:firstLineChars="192"/>
        <w:contextualSpacing/>
        <w:rPr>
          <w:rFonts w:ascii="宋体" w:hAnsi="宋体" w:cs="宋体"/>
          <w:b/>
          <w:color w:val="auto"/>
          <w:kern w:val="0"/>
          <w:sz w:val="28"/>
          <w:szCs w:val="28"/>
          <w:highlight w:val="none"/>
        </w:rPr>
      </w:pPr>
    </w:p>
    <w:p w14:paraId="7A405A3A">
      <w:pPr>
        <w:snapToGrid w:val="0"/>
        <w:spacing w:line="400" w:lineRule="exact"/>
        <w:ind w:firstLine="540" w:firstLineChars="192"/>
        <w:contextualSpacing/>
        <w:rPr>
          <w:rFonts w:ascii="宋体" w:hAnsi="宋体" w:cs="宋体"/>
          <w:b/>
          <w:color w:val="auto"/>
          <w:kern w:val="0"/>
          <w:sz w:val="28"/>
          <w:szCs w:val="28"/>
          <w:highlight w:val="none"/>
        </w:rPr>
      </w:pPr>
    </w:p>
    <w:p w14:paraId="7F03764A">
      <w:pPr>
        <w:snapToGrid w:val="0"/>
        <w:spacing w:line="400" w:lineRule="exact"/>
        <w:ind w:firstLine="540" w:firstLineChars="192"/>
        <w:contextualSpacing/>
        <w:rPr>
          <w:rFonts w:ascii="宋体" w:hAnsi="宋体" w:cs="宋体"/>
          <w:b/>
          <w:color w:val="auto"/>
          <w:kern w:val="0"/>
          <w:sz w:val="28"/>
          <w:szCs w:val="28"/>
          <w:highlight w:val="none"/>
        </w:rPr>
      </w:pPr>
    </w:p>
    <w:p w14:paraId="3C36C738">
      <w:pPr>
        <w:snapToGrid w:val="0"/>
        <w:spacing w:line="400" w:lineRule="exact"/>
        <w:ind w:firstLine="540" w:firstLineChars="192"/>
        <w:contextualSpacing/>
        <w:rPr>
          <w:rFonts w:ascii="宋体" w:hAnsi="宋体" w:cs="宋体"/>
          <w:b/>
          <w:color w:val="auto"/>
          <w:kern w:val="0"/>
          <w:sz w:val="28"/>
          <w:szCs w:val="28"/>
          <w:highlight w:val="none"/>
        </w:rPr>
      </w:pPr>
    </w:p>
    <w:p w14:paraId="59ABAEA5">
      <w:pPr>
        <w:snapToGrid w:val="0"/>
        <w:spacing w:line="400" w:lineRule="exact"/>
        <w:ind w:firstLine="540" w:firstLineChars="192"/>
        <w:contextualSpacing/>
        <w:rPr>
          <w:rFonts w:ascii="宋体" w:hAnsi="宋体" w:cs="宋体"/>
          <w:b/>
          <w:color w:val="auto"/>
          <w:kern w:val="0"/>
          <w:sz w:val="28"/>
          <w:szCs w:val="28"/>
          <w:highlight w:val="none"/>
        </w:rPr>
      </w:pPr>
    </w:p>
    <w:p w14:paraId="4D226348">
      <w:pPr>
        <w:snapToGrid w:val="0"/>
        <w:spacing w:line="400" w:lineRule="exact"/>
        <w:ind w:firstLine="540" w:firstLineChars="192"/>
        <w:contextualSpacing/>
        <w:rPr>
          <w:rFonts w:ascii="宋体" w:hAnsi="宋体" w:cs="宋体"/>
          <w:b/>
          <w:color w:val="auto"/>
          <w:kern w:val="0"/>
          <w:sz w:val="28"/>
          <w:szCs w:val="28"/>
          <w:highlight w:val="none"/>
        </w:rPr>
      </w:pPr>
    </w:p>
    <w:p w14:paraId="671855DF">
      <w:pPr>
        <w:snapToGrid w:val="0"/>
        <w:spacing w:line="400" w:lineRule="exact"/>
        <w:ind w:firstLine="540" w:firstLineChars="192"/>
        <w:contextualSpacing/>
        <w:rPr>
          <w:rFonts w:ascii="宋体" w:hAnsi="宋体" w:cs="宋体"/>
          <w:b/>
          <w:color w:val="auto"/>
          <w:kern w:val="0"/>
          <w:sz w:val="28"/>
          <w:szCs w:val="28"/>
          <w:highlight w:val="none"/>
        </w:rPr>
      </w:pPr>
    </w:p>
    <w:p w14:paraId="265919AD">
      <w:pPr>
        <w:snapToGrid w:val="0"/>
        <w:spacing w:line="400" w:lineRule="exact"/>
        <w:contextualSpacing/>
        <w:rPr>
          <w:rFonts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4A6781B8">
      <w:pPr>
        <w:snapToGrid w:val="0"/>
        <w:spacing w:line="400" w:lineRule="exact"/>
        <w:contextualSpacing/>
        <w:rPr>
          <w:rFonts w:ascii="宋体" w:hAnsi="宋体" w:cs="宋体"/>
          <w:color w:val="auto"/>
          <w:kern w:val="0"/>
          <w:sz w:val="32"/>
          <w:szCs w:val="32"/>
          <w:highlight w:val="none"/>
        </w:rPr>
      </w:pPr>
      <w:r>
        <w:rPr>
          <w:rFonts w:hint="eastAsia" w:ascii="宋体" w:hAnsi="宋体" w:cs="宋体"/>
          <w:color w:val="auto"/>
          <w:kern w:val="0"/>
          <w:sz w:val="32"/>
          <w:szCs w:val="32"/>
          <w:highlight w:val="none"/>
        </w:rPr>
        <w:t>附件9</w:t>
      </w:r>
    </w:p>
    <w:p w14:paraId="4CC5864A">
      <w:pPr>
        <w:widowControl/>
        <w:spacing w:before="100" w:beforeAutospacing="1" w:after="100" w:afterAutospacing="1" w:line="360" w:lineRule="auto"/>
        <w:jc w:val="center"/>
        <w:rPr>
          <w:rFonts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1EB3E3FC">
      <w:pPr>
        <w:spacing w:line="360" w:lineRule="auto"/>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rPr>
        <w:t>供应商全称（加盖公章）：</w:t>
      </w:r>
    </w:p>
    <w:p w14:paraId="5DCC5F34">
      <w:pPr>
        <w:spacing w:line="360" w:lineRule="auto"/>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7EDA479F">
      <w:pPr>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6"/>
        <w:gridCol w:w="2943"/>
        <w:gridCol w:w="2929"/>
      </w:tblGrid>
      <w:tr w14:paraId="4B8F9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2759" w:type="dxa"/>
          </w:tcPr>
          <w:p w14:paraId="50BB0741">
            <w:pPr>
              <w:spacing w:line="360" w:lineRule="auto"/>
              <w:jc w:val="center"/>
              <w:rPr>
                <w:rFonts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3062" w:type="dxa"/>
          </w:tcPr>
          <w:p w14:paraId="74AC23FC">
            <w:pPr>
              <w:spacing w:line="360" w:lineRule="auto"/>
              <w:jc w:val="center"/>
              <w:rPr>
                <w:rFonts w:ascii="宋体" w:hAnsi="宋体" w:cs="宋体"/>
                <w:color w:val="auto"/>
                <w:sz w:val="28"/>
                <w:szCs w:val="28"/>
                <w:highlight w:val="none"/>
              </w:rPr>
            </w:pPr>
            <w:r>
              <w:rPr>
                <w:rFonts w:hint="eastAsia" w:ascii="宋体" w:hAnsi="宋体" w:cs="宋体"/>
                <w:color w:val="auto"/>
                <w:kern w:val="0"/>
                <w:sz w:val="28"/>
                <w:szCs w:val="28"/>
                <w:highlight w:val="none"/>
              </w:rPr>
              <w:t>磋商总报价</w:t>
            </w:r>
          </w:p>
        </w:tc>
        <w:tc>
          <w:tcPr>
            <w:tcW w:w="3062" w:type="dxa"/>
          </w:tcPr>
          <w:p w14:paraId="5F8BB529">
            <w:pPr>
              <w:spacing w:line="360" w:lineRule="auto"/>
              <w:jc w:val="center"/>
              <w:rPr>
                <w:rFonts w:ascii="宋体" w:hAnsi="宋体" w:cs="宋体"/>
                <w:color w:val="auto"/>
                <w:kern w:val="0"/>
                <w:sz w:val="28"/>
                <w:szCs w:val="28"/>
                <w:highlight w:val="none"/>
              </w:rPr>
            </w:pPr>
            <w:r>
              <w:rPr>
                <w:rFonts w:hint="eastAsia" w:ascii="宋体" w:hAnsi="宋体" w:cs="宋体"/>
                <w:b/>
                <w:color w:val="auto"/>
                <w:sz w:val="28"/>
                <w:szCs w:val="28"/>
                <w:highlight w:val="none"/>
              </w:rPr>
              <w:t>供货期</w:t>
            </w:r>
          </w:p>
        </w:tc>
      </w:tr>
      <w:tr w14:paraId="546C5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2759" w:type="dxa"/>
          </w:tcPr>
          <w:p w14:paraId="44E06FD0">
            <w:pPr>
              <w:spacing w:line="360" w:lineRule="auto"/>
              <w:jc w:val="left"/>
              <w:rPr>
                <w:rFonts w:ascii="宋体" w:hAnsi="宋体" w:cs="宋体"/>
                <w:color w:val="auto"/>
                <w:sz w:val="28"/>
                <w:szCs w:val="28"/>
                <w:highlight w:val="none"/>
              </w:rPr>
            </w:pPr>
          </w:p>
        </w:tc>
        <w:tc>
          <w:tcPr>
            <w:tcW w:w="3062" w:type="dxa"/>
            <w:vAlign w:val="center"/>
          </w:tcPr>
          <w:p w14:paraId="62E36AFE">
            <w:pPr>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大写：     人民币</w:t>
            </w:r>
          </w:p>
          <w:p w14:paraId="456D2973">
            <w:pPr>
              <w:spacing w:line="360" w:lineRule="auto"/>
              <w:rPr>
                <w:rFonts w:ascii="宋体" w:hAnsi="宋体" w:cs="宋体"/>
                <w:color w:val="auto"/>
                <w:sz w:val="28"/>
                <w:szCs w:val="28"/>
                <w:highlight w:val="none"/>
                <w:u w:val="single"/>
              </w:rPr>
            </w:pPr>
            <w:r>
              <w:rPr>
                <w:rFonts w:hint="eastAsia" w:ascii="宋体" w:hAnsi="宋体" w:cs="宋体"/>
                <w:color w:val="auto"/>
                <w:kern w:val="0"/>
                <w:sz w:val="28"/>
                <w:szCs w:val="28"/>
                <w:highlight w:val="none"/>
              </w:rPr>
              <w:t>小写：     元（人民币）</w:t>
            </w:r>
          </w:p>
        </w:tc>
        <w:tc>
          <w:tcPr>
            <w:tcW w:w="3062" w:type="dxa"/>
            <w:vAlign w:val="center"/>
          </w:tcPr>
          <w:p w14:paraId="39D11F19">
            <w:pPr>
              <w:spacing w:line="360" w:lineRule="auto"/>
              <w:rPr>
                <w:rFonts w:ascii="宋体" w:hAnsi="宋体" w:cs="宋体"/>
                <w:color w:val="auto"/>
                <w:kern w:val="0"/>
                <w:sz w:val="28"/>
                <w:szCs w:val="28"/>
                <w:highlight w:val="none"/>
              </w:rPr>
            </w:pPr>
          </w:p>
        </w:tc>
      </w:tr>
    </w:tbl>
    <w:p w14:paraId="46756C0E">
      <w:pPr>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58EDD3F0">
      <w:pPr>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503BB3D2">
      <w:pPr>
        <w:tabs>
          <w:tab w:val="left" w:pos="340"/>
        </w:tabs>
        <w:kinsoku w:val="0"/>
        <w:topLinePunct/>
        <w:snapToGrid w:val="0"/>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577FE1FD">
      <w:pPr>
        <w:tabs>
          <w:tab w:val="left" w:pos="340"/>
        </w:tabs>
        <w:kinsoku w:val="0"/>
        <w:topLinePunct/>
        <w:snapToGrid w:val="0"/>
        <w:spacing w:line="360" w:lineRule="auto"/>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价格报价，供应商应充分考虑服务实施期间各类市场价格和政策性价格调整因素，确定价格风险计入总报价，今后不作调整。应包含但不限于如人工、搬运、机械费、制作、安装、税费、运输、售后服务及相关劳务支出等工作所发生的全部费用以及供应商企业利润、税金和政策性文件规定及合同包含的所有风险、责任，即本采购文件规定的各项应有费用。</w:t>
      </w:r>
    </w:p>
    <w:p w14:paraId="0EE82FCA">
      <w:pPr>
        <w:spacing w:line="460" w:lineRule="exact"/>
        <w:rPr>
          <w:rFonts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10FCBB16">
      <w:pPr>
        <w:snapToGrid w:val="0"/>
        <w:spacing w:line="360" w:lineRule="auto"/>
        <w:rPr>
          <w:rFonts w:ascii="宋体" w:hAnsi="宋体" w:cs="宋体"/>
          <w:color w:val="auto"/>
          <w:kern w:val="0"/>
          <w:sz w:val="32"/>
          <w:szCs w:val="32"/>
          <w:highlight w:val="none"/>
        </w:rPr>
      </w:pPr>
      <w:r>
        <w:rPr>
          <w:rFonts w:hint="eastAsia" w:ascii="宋体" w:hAnsi="宋体" w:cs="宋体"/>
          <w:color w:val="auto"/>
          <w:kern w:val="0"/>
          <w:sz w:val="32"/>
          <w:szCs w:val="32"/>
          <w:highlight w:val="none"/>
        </w:rPr>
        <w:t>附件10</w:t>
      </w:r>
    </w:p>
    <w:p w14:paraId="56C88F20">
      <w:pPr>
        <w:snapToGrid w:val="0"/>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分项报价明细表</w:t>
      </w:r>
    </w:p>
    <w:p w14:paraId="7FCC2F29">
      <w:pPr>
        <w:pStyle w:val="10"/>
        <w:rPr>
          <w:color w:val="auto"/>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3074"/>
        <w:gridCol w:w="2355"/>
        <w:gridCol w:w="1665"/>
      </w:tblGrid>
      <w:tr w14:paraId="12D3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816" w:type="dxa"/>
            <w:vAlign w:val="center"/>
          </w:tcPr>
          <w:p w14:paraId="016FF959">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序号</w:t>
            </w:r>
          </w:p>
        </w:tc>
        <w:tc>
          <w:tcPr>
            <w:tcW w:w="3074" w:type="dxa"/>
            <w:vAlign w:val="center"/>
          </w:tcPr>
          <w:p w14:paraId="190C94DF">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费用名称</w:t>
            </w:r>
          </w:p>
        </w:tc>
        <w:tc>
          <w:tcPr>
            <w:tcW w:w="2355" w:type="dxa"/>
            <w:vAlign w:val="center"/>
          </w:tcPr>
          <w:p w14:paraId="07461F0A">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磋商报价（元）</w:t>
            </w:r>
          </w:p>
        </w:tc>
        <w:tc>
          <w:tcPr>
            <w:tcW w:w="1665" w:type="dxa"/>
            <w:vAlign w:val="center"/>
          </w:tcPr>
          <w:p w14:paraId="18CB9BB0">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备注</w:t>
            </w:r>
          </w:p>
        </w:tc>
      </w:tr>
      <w:tr w14:paraId="5836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16" w:type="dxa"/>
            <w:vAlign w:val="center"/>
          </w:tcPr>
          <w:p w14:paraId="0BB5567C">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w:t>
            </w:r>
          </w:p>
        </w:tc>
        <w:tc>
          <w:tcPr>
            <w:tcW w:w="3074" w:type="dxa"/>
            <w:vAlign w:val="center"/>
          </w:tcPr>
          <w:p w14:paraId="69D8EC5D">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举升机拆装移位</w:t>
            </w:r>
          </w:p>
        </w:tc>
        <w:tc>
          <w:tcPr>
            <w:tcW w:w="2355" w:type="dxa"/>
            <w:vAlign w:val="center"/>
          </w:tcPr>
          <w:p w14:paraId="2117E86F">
            <w:pPr>
              <w:jc w:val="center"/>
              <w:rPr>
                <w:rFonts w:asciiTheme="majorEastAsia" w:hAnsiTheme="majorEastAsia" w:eastAsiaTheme="majorEastAsia" w:cstheme="majorEastAsia"/>
                <w:color w:val="auto"/>
                <w:sz w:val="28"/>
                <w:szCs w:val="28"/>
                <w:highlight w:val="none"/>
              </w:rPr>
            </w:pPr>
          </w:p>
        </w:tc>
        <w:tc>
          <w:tcPr>
            <w:tcW w:w="1665" w:type="dxa"/>
            <w:vAlign w:val="center"/>
          </w:tcPr>
          <w:p w14:paraId="4CF20509">
            <w:pPr>
              <w:jc w:val="center"/>
              <w:rPr>
                <w:rFonts w:asciiTheme="majorEastAsia" w:hAnsiTheme="majorEastAsia" w:eastAsiaTheme="majorEastAsia" w:cstheme="majorEastAsia"/>
                <w:color w:val="auto"/>
                <w:sz w:val="28"/>
                <w:szCs w:val="28"/>
                <w:highlight w:val="none"/>
              </w:rPr>
            </w:pPr>
          </w:p>
        </w:tc>
      </w:tr>
      <w:tr w14:paraId="37AD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816" w:type="dxa"/>
            <w:vAlign w:val="center"/>
          </w:tcPr>
          <w:p w14:paraId="21E6E1A2">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w:t>
            </w:r>
          </w:p>
        </w:tc>
        <w:tc>
          <w:tcPr>
            <w:tcW w:w="3074" w:type="dxa"/>
            <w:vAlign w:val="center"/>
          </w:tcPr>
          <w:p w14:paraId="64DAA579">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气路管路拆除、布设、对接、气密性检测等</w:t>
            </w:r>
          </w:p>
        </w:tc>
        <w:tc>
          <w:tcPr>
            <w:tcW w:w="2355" w:type="dxa"/>
            <w:vAlign w:val="center"/>
          </w:tcPr>
          <w:p w14:paraId="24318075">
            <w:pPr>
              <w:jc w:val="center"/>
              <w:rPr>
                <w:rFonts w:asciiTheme="majorEastAsia" w:hAnsiTheme="majorEastAsia" w:eastAsiaTheme="majorEastAsia" w:cstheme="majorEastAsia"/>
                <w:color w:val="auto"/>
                <w:sz w:val="28"/>
                <w:szCs w:val="28"/>
                <w:highlight w:val="none"/>
              </w:rPr>
            </w:pPr>
          </w:p>
        </w:tc>
        <w:tc>
          <w:tcPr>
            <w:tcW w:w="1665" w:type="dxa"/>
            <w:vAlign w:val="center"/>
          </w:tcPr>
          <w:p w14:paraId="5D94296F">
            <w:pPr>
              <w:jc w:val="center"/>
              <w:rPr>
                <w:rFonts w:asciiTheme="majorEastAsia" w:hAnsiTheme="majorEastAsia" w:eastAsiaTheme="majorEastAsia" w:cstheme="majorEastAsia"/>
                <w:color w:val="auto"/>
                <w:sz w:val="28"/>
                <w:szCs w:val="28"/>
                <w:highlight w:val="none"/>
              </w:rPr>
            </w:pPr>
          </w:p>
        </w:tc>
      </w:tr>
      <w:tr w14:paraId="44E97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816" w:type="dxa"/>
            <w:vAlign w:val="center"/>
          </w:tcPr>
          <w:p w14:paraId="2832B718">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w:t>
            </w:r>
          </w:p>
        </w:tc>
        <w:tc>
          <w:tcPr>
            <w:tcW w:w="3074" w:type="dxa"/>
            <w:vAlign w:val="center"/>
          </w:tcPr>
          <w:p w14:paraId="653475DB">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普通设备拆装费</w:t>
            </w:r>
          </w:p>
        </w:tc>
        <w:tc>
          <w:tcPr>
            <w:tcW w:w="2355" w:type="dxa"/>
            <w:vAlign w:val="center"/>
          </w:tcPr>
          <w:p w14:paraId="5CE5E0DB">
            <w:pPr>
              <w:jc w:val="center"/>
              <w:rPr>
                <w:rFonts w:asciiTheme="majorEastAsia" w:hAnsiTheme="majorEastAsia" w:eastAsiaTheme="majorEastAsia" w:cstheme="majorEastAsia"/>
                <w:color w:val="auto"/>
                <w:sz w:val="28"/>
                <w:szCs w:val="28"/>
                <w:highlight w:val="none"/>
              </w:rPr>
            </w:pPr>
          </w:p>
        </w:tc>
        <w:tc>
          <w:tcPr>
            <w:tcW w:w="1665" w:type="dxa"/>
            <w:vAlign w:val="center"/>
          </w:tcPr>
          <w:p w14:paraId="53E36514">
            <w:pPr>
              <w:jc w:val="center"/>
              <w:rPr>
                <w:rFonts w:asciiTheme="majorEastAsia" w:hAnsiTheme="majorEastAsia" w:eastAsiaTheme="majorEastAsia" w:cstheme="majorEastAsia"/>
                <w:color w:val="auto"/>
                <w:sz w:val="28"/>
                <w:szCs w:val="28"/>
                <w:highlight w:val="none"/>
              </w:rPr>
            </w:pPr>
          </w:p>
        </w:tc>
      </w:tr>
      <w:tr w14:paraId="55E0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816" w:type="dxa"/>
            <w:vAlign w:val="center"/>
          </w:tcPr>
          <w:p w14:paraId="777AE0D8">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w:t>
            </w:r>
          </w:p>
        </w:tc>
        <w:tc>
          <w:tcPr>
            <w:tcW w:w="3074" w:type="dxa"/>
            <w:shd w:val="clear" w:color="auto" w:fill="auto"/>
            <w:vAlign w:val="center"/>
          </w:tcPr>
          <w:p w14:paraId="027B4245">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物料打包费</w:t>
            </w:r>
          </w:p>
        </w:tc>
        <w:tc>
          <w:tcPr>
            <w:tcW w:w="2355" w:type="dxa"/>
            <w:vAlign w:val="center"/>
          </w:tcPr>
          <w:p w14:paraId="1D6B94FA">
            <w:pPr>
              <w:jc w:val="center"/>
              <w:rPr>
                <w:rFonts w:asciiTheme="majorEastAsia" w:hAnsiTheme="majorEastAsia" w:eastAsiaTheme="majorEastAsia" w:cstheme="majorEastAsia"/>
                <w:color w:val="auto"/>
                <w:sz w:val="28"/>
                <w:szCs w:val="28"/>
                <w:highlight w:val="none"/>
              </w:rPr>
            </w:pPr>
          </w:p>
        </w:tc>
        <w:tc>
          <w:tcPr>
            <w:tcW w:w="1665" w:type="dxa"/>
            <w:vAlign w:val="center"/>
          </w:tcPr>
          <w:p w14:paraId="66C0D4B7">
            <w:pPr>
              <w:jc w:val="center"/>
              <w:rPr>
                <w:rFonts w:asciiTheme="majorEastAsia" w:hAnsiTheme="majorEastAsia" w:eastAsiaTheme="majorEastAsia" w:cstheme="majorEastAsia"/>
                <w:color w:val="auto"/>
                <w:sz w:val="28"/>
                <w:szCs w:val="28"/>
                <w:highlight w:val="none"/>
              </w:rPr>
            </w:pPr>
          </w:p>
        </w:tc>
      </w:tr>
      <w:tr w14:paraId="4CE2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816" w:type="dxa"/>
            <w:vAlign w:val="center"/>
          </w:tcPr>
          <w:p w14:paraId="595D83A8">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w:t>
            </w:r>
          </w:p>
        </w:tc>
        <w:tc>
          <w:tcPr>
            <w:tcW w:w="3074" w:type="dxa"/>
            <w:shd w:val="clear" w:color="auto" w:fill="auto"/>
            <w:vAlign w:val="center"/>
          </w:tcPr>
          <w:p w14:paraId="05B8D8D0">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专业设备拆装费</w:t>
            </w:r>
          </w:p>
        </w:tc>
        <w:tc>
          <w:tcPr>
            <w:tcW w:w="2355" w:type="dxa"/>
            <w:vAlign w:val="center"/>
          </w:tcPr>
          <w:p w14:paraId="207F6677">
            <w:pPr>
              <w:jc w:val="center"/>
              <w:rPr>
                <w:rFonts w:asciiTheme="majorEastAsia" w:hAnsiTheme="majorEastAsia" w:eastAsiaTheme="majorEastAsia" w:cstheme="majorEastAsia"/>
                <w:color w:val="auto"/>
                <w:sz w:val="28"/>
                <w:szCs w:val="28"/>
                <w:highlight w:val="none"/>
              </w:rPr>
            </w:pPr>
          </w:p>
        </w:tc>
        <w:tc>
          <w:tcPr>
            <w:tcW w:w="1665" w:type="dxa"/>
            <w:vAlign w:val="center"/>
          </w:tcPr>
          <w:p w14:paraId="655A096A">
            <w:pPr>
              <w:jc w:val="center"/>
              <w:rPr>
                <w:rFonts w:asciiTheme="majorEastAsia" w:hAnsiTheme="majorEastAsia" w:eastAsiaTheme="majorEastAsia" w:cstheme="majorEastAsia"/>
                <w:color w:val="auto"/>
                <w:sz w:val="28"/>
                <w:szCs w:val="28"/>
                <w:highlight w:val="none"/>
              </w:rPr>
            </w:pPr>
          </w:p>
        </w:tc>
      </w:tr>
      <w:tr w14:paraId="7F40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816" w:type="dxa"/>
            <w:vAlign w:val="center"/>
          </w:tcPr>
          <w:p w14:paraId="47F983A7">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w:t>
            </w:r>
          </w:p>
        </w:tc>
        <w:tc>
          <w:tcPr>
            <w:tcW w:w="3074" w:type="dxa"/>
            <w:shd w:val="clear" w:color="auto" w:fill="auto"/>
            <w:vAlign w:val="center"/>
          </w:tcPr>
          <w:p w14:paraId="3F590AC3">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装卸作业费</w:t>
            </w:r>
          </w:p>
        </w:tc>
        <w:tc>
          <w:tcPr>
            <w:tcW w:w="2355" w:type="dxa"/>
            <w:vAlign w:val="center"/>
          </w:tcPr>
          <w:p w14:paraId="30493AB4">
            <w:pPr>
              <w:jc w:val="center"/>
              <w:rPr>
                <w:rFonts w:asciiTheme="majorEastAsia" w:hAnsiTheme="majorEastAsia" w:eastAsiaTheme="majorEastAsia" w:cstheme="majorEastAsia"/>
                <w:color w:val="auto"/>
                <w:sz w:val="28"/>
                <w:szCs w:val="28"/>
                <w:highlight w:val="none"/>
              </w:rPr>
            </w:pPr>
          </w:p>
        </w:tc>
        <w:tc>
          <w:tcPr>
            <w:tcW w:w="1665" w:type="dxa"/>
            <w:vAlign w:val="center"/>
          </w:tcPr>
          <w:p w14:paraId="7399F725">
            <w:pPr>
              <w:jc w:val="center"/>
              <w:rPr>
                <w:rFonts w:asciiTheme="majorEastAsia" w:hAnsiTheme="majorEastAsia" w:eastAsiaTheme="majorEastAsia" w:cstheme="majorEastAsia"/>
                <w:color w:val="auto"/>
                <w:sz w:val="28"/>
                <w:szCs w:val="28"/>
                <w:highlight w:val="none"/>
              </w:rPr>
            </w:pPr>
          </w:p>
        </w:tc>
      </w:tr>
      <w:tr w14:paraId="3D0C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816" w:type="dxa"/>
            <w:vAlign w:val="center"/>
          </w:tcPr>
          <w:p w14:paraId="4C536C78">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7</w:t>
            </w:r>
          </w:p>
        </w:tc>
        <w:tc>
          <w:tcPr>
            <w:tcW w:w="3074" w:type="dxa"/>
            <w:shd w:val="clear" w:color="auto" w:fill="auto"/>
            <w:vAlign w:val="center"/>
          </w:tcPr>
          <w:p w14:paraId="26E3AC6D">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专用车辆及运输费</w:t>
            </w:r>
          </w:p>
        </w:tc>
        <w:tc>
          <w:tcPr>
            <w:tcW w:w="2355" w:type="dxa"/>
            <w:vAlign w:val="center"/>
          </w:tcPr>
          <w:p w14:paraId="37656C64">
            <w:pPr>
              <w:jc w:val="center"/>
              <w:rPr>
                <w:rFonts w:asciiTheme="majorEastAsia" w:hAnsiTheme="majorEastAsia" w:eastAsiaTheme="majorEastAsia" w:cstheme="majorEastAsia"/>
                <w:color w:val="auto"/>
                <w:sz w:val="28"/>
                <w:szCs w:val="28"/>
                <w:highlight w:val="none"/>
              </w:rPr>
            </w:pPr>
          </w:p>
        </w:tc>
        <w:tc>
          <w:tcPr>
            <w:tcW w:w="1665" w:type="dxa"/>
            <w:vAlign w:val="center"/>
          </w:tcPr>
          <w:p w14:paraId="1502D3B9">
            <w:pPr>
              <w:jc w:val="center"/>
              <w:rPr>
                <w:rFonts w:asciiTheme="majorEastAsia" w:hAnsiTheme="majorEastAsia" w:eastAsiaTheme="majorEastAsia" w:cstheme="majorEastAsia"/>
                <w:color w:val="auto"/>
                <w:sz w:val="28"/>
                <w:szCs w:val="28"/>
                <w:highlight w:val="none"/>
              </w:rPr>
            </w:pPr>
          </w:p>
        </w:tc>
      </w:tr>
      <w:tr w14:paraId="4AEB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816" w:type="dxa"/>
            <w:vAlign w:val="center"/>
          </w:tcPr>
          <w:p w14:paraId="23E6269D">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w:t>
            </w:r>
          </w:p>
        </w:tc>
        <w:tc>
          <w:tcPr>
            <w:tcW w:w="3074" w:type="dxa"/>
            <w:shd w:val="clear" w:color="auto" w:fill="auto"/>
            <w:vAlign w:val="center"/>
          </w:tcPr>
          <w:p w14:paraId="0CF443F7">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搬迁人工费</w:t>
            </w:r>
          </w:p>
        </w:tc>
        <w:tc>
          <w:tcPr>
            <w:tcW w:w="2355" w:type="dxa"/>
            <w:vAlign w:val="center"/>
          </w:tcPr>
          <w:p w14:paraId="25332874">
            <w:pPr>
              <w:jc w:val="center"/>
              <w:rPr>
                <w:rFonts w:asciiTheme="majorEastAsia" w:hAnsiTheme="majorEastAsia" w:eastAsiaTheme="majorEastAsia" w:cstheme="majorEastAsia"/>
                <w:color w:val="auto"/>
                <w:sz w:val="28"/>
                <w:szCs w:val="28"/>
                <w:highlight w:val="none"/>
              </w:rPr>
            </w:pPr>
          </w:p>
        </w:tc>
        <w:tc>
          <w:tcPr>
            <w:tcW w:w="1665" w:type="dxa"/>
            <w:vAlign w:val="center"/>
          </w:tcPr>
          <w:p w14:paraId="6FD98C9A">
            <w:pPr>
              <w:jc w:val="center"/>
              <w:rPr>
                <w:rFonts w:asciiTheme="majorEastAsia" w:hAnsiTheme="majorEastAsia" w:eastAsiaTheme="majorEastAsia" w:cstheme="majorEastAsia"/>
                <w:color w:val="auto"/>
                <w:sz w:val="28"/>
                <w:szCs w:val="28"/>
                <w:highlight w:val="none"/>
              </w:rPr>
            </w:pPr>
          </w:p>
        </w:tc>
      </w:tr>
      <w:tr w14:paraId="6614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816" w:type="dxa"/>
            <w:vAlign w:val="center"/>
          </w:tcPr>
          <w:p w14:paraId="5CF9D14E">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9</w:t>
            </w:r>
          </w:p>
        </w:tc>
        <w:tc>
          <w:tcPr>
            <w:tcW w:w="3074" w:type="dxa"/>
            <w:shd w:val="clear" w:color="auto" w:fill="auto"/>
            <w:vAlign w:val="center"/>
          </w:tcPr>
          <w:p w14:paraId="6F148133">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设备调试费</w:t>
            </w:r>
          </w:p>
        </w:tc>
        <w:tc>
          <w:tcPr>
            <w:tcW w:w="2355" w:type="dxa"/>
            <w:vAlign w:val="center"/>
          </w:tcPr>
          <w:p w14:paraId="5C3D6641">
            <w:pPr>
              <w:jc w:val="center"/>
              <w:rPr>
                <w:rFonts w:asciiTheme="majorEastAsia" w:hAnsiTheme="majorEastAsia" w:eastAsiaTheme="majorEastAsia" w:cstheme="majorEastAsia"/>
                <w:color w:val="auto"/>
                <w:sz w:val="28"/>
                <w:szCs w:val="28"/>
                <w:highlight w:val="none"/>
              </w:rPr>
            </w:pPr>
          </w:p>
        </w:tc>
        <w:tc>
          <w:tcPr>
            <w:tcW w:w="1665" w:type="dxa"/>
            <w:vAlign w:val="center"/>
          </w:tcPr>
          <w:p w14:paraId="07969297">
            <w:pPr>
              <w:jc w:val="center"/>
              <w:rPr>
                <w:rFonts w:asciiTheme="majorEastAsia" w:hAnsiTheme="majorEastAsia" w:eastAsiaTheme="majorEastAsia" w:cstheme="majorEastAsia"/>
                <w:color w:val="auto"/>
                <w:sz w:val="28"/>
                <w:szCs w:val="28"/>
                <w:highlight w:val="none"/>
              </w:rPr>
            </w:pPr>
          </w:p>
        </w:tc>
      </w:tr>
      <w:tr w14:paraId="2FDC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816" w:type="dxa"/>
            <w:vAlign w:val="center"/>
          </w:tcPr>
          <w:p w14:paraId="5E68B16B">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10</w:t>
            </w:r>
          </w:p>
        </w:tc>
        <w:tc>
          <w:tcPr>
            <w:tcW w:w="3074" w:type="dxa"/>
            <w:shd w:val="clear" w:color="auto" w:fill="auto"/>
            <w:vAlign w:val="center"/>
          </w:tcPr>
          <w:p w14:paraId="47FB563C">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技术服务保险等费</w:t>
            </w:r>
          </w:p>
        </w:tc>
        <w:tc>
          <w:tcPr>
            <w:tcW w:w="2355" w:type="dxa"/>
            <w:vAlign w:val="center"/>
          </w:tcPr>
          <w:p w14:paraId="42A63196">
            <w:pPr>
              <w:jc w:val="center"/>
              <w:rPr>
                <w:rFonts w:asciiTheme="majorEastAsia" w:hAnsiTheme="majorEastAsia" w:eastAsiaTheme="majorEastAsia" w:cstheme="majorEastAsia"/>
                <w:color w:val="auto"/>
                <w:sz w:val="28"/>
                <w:szCs w:val="28"/>
                <w:highlight w:val="none"/>
              </w:rPr>
            </w:pPr>
          </w:p>
        </w:tc>
        <w:tc>
          <w:tcPr>
            <w:tcW w:w="1665" w:type="dxa"/>
            <w:vAlign w:val="center"/>
          </w:tcPr>
          <w:p w14:paraId="7587CA67">
            <w:pPr>
              <w:jc w:val="center"/>
              <w:rPr>
                <w:rFonts w:asciiTheme="majorEastAsia" w:hAnsiTheme="majorEastAsia" w:eastAsiaTheme="majorEastAsia" w:cstheme="majorEastAsia"/>
                <w:color w:val="auto"/>
                <w:sz w:val="28"/>
                <w:szCs w:val="28"/>
                <w:highlight w:val="none"/>
              </w:rPr>
            </w:pPr>
          </w:p>
        </w:tc>
      </w:tr>
      <w:tr w14:paraId="6E7C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816" w:type="dxa"/>
            <w:vAlign w:val="center"/>
          </w:tcPr>
          <w:p w14:paraId="1DDC5705">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11</w:t>
            </w:r>
          </w:p>
        </w:tc>
        <w:tc>
          <w:tcPr>
            <w:tcW w:w="3074" w:type="dxa"/>
            <w:shd w:val="clear" w:color="auto" w:fill="auto"/>
            <w:vAlign w:val="center"/>
          </w:tcPr>
          <w:p w14:paraId="5B61E6EF">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bCs/>
                <w:color w:val="auto"/>
                <w:sz w:val="28"/>
                <w:szCs w:val="28"/>
                <w:highlight w:val="none"/>
              </w:rPr>
              <w:t>合计（元）</w:t>
            </w:r>
          </w:p>
        </w:tc>
        <w:tc>
          <w:tcPr>
            <w:tcW w:w="2355" w:type="dxa"/>
            <w:vAlign w:val="center"/>
          </w:tcPr>
          <w:p w14:paraId="26483C5F">
            <w:pPr>
              <w:jc w:val="center"/>
              <w:rPr>
                <w:rFonts w:asciiTheme="majorEastAsia" w:hAnsiTheme="majorEastAsia" w:eastAsiaTheme="majorEastAsia" w:cstheme="majorEastAsia"/>
                <w:color w:val="auto"/>
                <w:sz w:val="28"/>
                <w:szCs w:val="28"/>
                <w:highlight w:val="none"/>
              </w:rPr>
            </w:pPr>
          </w:p>
        </w:tc>
        <w:tc>
          <w:tcPr>
            <w:tcW w:w="1665" w:type="dxa"/>
            <w:vAlign w:val="center"/>
          </w:tcPr>
          <w:p w14:paraId="30716646">
            <w:pPr>
              <w:jc w:val="center"/>
              <w:rPr>
                <w:rFonts w:asciiTheme="majorEastAsia" w:hAnsiTheme="majorEastAsia" w:eastAsiaTheme="majorEastAsia" w:cstheme="majorEastAsia"/>
                <w:color w:val="auto"/>
                <w:sz w:val="28"/>
                <w:szCs w:val="28"/>
                <w:highlight w:val="none"/>
              </w:rPr>
            </w:pPr>
          </w:p>
        </w:tc>
      </w:tr>
    </w:tbl>
    <w:p w14:paraId="4A57EE7B">
      <w:pPr>
        <w:widowControl/>
        <w:adjustRightInd w:val="0"/>
        <w:spacing w:line="480" w:lineRule="auto"/>
        <w:rPr>
          <w:rFonts w:ascii="宋体" w:hAnsi="宋体" w:cs="宋体"/>
          <w:color w:val="auto"/>
          <w:kern w:val="0"/>
          <w:sz w:val="20"/>
          <w:szCs w:val="21"/>
          <w:highlight w:val="none"/>
          <w:lang w:val="zh-CN"/>
        </w:rPr>
      </w:pPr>
    </w:p>
    <w:p w14:paraId="1D4D8020">
      <w:pPr>
        <w:spacing w:line="360" w:lineRule="auto"/>
        <w:ind w:firstLine="3080" w:firstLineChars="1100"/>
        <w:jc w:val="center"/>
        <w:rPr>
          <w:rFonts w:ascii="宋体" w:hAnsi="宋体" w:cs="宋体"/>
          <w:color w:val="auto"/>
          <w:kern w:val="0"/>
          <w:sz w:val="28"/>
          <w:szCs w:val="28"/>
          <w:highlight w:val="none"/>
          <w:lang w:val="zh-CN" w:bidi="ar"/>
        </w:rPr>
      </w:pPr>
    </w:p>
    <w:p w14:paraId="68F2E071">
      <w:pPr>
        <w:spacing w:line="360" w:lineRule="auto"/>
        <w:ind w:firstLine="3080" w:firstLineChars="1100"/>
        <w:jc w:val="center"/>
        <w:rPr>
          <w:rFonts w:ascii="宋体" w:hAnsi="宋体" w:cs="宋体"/>
          <w:color w:val="auto"/>
          <w:kern w:val="0"/>
          <w:sz w:val="28"/>
          <w:szCs w:val="28"/>
          <w:highlight w:val="none"/>
          <w:lang w:val="zh-CN" w:bidi="ar"/>
        </w:rPr>
      </w:pPr>
    </w:p>
    <w:p w14:paraId="1760D106">
      <w:pPr>
        <w:spacing w:line="360" w:lineRule="auto"/>
        <w:ind w:firstLine="3080" w:firstLineChars="1100"/>
        <w:jc w:val="center"/>
        <w:rPr>
          <w:rFonts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bidi="ar"/>
        </w:rPr>
        <w:t>供应商</w:t>
      </w:r>
      <w:r>
        <w:rPr>
          <w:rFonts w:hint="eastAsia" w:ascii="宋体" w:hAnsi="宋体" w:cs="宋体"/>
          <w:color w:val="auto"/>
          <w:kern w:val="0"/>
          <w:sz w:val="28"/>
          <w:szCs w:val="28"/>
          <w:highlight w:val="none"/>
          <w:lang w:val="zh-CN" w:bidi="ar"/>
        </w:rPr>
        <w:t>全称(盖公章)：</w:t>
      </w:r>
    </w:p>
    <w:p w14:paraId="16F7F716">
      <w:pPr>
        <w:spacing w:line="360" w:lineRule="auto"/>
        <w:ind w:firstLine="2240" w:firstLineChars="800"/>
        <w:rPr>
          <w:rFonts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30A3BC89">
      <w:pPr>
        <w:snapToGrid w:val="0"/>
        <w:spacing w:line="300" w:lineRule="auto"/>
        <w:ind w:firstLine="3920" w:firstLineChars="1400"/>
        <w:outlineLvl w:val="0"/>
        <w:rPr>
          <w:rFonts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5378475F">
      <w:pPr>
        <w:spacing w:line="360" w:lineRule="auto"/>
        <w:rPr>
          <w:rFonts w:ascii="宋体" w:hAnsi="宋体" w:cs="宋体"/>
          <w:color w:val="auto"/>
          <w:highlight w:val="none"/>
        </w:rPr>
      </w:pPr>
    </w:p>
    <w:p w14:paraId="1AF6B894">
      <w:pPr>
        <w:rPr>
          <w:rFonts w:ascii="宋体" w:hAnsi="宋体" w:cs="宋体"/>
          <w:color w:val="auto"/>
          <w:sz w:val="32"/>
          <w:szCs w:val="32"/>
          <w:highlight w:val="none"/>
        </w:rPr>
      </w:pPr>
      <w:r>
        <w:rPr>
          <w:rFonts w:hint="eastAsia" w:ascii="宋体" w:hAnsi="宋体" w:cs="宋体"/>
          <w:color w:val="auto"/>
          <w:sz w:val="32"/>
          <w:szCs w:val="32"/>
          <w:highlight w:val="none"/>
        </w:rPr>
        <w:br w:type="page"/>
      </w:r>
    </w:p>
    <w:p w14:paraId="49BB1BBC">
      <w:pPr>
        <w:snapToGrid w:val="0"/>
        <w:spacing w:line="360" w:lineRule="auto"/>
        <w:rPr>
          <w:rFonts w:ascii="宋体" w:hAnsi="宋体" w:cs="宋体"/>
          <w:color w:val="auto"/>
          <w:sz w:val="32"/>
          <w:szCs w:val="32"/>
          <w:highlight w:val="none"/>
        </w:rPr>
        <w:sectPr>
          <w:pgSz w:w="11907" w:h="16839"/>
          <w:pgMar w:top="1440" w:right="1803" w:bottom="1440" w:left="1803" w:header="720" w:footer="720" w:gutter="0"/>
          <w:cols w:space="720" w:num="1"/>
          <w:docGrid w:linePitch="286" w:charSpace="0"/>
        </w:sectPr>
      </w:pPr>
    </w:p>
    <w:p w14:paraId="537884F2">
      <w:pPr>
        <w:jc w:val="left"/>
        <w:rPr>
          <w:rFonts w:ascii="宋体" w:hAnsi="宋体" w:cs="宋体"/>
          <w:bCs/>
          <w:color w:val="auto"/>
          <w:sz w:val="32"/>
          <w:szCs w:val="32"/>
          <w:highlight w:val="none"/>
          <w:lang w:bidi="ar"/>
        </w:rPr>
      </w:pPr>
      <w:r>
        <w:rPr>
          <w:rFonts w:hint="eastAsia" w:ascii="宋体" w:hAnsi="宋体" w:cs="宋体"/>
          <w:bCs/>
          <w:color w:val="auto"/>
          <w:sz w:val="32"/>
          <w:szCs w:val="32"/>
          <w:highlight w:val="none"/>
          <w:lang w:bidi="ar"/>
        </w:rPr>
        <w:t>附件11</w:t>
      </w:r>
    </w:p>
    <w:p w14:paraId="0D4B0436">
      <w:pPr>
        <w:spacing w:before="240" w:line="312" w:lineRule="auto"/>
        <w:jc w:val="center"/>
        <w:rPr>
          <w:rFonts w:ascii="宋体" w:hAnsi="宋体" w:cs="宋体"/>
          <w:b/>
          <w:color w:val="auto"/>
          <w:sz w:val="32"/>
          <w:szCs w:val="32"/>
          <w:highlight w:val="none"/>
          <w:lang w:bidi="ar"/>
        </w:rPr>
      </w:pPr>
      <w:r>
        <w:rPr>
          <w:rFonts w:hint="eastAsia" w:ascii="宋体" w:hAnsi="宋体" w:cs="宋体"/>
          <w:b/>
          <w:color w:val="auto"/>
          <w:sz w:val="32"/>
          <w:szCs w:val="32"/>
          <w:highlight w:val="none"/>
          <w:lang w:bidi="ar"/>
        </w:rPr>
        <w:t>供应商信用承诺书</w:t>
      </w:r>
    </w:p>
    <w:p w14:paraId="259A8CEA">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为营造公开、公平、公正的招标采购交易环境，树立诚信守法的供应商形象，本人代表本单位作出以下承诺：</w:t>
      </w:r>
    </w:p>
    <w:p w14:paraId="799F508D">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一、本单位对所提交的单位基本信息、法定代表人、项目负责人、技术负责人、从业资质和资格、业绩、财务状况、信誉等所有资料，均合法、真实、准确、有效，无任何伪造、修改、虚假成分。</w:t>
      </w:r>
    </w:p>
    <w:p w14:paraId="59EB0B3C">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二、严格依照国家、省、市关于政府采购及采购单位自行采购相关法律法规、规章、规范性文件，依法参与本次采购活动，恪守职业道德，促进廉洁采购。</w:t>
      </w:r>
    </w:p>
    <w:p w14:paraId="52EA2133">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三、自我约束、自我管理，守合同、重信用，不参与围标串标、弄虚作假、骗取成交、干扰评审、违约毁约、恶意质疑投诉等行为，自觉维护本次采购活动的良好秩序。</w:t>
      </w:r>
    </w:p>
    <w:p w14:paraId="017DBC78">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四、本单位自愿接受采购人、采购代理机构及采购单位纪检监察部门的依法监督检查。如发生违法违规或失信行为，自愿接受相应处理，并依法承担全部法律责任。</w:t>
      </w:r>
    </w:p>
    <w:p w14:paraId="035B5AD5">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五、自觉保护采购相关信息安全，严格履行保密义务，不泄露采购文件、响应文件及评审过程中的非公开信息。</w:t>
      </w:r>
    </w:p>
    <w:p w14:paraId="74E7263E">
      <w:pPr>
        <w:spacing w:line="440" w:lineRule="exact"/>
        <w:ind w:firstLine="560" w:firstLineChars="200"/>
        <w:rPr>
          <w:rFonts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六、上述承诺已在本单位内部告知全体参与人员，承诺内容真实有效，愿接受社会监督。</w:t>
      </w:r>
    </w:p>
    <w:p w14:paraId="0A4124D0">
      <w:pPr>
        <w:spacing w:line="440" w:lineRule="exact"/>
        <w:ind w:firstLine="562" w:firstLineChars="200"/>
        <w:rPr>
          <w:rFonts w:ascii="宋体" w:hAnsi="宋体" w:cs="宋体"/>
          <w:b/>
          <w:bCs/>
          <w:color w:val="auto"/>
          <w:kern w:val="0"/>
          <w:sz w:val="28"/>
          <w:szCs w:val="28"/>
          <w:highlight w:val="none"/>
          <w:lang w:val="zh-CN" w:bidi="ar"/>
        </w:rPr>
      </w:pPr>
      <w:r>
        <w:rPr>
          <w:rFonts w:hint="eastAsia" w:ascii="宋体" w:hAnsi="宋体" w:cs="宋体"/>
          <w:b/>
          <w:bCs/>
          <w:color w:val="auto"/>
          <w:kern w:val="0"/>
          <w:sz w:val="28"/>
          <w:szCs w:val="28"/>
          <w:highlight w:val="none"/>
          <w:lang w:bidi="ar"/>
        </w:rPr>
        <w:t>如有违反上述承诺的行为，本单位自愿承担相应责任，同意采购人按规定取消成交资格、列入采购单位采购失信名单，并依法追究法律责任。</w:t>
      </w:r>
    </w:p>
    <w:p w14:paraId="3C1BB041">
      <w:pPr>
        <w:spacing w:line="360" w:lineRule="auto"/>
        <w:ind w:firstLine="3080" w:firstLineChars="1100"/>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5C458DDD">
      <w:pPr>
        <w:spacing w:line="360" w:lineRule="auto"/>
        <w:ind w:firstLine="3080" w:firstLineChars="1100"/>
        <w:jc w:val="center"/>
        <w:rPr>
          <w:rFonts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bidi="ar"/>
        </w:rPr>
        <w:t>供应商</w:t>
      </w:r>
      <w:r>
        <w:rPr>
          <w:rFonts w:hint="eastAsia" w:ascii="宋体" w:hAnsi="宋体" w:cs="宋体"/>
          <w:color w:val="auto"/>
          <w:kern w:val="0"/>
          <w:sz w:val="28"/>
          <w:szCs w:val="28"/>
          <w:highlight w:val="none"/>
          <w:lang w:val="zh-CN" w:bidi="ar"/>
        </w:rPr>
        <w:t>全称(盖公章)：</w:t>
      </w:r>
    </w:p>
    <w:p w14:paraId="3F6318D1">
      <w:pPr>
        <w:spacing w:line="360" w:lineRule="auto"/>
        <w:ind w:firstLine="2240" w:firstLineChars="800"/>
        <w:rPr>
          <w:rFonts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6D2689D7">
      <w:pPr>
        <w:snapToGrid w:val="0"/>
        <w:spacing w:line="300" w:lineRule="auto"/>
        <w:ind w:firstLine="3920" w:firstLineChars="1400"/>
        <w:outlineLvl w:val="0"/>
        <w:rPr>
          <w:rFonts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5CD7329E">
      <w:pPr>
        <w:snapToGrid w:val="0"/>
        <w:spacing w:line="360" w:lineRule="auto"/>
        <w:rPr>
          <w:rFonts w:ascii="宋体" w:hAnsi="宋体" w:cs="宋体"/>
          <w:color w:val="auto"/>
          <w:sz w:val="32"/>
          <w:szCs w:val="32"/>
          <w:highlight w:val="none"/>
        </w:rPr>
        <w:sectPr>
          <w:pgSz w:w="11907" w:h="16839"/>
          <w:pgMar w:top="1440" w:right="1803" w:bottom="1440" w:left="1803" w:header="720" w:footer="720" w:gutter="0"/>
          <w:cols w:space="720" w:num="1"/>
          <w:docGrid w:linePitch="286" w:charSpace="0"/>
        </w:sectPr>
      </w:pPr>
    </w:p>
    <w:p w14:paraId="75D3D4EE">
      <w:pPr>
        <w:snapToGrid w:val="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附件12</w:t>
      </w:r>
    </w:p>
    <w:p w14:paraId="6840A80D">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342B443F">
      <w:pPr>
        <w:adjustRightInd w:val="0"/>
        <w:snapToGrid w:val="0"/>
        <w:spacing w:before="240"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62265B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76BBFF2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6F567738">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42364466">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0D3D5D6F">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0C844CB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0FC82617">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371D8FA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02820E03">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11B091AB">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D995A6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1F06E230">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60DB1D76">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2CF58FC7">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6265731D">
      <w:pPr>
        <w:adjustRightInd w:val="0"/>
        <w:snapToGrid w:val="0"/>
        <w:spacing w:line="360" w:lineRule="auto"/>
        <w:rPr>
          <w:rFonts w:ascii="宋体" w:hAnsi="宋体" w:cs="宋体"/>
          <w:color w:val="auto"/>
          <w:sz w:val="28"/>
          <w:szCs w:val="28"/>
          <w:highlight w:val="none"/>
        </w:rPr>
      </w:pPr>
    </w:p>
    <w:p w14:paraId="7EF5162A">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5FA2E095">
      <w:pPr>
        <w:adjustRightInd w:val="0"/>
        <w:snapToGrid w:val="0"/>
        <w:spacing w:line="360" w:lineRule="auto"/>
        <w:rPr>
          <w:rFonts w:ascii="宋体" w:hAnsi="宋体" w:cs="宋体"/>
          <w:color w:val="auto"/>
          <w:sz w:val="28"/>
          <w:szCs w:val="28"/>
          <w:highlight w:val="none"/>
          <w:u w:val="dotted"/>
        </w:rPr>
      </w:pPr>
    </w:p>
    <w:p w14:paraId="73DE7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132F869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0BC3A954">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008FDDD">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041EC928">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11DDFFD">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37F3FDB6">
      <w:pPr>
        <w:adjustRightInd w:val="0"/>
        <w:snapToGrid w:val="0"/>
        <w:spacing w:line="360" w:lineRule="auto"/>
        <w:rPr>
          <w:rFonts w:ascii="宋体" w:hAnsi="宋体" w:cs="宋体"/>
          <w:color w:val="auto"/>
          <w:sz w:val="28"/>
          <w:szCs w:val="28"/>
          <w:highlight w:val="none"/>
        </w:rPr>
      </w:pPr>
    </w:p>
    <w:p w14:paraId="6C48E5D5">
      <w:pPr>
        <w:spacing w:line="360" w:lineRule="auto"/>
        <w:rPr>
          <w:rFonts w:ascii="宋体" w:hAnsi="宋体" w:cs="宋体"/>
          <w:b/>
          <w:color w:val="auto"/>
          <w:sz w:val="28"/>
          <w:szCs w:val="28"/>
          <w:highlight w:val="none"/>
        </w:rPr>
      </w:pPr>
    </w:p>
    <w:p w14:paraId="38CBF3B1">
      <w:pPr>
        <w:spacing w:line="360" w:lineRule="auto"/>
        <w:rPr>
          <w:rFonts w:ascii="宋体" w:hAnsi="宋体" w:cs="宋体"/>
          <w:b/>
          <w:color w:val="auto"/>
          <w:sz w:val="28"/>
          <w:szCs w:val="28"/>
          <w:highlight w:val="none"/>
        </w:rPr>
      </w:pPr>
    </w:p>
    <w:p w14:paraId="33B5B3F5">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6ED10B5A">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2CB7E4B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64C3F80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71EB79AA">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4D9E23D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6F346691">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319D774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74F52339-73A6-40F9-92FD-7845C6EFFCAD}"/>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125D6">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DB16F0">
                          <w:pPr>
                            <w:pStyle w:val="19"/>
                          </w:pPr>
                          <w:r>
                            <w:t xml:space="preserve">— </w:t>
                          </w:r>
                          <w:r>
                            <w:fldChar w:fldCharType="begin"/>
                          </w:r>
                          <w:r>
                            <w:instrText xml:space="preserve"> PAGE  \* MERGEFORMAT </w:instrText>
                          </w:r>
                          <w:r>
                            <w:fldChar w:fldCharType="separate"/>
                          </w:r>
                          <w:r>
                            <w:t>26</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Ozy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MQ7PKyQEAAJkDAAAOAAAAAAAAAAEAIAAAAB4BAABkcnMvZTJvRG9j&#10;LnhtbFBLBQYAAAAABgAGAFkBAABZBQAAAAA=&#10;">
              <v:fill on="f" focussize="0,0"/>
              <v:stroke on="f"/>
              <v:imagedata o:title=""/>
              <o:lock v:ext="edit" aspectratio="f"/>
              <v:textbox inset="0mm,0mm,0mm,0mm" style="mso-fit-shape-to-text:t;">
                <w:txbxContent>
                  <w:p w14:paraId="53DB16F0">
                    <w:pPr>
                      <w:pStyle w:val="19"/>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93978">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56"/>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9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00"/>
      <w:lvlText w:val=""/>
      <w:lvlJc w:val="left"/>
      <w:pPr>
        <w:tabs>
          <w:tab w:val="left" w:pos="780"/>
        </w:tabs>
        <w:ind w:left="780" w:hanging="360"/>
      </w:pPr>
      <w:rPr>
        <w:rFonts w:ascii="Wingdings" w:hAnsi="Wingdings"/>
      </w:rPr>
    </w:lvl>
  </w:abstractNum>
  <w:abstractNum w:abstractNumId="2">
    <w:nsid w:val="12CC33CC"/>
    <w:multiLevelType w:val="singleLevel"/>
    <w:tmpl w:val="12CC33CC"/>
    <w:lvl w:ilvl="0" w:tentative="0">
      <w:start w:val="1"/>
      <w:numFmt w:val="decimal"/>
      <w:suff w:val="nothing"/>
      <w:lvlText w:val="（%1）"/>
      <w:lvlJc w:val="left"/>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3"/>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3"/>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5">
    <w:nsid w:val="56898123"/>
    <w:multiLevelType w:val="singleLevel"/>
    <w:tmpl w:val="56898123"/>
    <w:lvl w:ilvl="0" w:tentative="0">
      <w:start w:val="1"/>
      <w:numFmt w:val="decimal"/>
      <w:pStyle w:val="21"/>
      <w:lvlText w:val="%1."/>
      <w:lvlJc w:val="left"/>
      <w:pPr>
        <w:tabs>
          <w:tab w:val="left" w:pos="2040"/>
        </w:tabs>
        <w:ind w:left="2040" w:hanging="360"/>
      </w:p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iY2JkZmIyOTY3NTdjNmZkNzE4ZTgzYzMxMDhmMD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5D9"/>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2A9D"/>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16FC"/>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7201C"/>
    <w:rsid w:val="00C760BC"/>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0859"/>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56352C"/>
    <w:rsid w:val="015C48BA"/>
    <w:rsid w:val="01C51F26"/>
    <w:rsid w:val="021B6523"/>
    <w:rsid w:val="021C496A"/>
    <w:rsid w:val="02861C5D"/>
    <w:rsid w:val="02864E82"/>
    <w:rsid w:val="028E5BF7"/>
    <w:rsid w:val="029175FA"/>
    <w:rsid w:val="02A46519"/>
    <w:rsid w:val="02C34EEE"/>
    <w:rsid w:val="02C44E0D"/>
    <w:rsid w:val="02F30FA1"/>
    <w:rsid w:val="030663D5"/>
    <w:rsid w:val="0319135E"/>
    <w:rsid w:val="031D75DC"/>
    <w:rsid w:val="03441469"/>
    <w:rsid w:val="034F46D6"/>
    <w:rsid w:val="03784CB1"/>
    <w:rsid w:val="04051239"/>
    <w:rsid w:val="04160C9C"/>
    <w:rsid w:val="04736AA8"/>
    <w:rsid w:val="04BB1A13"/>
    <w:rsid w:val="04C50FCA"/>
    <w:rsid w:val="04CC6B4B"/>
    <w:rsid w:val="053C512E"/>
    <w:rsid w:val="053E2C54"/>
    <w:rsid w:val="06125A85"/>
    <w:rsid w:val="0654321E"/>
    <w:rsid w:val="068C1FDE"/>
    <w:rsid w:val="06B0131B"/>
    <w:rsid w:val="06ED1BCA"/>
    <w:rsid w:val="06F91383"/>
    <w:rsid w:val="07195727"/>
    <w:rsid w:val="076D7821"/>
    <w:rsid w:val="079A247E"/>
    <w:rsid w:val="079B2882"/>
    <w:rsid w:val="07B71116"/>
    <w:rsid w:val="07F27FE4"/>
    <w:rsid w:val="08190C3F"/>
    <w:rsid w:val="082C76F8"/>
    <w:rsid w:val="08405380"/>
    <w:rsid w:val="084C7301"/>
    <w:rsid w:val="08980A8D"/>
    <w:rsid w:val="08A07782"/>
    <w:rsid w:val="09572537"/>
    <w:rsid w:val="09694699"/>
    <w:rsid w:val="09992B4F"/>
    <w:rsid w:val="09C43F96"/>
    <w:rsid w:val="09E8138B"/>
    <w:rsid w:val="0A1E7311"/>
    <w:rsid w:val="0A6071C9"/>
    <w:rsid w:val="0AA572D2"/>
    <w:rsid w:val="0AD03B89"/>
    <w:rsid w:val="0AD74C6D"/>
    <w:rsid w:val="0AF60B0D"/>
    <w:rsid w:val="0B067BB8"/>
    <w:rsid w:val="0B124F09"/>
    <w:rsid w:val="0B2A2AF2"/>
    <w:rsid w:val="0B370759"/>
    <w:rsid w:val="0B896BF3"/>
    <w:rsid w:val="0B8B296C"/>
    <w:rsid w:val="0B8E5FB8"/>
    <w:rsid w:val="0B8F7378"/>
    <w:rsid w:val="0B9818EB"/>
    <w:rsid w:val="0BA5348D"/>
    <w:rsid w:val="0BC31006"/>
    <w:rsid w:val="0C26412E"/>
    <w:rsid w:val="0C9B41C4"/>
    <w:rsid w:val="0CBF239A"/>
    <w:rsid w:val="0CF757AC"/>
    <w:rsid w:val="0D2C751C"/>
    <w:rsid w:val="0D400FF2"/>
    <w:rsid w:val="0D57008A"/>
    <w:rsid w:val="0D5C38AA"/>
    <w:rsid w:val="0D7D135A"/>
    <w:rsid w:val="0D9967A6"/>
    <w:rsid w:val="0D9E4C87"/>
    <w:rsid w:val="0DA56F93"/>
    <w:rsid w:val="0DB52476"/>
    <w:rsid w:val="0DCE1A94"/>
    <w:rsid w:val="0DDC0C86"/>
    <w:rsid w:val="0DDC3FD5"/>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A46379"/>
    <w:rsid w:val="13AD66FE"/>
    <w:rsid w:val="13F310AE"/>
    <w:rsid w:val="13FA243C"/>
    <w:rsid w:val="14192430"/>
    <w:rsid w:val="142011A6"/>
    <w:rsid w:val="144C6CB5"/>
    <w:rsid w:val="14564609"/>
    <w:rsid w:val="14583120"/>
    <w:rsid w:val="148B12E6"/>
    <w:rsid w:val="15215C70"/>
    <w:rsid w:val="15495F87"/>
    <w:rsid w:val="154D06FF"/>
    <w:rsid w:val="1574342C"/>
    <w:rsid w:val="15965C16"/>
    <w:rsid w:val="15A444A6"/>
    <w:rsid w:val="161326E2"/>
    <w:rsid w:val="16277A0B"/>
    <w:rsid w:val="162E6FC6"/>
    <w:rsid w:val="16852D6C"/>
    <w:rsid w:val="16884649"/>
    <w:rsid w:val="16C94348"/>
    <w:rsid w:val="17426B8D"/>
    <w:rsid w:val="17517F11"/>
    <w:rsid w:val="17B24919"/>
    <w:rsid w:val="17B4163D"/>
    <w:rsid w:val="17C9694A"/>
    <w:rsid w:val="17EB6C6C"/>
    <w:rsid w:val="17F94FFE"/>
    <w:rsid w:val="1813218C"/>
    <w:rsid w:val="181745F5"/>
    <w:rsid w:val="181A629A"/>
    <w:rsid w:val="182F467F"/>
    <w:rsid w:val="185B7983"/>
    <w:rsid w:val="18AF29F3"/>
    <w:rsid w:val="18DC65B5"/>
    <w:rsid w:val="190805F5"/>
    <w:rsid w:val="19371006"/>
    <w:rsid w:val="19660714"/>
    <w:rsid w:val="197C2955"/>
    <w:rsid w:val="19D13C3F"/>
    <w:rsid w:val="19E82C89"/>
    <w:rsid w:val="1A4268EB"/>
    <w:rsid w:val="1A444411"/>
    <w:rsid w:val="1A5279E9"/>
    <w:rsid w:val="1AD43112"/>
    <w:rsid w:val="1B925650"/>
    <w:rsid w:val="1BEB63D8"/>
    <w:rsid w:val="1C78157F"/>
    <w:rsid w:val="1C8B1F64"/>
    <w:rsid w:val="1CCE7DB9"/>
    <w:rsid w:val="1CD25790"/>
    <w:rsid w:val="1D050C0D"/>
    <w:rsid w:val="1D3544E5"/>
    <w:rsid w:val="1D741B48"/>
    <w:rsid w:val="1D787557"/>
    <w:rsid w:val="1D905BC0"/>
    <w:rsid w:val="1DB61742"/>
    <w:rsid w:val="1E036392"/>
    <w:rsid w:val="1E097B16"/>
    <w:rsid w:val="1E53284B"/>
    <w:rsid w:val="1E5F512D"/>
    <w:rsid w:val="1E892E63"/>
    <w:rsid w:val="1EE70F94"/>
    <w:rsid w:val="1F041820"/>
    <w:rsid w:val="1F4F3A29"/>
    <w:rsid w:val="1F9B16E8"/>
    <w:rsid w:val="20085EE1"/>
    <w:rsid w:val="20255070"/>
    <w:rsid w:val="202B6819"/>
    <w:rsid w:val="20EE6FC1"/>
    <w:rsid w:val="20EF1D98"/>
    <w:rsid w:val="214D3689"/>
    <w:rsid w:val="21606878"/>
    <w:rsid w:val="2193780B"/>
    <w:rsid w:val="219C0FD7"/>
    <w:rsid w:val="21A812C1"/>
    <w:rsid w:val="21B65647"/>
    <w:rsid w:val="21FA130C"/>
    <w:rsid w:val="22027AEB"/>
    <w:rsid w:val="22271B75"/>
    <w:rsid w:val="2235090D"/>
    <w:rsid w:val="22547340"/>
    <w:rsid w:val="226570FE"/>
    <w:rsid w:val="22847FC3"/>
    <w:rsid w:val="22CA3922"/>
    <w:rsid w:val="230A5C39"/>
    <w:rsid w:val="231F6004"/>
    <w:rsid w:val="23311869"/>
    <w:rsid w:val="23545E69"/>
    <w:rsid w:val="23A42D0F"/>
    <w:rsid w:val="23A60FED"/>
    <w:rsid w:val="23BB5949"/>
    <w:rsid w:val="24062928"/>
    <w:rsid w:val="24141BE4"/>
    <w:rsid w:val="244217C3"/>
    <w:rsid w:val="24446463"/>
    <w:rsid w:val="24462A2D"/>
    <w:rsid w:val="246B6A3F"/>
    <w:rsid w:val="24A5336A"/>
    <w:rsid w:val="24AF1021"/>
    <w:rsid w:val="255E9A8F"/>
    <w:rsid w:val="25625F13"/>
    <w:rsid w:val="25761FE8"/>
    <w:rsid w:val="25A55F80"/>
    <w:rsid w:val="261B3EF8"/>
    <w:rsid w:val="26B36D0C"/>
    <w:rsid w:val="26C70FC3"/>
    <w:rsid w:val="271F7DFA"/>
    <w:rsid w:val="27221D75"/>
    <w:rsid w:val="272F3A51"/>
    <w:rsid w:val="27333F23"/>
    <w:rsid w:val="27C63A92"/>
    <w:rsid w:val="27E17743"/>
    <w:rsid w:val="27F00097"/>
    <w:rsid w:val="27F8287A"/>
    <w:rsid w:val="27FE6547"/>
    <w:rsid w:val="280803EC"/>
    <w:rsid w:val="281C69CE"/>
    <w:rsid w:val="282E0237"/>
    <w:rsid w:val="28643197"/>
    <w:rsid w:val="286F16B2"/>
    <w:rsid w:val="288C6321"/>
    <w:rsid w:val="28AF7842"/>
    <w:rsid w:val="28B44E58"/>
    <w:rsid w:val="28C01D17"/>
    <w:rsid w:val="28C661CF"/>
    <w:rsid w:val="28E76E28"/>
    <w:rsid w:val="29217386"/>
    <w:rsid w:val="29362D86"/>
    <w:rsid w:val="293E0BC6"/>
    <w:rsid w:val="29A11347"/>
    <w:rsid w:val="29D3144C"/>
    <w:rsid w:val="2A27165A"/>
    <w:rsid w:val="2A29350A"/>
    <w:rsid w:val="2A2F3040"/>
    <w:rsid w:val="2A4D7312"/>
    <w:rsid w:val="2A4E3D69"/>
    <w:rsid w:val="2AE200DD"/>
    <w:rsid w:val="2AE755C2"/>
    <w:rsid w:val="2B214C31"/>
    <w:rsid w:val="2B4B53FC"/>
    <w:rsid w:val="2B5F21E3"/>
    <w:rsid w:val="2B7566BF"/>
    <w:rsid w:val="2B987F6F"/>
    <w:rsid w:val="2BAD5B8F"/>
    <w:rsid w:val="2BAE36BF"/>
    <w:rsid w:val="2BCB3F2A"/>
    <w:rsid w:val="2C102611"/>
    <w:rsid w:val="2C29369E"/>
    <w:rsid w:val="2C35294C"/>
    <w:rsid w:val="2C9B7CA1"/>
    <w:rsid w:val="2CF27CFD"/>
    <w:rsid w:val="2D5914BC"/>
    <w:rsid w:val="2D821071"/>
    <w:rsid w:val="2DC14C40"/>
    <w:rsid w:val="2DCD2FDA"/>
    <w:rsid w:val="2DD81DDD"/>
    <w:rsid w:val="2DD87F45"/>
    <w:rsid w:val="2E057444"/>
    <w:rsid w:val="2E216B3B"/>
    <w:rsid w:val="2E4A46A0"/>
    <w:rsid w:val="2E513149"/>
    <w:rsid w:val="2E7D5CEC"/>
    <w:rsid w:val="2EB07E70"/>
    <w:rsid w:val="2EB23ECC"/>
    <w:rsid w:val="2EE67D35"/>
    <w:rsid w:val="2EF72DA2"/>
    <w:rsid w:val="2EF83FC5"/>
    <w:rsid w:val="2F0267D5"/>
    <w:rsid w:val="2F3515C3"/>
    <w:rsid w:val="2F391C13"/>
    <w:rsid w:val="2F3F38D4"/>
    <w:rsid w:val="2F7970D7"/>
    <w:rsid w:val="2FE64400"/>
    <w:rsid w:val="2FF42C67"/>
    <w:rsid w:val="301339CC"/>
    <w:rsid w:val="3083145F"/>
    <w:rsid w:val="30A7668A"/>
    <w:rsid w:val="30E958BB"/>
    <w:rsid w:val="30F20D3F"/>
    <w:rsid w:val="31126BC0"/>
    <w:rsid w:val="31320866"/>
    <w:rsid w:val="313B43AB"/>
    <w:rsid w:val="317407C0"/>
    <w:rsid w:val="31997BEF"/>
    <w:rsid w:val="319B4E07"/>
    <w:rsid w:val="31AB7E01"/>
    <w:rsid w:val="32207518"/>
    <w:rsid w:val="32A45578"/>
    <w:rsid w:val="32B3311C"/>
    <w:rsid w:val="3312555B"/>
    <w:rsid w:val="33274478"/>
    <w:rsid w:val="334502B8"/>
    <w:rsid w:val="3381627F"/>
    <w:rsid w:val="3384079C"/>
    <w:rsid w:val="33AA6EA7"/>
    <w:rsid w:val="33DC5692"/>
    <w:rsid w:val="33E54C86"/>
    <w:rsid w:val="341964B7"/>
    <w:rsid w:val="342F6C69"/>
    <w:rsid w:val="34A00986"/>
    <w:rsid w:val="34D8684E"/>
    <w:rsid w:val="34FF1114"/>
    <w:rsid w:val="35386E11"/>
    <w:rsid w:val="35BD291C"/>
    <w:rsid w:val="35C80195"/>
    <w:rsid w:val="35EA1EB9"/>
    <w:rsid w:val="361D3372"/>
    <w:rsid w:val="369B1405"/>
    <w:rsid w:val="36BE3D73"/>
    <w:rsid w:val="36E44AE2"/>
    <w:rsid w:val="36F56D67"/>
    <w:rsid w:val="37335AE2"/>
    <w:rsid w:val="37741972"/>
    <w:rsid w:val="377443BF"/>
    <w:rsid w:val="37C45D5C"/>
    <w:rsid w:val="380A6843"/>
    <w:rsid w:val="380F3DCD"/>
    <w:rsid w:val="389E2A5F"/>
    <w:rsid w:val="38BD73CD"/>
    <w:rsid w:val="390B0AC4"/>
    <w:rsid w:val="39243934"/>
    <w:rsid w:val="39472CE8"/>
    <w:rsid w:val="39535BFE"/>
    <w:rsid w:val="398B7F95"/>
    <w:rsid w:val="39A96F72"/>
    <w:rsid w:val="39B5458C"/>
    <w:rsid w:val="39BF18AF"/>
    <w:rsid w:val="39CE38A0"/>
    <w:rsid w:val="3A1C4963"/>
    <w:rsid w:val="3A5570FB"/>
    <w:rsid w:val="3A563FC1"/>
    <w:rsid w:val="3A97759B"/>
    <w:rsid w:val="3A990BD3"/>
    <w:rsid w:val="3AC86541"/>
    <w:rsid w:val="3AEC222F"/>
    <w:rsid w:val="3AF953E5"/>
    <w:rsid w:val="3B1E5EB2"/>
    <w:rsid w:val="3B4E2FFF"/>
    <w:rsid w:val="3B6049CB"/>
    <w:rsid w:val="3B8107CA"/>
    <w:rsid w:val="3B9C47C1"/>
    <w:rsid w:val="3BAC29ED"/>
    <w:rsid w:val="3BB367AF"/>
    <w:rsid w:val="3BB40923"/>
    <w:rsid w:val="3BD03227"/>
    <w:rsid w:val="3C024B7D"/>
    <w:rsid w:val="3C4E0CC8"/>
    <w:rsid w:val="3C720E5A"/>
    <w:rsid w:val="3C7F4EBC"/>
    <w:rsid w:val="3C862210"/>
    <w:rsid w:val="3D205A10"/>
    <w:rsid w:val="3D5671AA"/>
    <w:rsid w:val="3D8E2068"/>
    <w:rsid w:val="3DFF4595"/>
    <w:rsid w:val="3E102693"/>
    <w:rsid w:val="3E1D7CAF"/>
    <w:rsid w:val="3E750F66"/>
    <w:rsid w:val="3E7E66A3"/>
    <w:rsid w:val="3E94330A"/>
    <w:rsid w:val="3EAD286A"/>
    <w:rsid w:val="3EE06334"/>
    <w:rsid w:val="3EF52DE7"/>
    <w:rsid w:val="3F676329"/>
    <w:rsid w:val="3F676452"/>
    <w:rsid w:val="3FE63663"/>
    <w:rsid w:val="3FE756BB"/>
    <w:rsid w:val="40972C3D"/>
    <w:rsid w:val="40B777E0"/>
    <w:rsid w:val="40C24977"/>
    <w:rsid w:val="40C96B6F"/>
    <w:rsid w:val="40CB0B39"/>
    <w:rsid w:val="40E26775"/>
    <w:rsid w:val="40FF1D3F"/>
    <w:rsid w:val="41445C3F"/>
    <w:rsid w:val="41655958"/>
    <w:rsid w:val="418954B3"/>
    <w:rsid w:val="4194717D"/>
    <w:rsid w:val="42661790"/>
    <w:rsid w:val="42AC628E"/>
    <w:rsid w:val="42E163F2"/>
    <w:rsid w:val="43087E22"/>
    <w:rsid w:val="43240916"/>
    <w:rsid w:val="435528D9"/>
    <w:rsid w:val="4357078B"/>
    <w:rsid w:val="43672D9B"/>
    <w:rsid w:val="4379029A"/>
    <w:rsid w:val="43A46303"/>
    <w:rsid w:val="43A7763B"/>
    <w:rsid w:val="43AC108E"/>
    <w:rsid w:val="43CA2CF3"/>
    <w:rsid w:val="43E42978"/>
    <w:rsid w:val="43F42D41"/>
    <w:rsid w:val="440A1978"/>
    <w:rsid w:val="441962C2"/>
    <w:rsid w:val="4440689F"/>
    <w:rsid w:val="44624A38"/>
    <w:rsid w:val="447E0969"/>
    <w:rsid w:val="44D2503A"/>
    <w:rsid w:val="44DA1D47"/>
    <w:rsid w:val="45647867"/>
    <w:rsid w:val="4582210E"/>
    <w:rsid w:val="45C86CE6"/>
    <w:rsid w:val="45F14B9E"/>
    <w:rsid w:val="45FA5F64"/>
    <w:rsid w:val="460743C1"/>
    <w:rsid w:val="46144D30"/>
    <w:rsid w:val="46767799"/>
    <w:rsid w:val="467F21AA"/>
    <w:rsid w:val="46862299"/>
    <w:rsid w:val="46BF4C9C"/>
    <w:rsid w:val="46C71DA3"/>
    <w:rsid w:val="477261B2"/>
    <w:rsid w:val="47883ED1"/>
    <w:rsid w:val="47986C63"/>
    <w:rsid w:val="47D6229D"/>
    <w:rsid w:val="47FE7A46"/>
    <w:rsid w:val="48374FFD"/>
    <w:rsid w:val="487E1EBD"/>
    <w:rsid w:val="489C235A"/>
    <w:rsid w:val="48EE6CFE"/>
    <w:rsid w:val="49264B98"/>
    <w:rsid w:val="49602681"/>
    <w:rsid w:val="497C0C22"/>
    <w:rsid w:val="49A01779"/>
    <w:rsid w:val="49BF2FBD"/>
    <w:rsid w:val="49FC259C"/>
    <w:rsid w:val="4A2F2139"/>
    <w:rsid w:val="4AB80DFE"/>
    <w:rsid w:val="4AFA3073"/>
    <w:rsid w:val="4B477F40"/>
    <w:rsid w:val="4B664237"/>
    <w:rsid w:val="4BE66A88"/>
    <w:rsid w:val="4BEA240B"/>
    <w:rsid w:val="4BEE392E"/>
    <w:rsid w:val="4C1F5F2B"/>
    <w:rsid w:val="4C46012D"/>
    <w:rsid w:val="4CB532A8"/>
    <w:rsid w:val="4CC0557B"/>
    <w:rsid w:val="4CCC1976"/>
    <w:rsid w:val="4CD174D7"/>
    <w:rsid w:val="4D4B48F3"/>
    <w:rsid w:val="4DE6018E"/>
    <w:rsid w:val="4DF27B79"/>
    <w:rsid w:val="4E1729CD"/>
    <w:rsid w:val="4E296E9F"/>
    <w:rsid w:val="4E6F0D56"/>
    <w:rsid w:val="4EE942B4"/>
    <w:rsid w:val="4F0227BF"/>
    <w:rsid w:val="4F31106F"/>
    <w:rsid w:val="4F55619D"/>
    <w:rsid w:val="4F633558"/>
    <w:rsid w:val="4F8E1D24"/>
    <w:rsid w:val="50175B49"/>
    <w:rsid w:val="50257DA7"/>
    <w:rsid w:val="50266D04"/>
    <w:rsid w:val="50504182"/>
    <w:rsid w:val="505C5D66"/>
    <w:rsid w:val="50753163"/>
    <w:rsid w:val="507C629B"/>
    <w:rsid w:val="50817137"/>
    <w:rsid w:val="509E5922"/>
    <w:rsid w:val="50B11EC2"/>
    <w:rsid w:val="50C37CBB"/>
    <w:rsid w:val="50C71A45"/>
    <w:rsid w:val="510451A5"/>
    <w:rsid w:val="51410B71"/>
    <w:rsid w:val="51444D50"/>
    <w:rsid w:val="51A554F3"/>
    <w:rsid w:val="51ED50E8"/>
    <w:rsid w:val="523D7A9D"/>
    <w:rsid w:val="52B626C2"/>
    <w:rsid w:val="52C15655"/>
    <w:rsid w:val="52C250C7"/>
    <w:rsid w:val="52CB62CE"/>
    <w:rsid w:val="52E1539C"/>
    <w:rsid w:val="530B344E"/>
    <w:rsid w:val="5314011E"/>
    <w:rsid w:val="538C0127"/>
    <w:rsid w:val="539F74A6"/>
    <w:rsid w:val="53B44FB9"/>
    <w:rsid w:val="53C733E2"/>
    <w:rsid w:val="53FF0DCE"/>
    <w:rsid w:val="54066594"/>
    <w:rsid w:val="54154F71"/>
    <w:rsid w:val="544C01DA"/>
    <w:rsid w:val="54826A6F"/>
    <w:rsid w:val="548E6FCC"/>
    <w:rsid w:val="54B41BB8"/>
    <w:rsid w:val="54BC3371"/>
    <w:rsid w:val="54EC13E3"/>
    <w:rsid w:val="55886B57"/>
    <w:rsid w:val="55985036"/>
    <w:rsid w:val="559F4096"/>
    <w:rsid w:val="55B13259"/>
    <w:rsid w:val="55D70E52"/>
    <w:rsid w:val="55E54A69"/>
    <w:rsid w:val="55F00D79"/>
    <w:rsid w:val="560358E7"/>
    <w:rsid w:val="56682C5A"/>
    <w:rsid w:val="56905D0D"/>
    <w:rsid w:val="5737456A"/>
    <w:rsid w:val="573D3418"/>
    <w:rsid w:val="578C3B2F"/>
    <w:rsid w:val="57CE5A99"/>
    <w:rsid w:val="57E1275E"/>
    <w:rsid w:val="57FD3B20"/>
    <w:rsid w:val="583730A7"/>
    <w:rsid w:val="589D4368"/>
    <w:rsid w:val="58CB74D0"/>
    <w:rsid w:val="593B74AE"/>
    <w:rsid w:val="595F6971"/>
    <w:rsid w:val="597C1F53"/>
    <w:rsid w:val="597F295B"/>
    <w:rsid w:val="59896DA8"/>
    <w:rsid w:val="5A170196"/>
    <w:rsid w:val="5A36306F"/>
    <w:rsid w:val="5A473E48"/>
    <w:rsid w:val="5A5C174F"/>
    <w:rsid w:val="5A6E45B7"/>
    <w:rsid w:val="5A7D0C9E"/>
    <w:rsid w:val="5A7D6955"/>
    <w:rsid w:val="5A851901"/>
    <w:rsid w:val="5A8F70F5"/>
    <w:rsid w:val="5B0740EA"/>
    <w:rsid w:val="5B247141"/>
    <w:rsid w:val="5B603133"/>
    <w:rsid w:val="5B867F38"/>
    <w:rsid w:val="5B9837E7"/>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995DEF"/>
    <w:rsid w:val="5DCFAE16"/>
    <w:rsid w:val="5DF01328"/>
    <w:rsid w:val="5E035F0D"/>
    <w:rsid w:val="5EA21F2F"/>
    <w:rsid w:val="5EA91689"/>
    <w:rsid w:val="5EF717E9"/>
    <w:rsid w:val="5F0822F6"/>
    <w:rsid w:val="5F0A286B"/>
    <w:rsid w:val="5F0D4001"/>
    <w:rsid w:val="5F1662FE"/>
    <w:rsid w:val="5F3A0F0C"/>
    <w:rsid w:val="5F57386C"/>
    <w:rsid w:val="5F803FFB"/>
    <w:rsid w:val="5FB50B08"/>
    <w:rsid w:val="5FDD3055"/>
    <w:rsid w:val="60134695"/>
    <w:rsid w:val="60464B44"/>
    <w:rsid w:val="60625971"/>
    <w:rsid w:val="60BB3DF4"/>
    <w:rsid w:val="60F670B5"/>
    <w:rsid w:val="61025BD2"/>
    <w:rsid w:val="6187560F"/>
    <w:rsid w:val="61FE0917"/>
    <w:rsid w:val="62375736"/>
    <w:rsid w:val="62834BFD"/>
    <w:rsid w:val="62B95263"/>
    <w:rsid w:val="63070B25"/>
    <w:rsid w:val="631521FA"/>
    <w:rsid w:val="63312CBB"/>
    <w:rsid w:val="634C5B54"/>
    <w:rsid w:val="635A4871"/>
    <w:rsid w:val="635F44F0"/>
    <w:rsid w:val="639A641D"/>
    <w:rsid w:val="64164FAE"/>
    <w:rsid w:val="645C6FAC"/>
    <w:rsid w:val="64CE4547"/>
    <w:rsid w:val="65007790"/>
    <w:rsid w:val="65071890"/>
    <w:rsid w:val="65362175"/>
    <w:rsid w:val="655A4F13"/>
    <w:rsid w:val="65624D19"/>
    <w:rsid w:val="65735178"/>
    <w:rsid w:val="657A7089"/>
    <w:rsid w:val="65913850"/>
    <w:rsid w:val="65B6317D"/>
    <w:rsid w:val="66372649"/>
    <w:rsid w:val="66416381"/>
    <w:rsid w:val="6688682D"/>
    <w:rsid w:val="66AB22D9"/>
    <w:rsid w:val="66D41533"/>
    <w:rsid w:val="66DC6D4D"/>
    <w:rsid w:val="67386679"/>
    <w:rsid w:val="673D49E3"/>
    <w:rsid w:val="674072DB"/>
    <w:rsid w:val="675532C8"/>
    <w:rsid w:val="679F7DEF"/>
    <w:rsid w:val="67E97973"/>
    <w:rsid w:val="67EB657A"/>
    <w:rsid w:val="680633E1"/>
    <w:rsid w:val="68226616"/>
    <w:rsid w:val="6844104D"/>
    <w:rsid w:val="68474112"/>
    <w:rsid w:val="684921C0"/>
    <w:rsid w:val="68576F69"/>
    <w:rsid w:val="6861124B"/>
    <w:rsid w:val="68B00491"/>
    <w:rsid w:val="68B735CD"/>
    <w:rsid w:val="68B84DB4"/>
    <w:rsid w:val="69005E96"/>
    <w:rsid w:val="69027022"/>
    <w:rsid w:val="694035C3"/>
    <w:rsid w:val="69CE6E20"/>
    <w:rsid w:val="6A0E53A0"/>
    <w:rsid w:val="6A2054D5"/>
    <w:rsid w:val="6A4470E3"/>
    <w:rsid w:val="6A4F42B1"/>
    <w:rsid w:val="6A693B40"/>
    <w:rsid w:val="6AB53B3C"/>
    <w:rsid w:val="6AF74155"/>
    <w:rsid w:val="6AFD34C8"/>
    <w:rsid w:val="6B0B7C86"/>
    <w:rsid w:val="6B80414A"/>
    <w:rsid w:val="6B883D6D"/>
    <w:rsid w:val="6B97675D"/>
    <w:rsid w:val="6BA73DCD"/>
    <w:rsid w:val="6C3F7AD0"/>
    <w:rsid w:val="6CCE6403"/>
    <w:rsid w:val="6CDA7624"/>
    <w:rsid w:val="6CE81713"/>
    <w:rsid w:val="6CE86FC1"/>
    <w:rsid w:val="6D070BEB"/>
    <w:rsid w:val="6D084FE0"/>
    <w:rsid w:val="6D0B6015"/>
    <w:rsid w:val="6D3276C6"/>
    <w:rsid w:val="6D7B2E1B"/>
    <w:rsid w:val="6D7B76B4"/>
    <w:rsid w:val="6D8C0AF7"/>
    <w:rsid w:val="6D8F2D6B"/>
    <w:rsid w:val="6D9143ED"/>
    <w:rsid w:val="6DA265FA"/>
    <w:rsid w:val="6DB74CDB"/>
    <w:rsid w:val="6DB83DEC"/>
    <w:rsid w:val="6DB91B96"/>
    <w:rsid w:val="6DB932C1"/>
    <w:rsid w:val="6E1437DA"/>
    <w:rsid w:val="6E1F0847"/>
    <w:rsid w:val="6E3520A2"/>
    <w:rsid w:val="6E3A43BC"/>
    <w:rsid w:val="6EC86534"/>
    <w:rsid w:val="6EDB13EF"/>
    <w:rsid w:val="6EF6485A"/>
    <w:rsid w:val="6F394D3C"/>
    <w:rsid w:val="6F572DF1"/>
    <w:rsid w:val="6F724F97"/>
    <w:rsid w:val="6F7264A0"/>
    <w:rsid w:val="6FA36659"/>
    <w:rsid w:val="6FA843BB"/>
    <w:rsid w:val="6FBC771B"/>
    <w:rsid w:val="6FC02D31"/>
    <w:rsid w:val="6FD809F9"/>
    <w:rsid w:val="6FF4591D"/>
    <w:rsid w:val="70673B2B"/>
    <w:rsid w:val="70883B9D"/>
    <w:rsid w:val="70A66401"/>
    <w:rsid w:val="713F6A92"/>
    <w:rsid w:val="71877781"/>
    <w:rsid w:val="71B66B18"/>
    <w:rsid w:val="722C52AF"/>
    <w:rsid w:val="726B764E"/>
    <w:rsid w:val="728C5ACB"/>
    <w:rsid w:val="72944086"/>
    <w:rsid w:val="72954F16"/>
    <w:rsid w:val="72D82ABE"/>
    <w:rsid w:val="733B0CDF"/>
    <w:rsid w:val="7350785D"/>
    <w:rsid w:val="7354438F"/>
    <w:rsid w:val="73852C46"/>
    <w:rsid w:val="738702F3"/>
    <w:rsid w:val="73A07A74"/>
    <w:rsid w:val="73C86E78"/>
    <w:rsid w:val="73CB43D1"/>
    <w:rsid w:val="73E07E7C"/>
    <w:rsid w:val="7460376C"/>
    <w:rsid w:val="747D391D"/>
    <w:rsid w:val="74CD211B"/>
    <w:rsid w:val="74DD1DA7"/>
    <w:rsid w:val="752C1393"/>
    <w:rsid w:val="7547449C"/>
    <w:rsid w:val="755548B4"/>
    <w:rsid w:val="7580588A"/>
    <w:rsid w:val="75C64E50"/>
    <w:rsid w:val="76236746"/>
    <w:rsid w:val="762C6FE5"/>
    <w:rsid w:val="7630052F"/>
    <w:rsid w:val="7634380D"/>
    <w:rsid w:val="76375191"/>
    <w:rsid w:val="7639386A"/>
    <w:rsid w:val="76575EBB"/>
    <w:rsid w:val="766069C2"/>
    <w:rsid w:val="7686683E"/>
    <w:rsid w:val="76877ABF"/>
    <w:rsid w:val="76A84E99"/>
    <w:rsid w:val="76E12833"/>
    <w:rsid w:val="76E4232A"/>
    <w:rsid w:val="76F55A77"/>
    <w:rsid w:val="77633752"/>
    <w:rsid w:val="77646A47"/>
    <w:rsid w:val="778B45A3"/>
    <w:rsid w:val="77E638B0"/>
    <w:rsid w:val="77EF7281"/>
    <w:rsid w:val="786170B2"/>
    <w:rsid w:val="788D4480"/>
    <w:rsid w:val="78A32008"/>
    <w:rsid w:val="78C57F86"/>
    <w:rsid w:val="78D11888"/>
    <w:rsid w:val="78F53F2C"/>
    <w:rsid w:val="79386064"/>
    <w:rsid w:val="796912D5"/>
    <w:rsid w:val="796C36EE"/>
    <w:rsid w:val="79C344AC"/>
    <w:rsid w:val="79DA1E2B"/>
    <w:rsid w:val="79F62C66"/>
    <w:rsid w:val="7A4D1FE3"/>
    <w:rsid w:val="7A6014EF"/>
    <w:rsid w:val="7A9B4AFD"/>
    <w:rsid w:val="7ADB314B"/>
    <w:rsid w:val="7AE04C06"/>
    <w:rsid w:val="7AEF309B"/>
    <w:rsid w:val="7AFD2666"/>
    <w:rsid w:val="7AFD7B90"/>
    <w:rsid w:val="7AFE6E3A"/>
    <w:rsid w:val="7B2033F0"/>
    <w:rsid w:val="7B2D0AFC"/>
    <w:rsid w:val="7B4A02D1"/>
    <w:rsid w:val="7B4A6DD9"/>
    <w:rsid w:val="7B7D3D99"/>
    <w:rsid w:val="7C2B3C5E"/>
    <w:rsid w:val="7C4A67DB"/>
    <w:rsid w:val="7CA848E7"/>
    <w:rsid w:val="7CC7607D"/>
    <w:rsid w:val="7CDB5685"/>
    <w:rsid w:val="7CE915AD"/>
    <w:rsid w:val="7D0821F2"/>
    <w:rsid w:val="7D3A560F"/>
    <w:rsid w:val="7DCF0593"/>
    <w:rsid w:val="7DD74128"/>
    <w:rsid w:val="7DEF5899"/>
    <w:rsid w:val="7E1F194A"/>
    <w:rsid w:val="7E7A1CAE"/>
    <w:rsid w:val="7EC34622"/>
    <w:rsid w:val="7EF944E8"/>
    <w:rsid w:val="7F453F8C"/>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81"/>
    <w:qFormat/>
    <w:uiPriority w:val="0"/>
    <w:pPr>
      <w:spacing w:before="340" w:after="330" w:line="578" w:lineRule="auto"/>
      <w:outlineLvl w:val="0"/>
    </w:pPr>
    <w:rPr>
      <w:kern w:val="44"/>
      <w:sz w:val="44"/>
      <w:szCs w:val="44"/>
    </w:rPr>
  </w:style>
  <w:style w:type="paragraph" w:styleId="3">
    <w:name w:val="heading 2"/>
    <w:basedOn w:val="1"/>
    <w:next w:val="1"/>
    <w:link w:val="5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10"/>
    <w:qFormat/>
    <w:uiPriority w:val="0"/>
    <w:pPr>
      <w:keepNext/>
      <w:keepLines/>
      <w:spacing w:before="260" w:after="260" w:line="416" w:lineRule="auto"/>
      <w:outlineLvl w:val="2"/>
    </w:pPr>
    <w:rPr>
      <w:b/>
      <w:bCs/>
      <w:sz w:val="32"/>
      <w:szCs w:val="32"/>
    </w:rPr>
  </w:style>
  <w:style w:type="paragraph" w:styleId="5">
    <w:name w:val="heading 4"/>
    <w:basedOn w:val="1"/>
    <w:next w:val="1"/>
    <w:link w:val="123"/>
    <w:qFormat/>
    <w:uiPriority w:val="0"/>
    <w:pPr>
      <w:keepNext/>
      <w:jc w:val="center"/>
      <w:outlineLvl w:val="3"/>
    </w:pPr>
    <w:rPr>
      <w:rFonts w:eastAsia="新宋体"/>
      <w:sz w:val="3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115"/>
    <w:qFormat/>
    <w:uiPriority w:val="0"/>
    <w:pPr>
      <w:ind w:firstLine="420"/>
    </w:pPr>
    <w:rPr>
      <w:szCs w:val="20"/>
    </w:rPr>
  </w:style>
  <w:style w:type="paragraph" w:styleId="7">
    <w:name w:val="Document Map"/>
    <w:basedOn w:val="1"/>
    <w:next w:val="1"/>
    <w:link w:val="98"/>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1"/>
    <w:unhideWhenUsed/>
    <w:qFormat/>
    <w:uiPriority w:val="99"/>
    <w:pPr>
      <w:jc w:val="left"/>
    </w:pPr>
  </w:style>
  <w:style w:type="paragraph" w:styleId="10">
    <w:name w:val="Body Text"/>
    <w:basedOn w:val="1"/>
    <w:next w:val="1"/>
    <w:qFormat/>
    <w:uiPriority w:val="0"/>
    <w:pPr>
      <w:spacing w:line="400" w:lineRule="exact"/>
    </w:pPr>
    <w:rPr>
      <w:rFonts w:ascii="楷体_GB2312"/>
      <w:sz w:val="28"/>
    </w:rPr>
  </w:style>
  <w:style w:type="paragraph" w:styleId="11">
    <w:name w:val="Body Text Indent"/>
    <w:basedOn w:val="1"/>
    <w:next w:val="12"/>
    <w:link w:val="89"/>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Block Text"/>
    <w:basedOn w:val="1"/>
    <w:next w:val="10"/>
    <w:qFormat/>
    <w:uiPriority w:val="99"/>
    <w:pPr>
      <w:ind w:left="1440" w:leftChars="700" w:right="700" w:rightChars="700"/>
    </w:pPr>
    <w:rPr>
      <w:color w:val="FF0000"/>
      <w:sz w:val="18"/>
    </w:rPr>
  </w:style>
  <w:style w:type="paragraph" w:styleId="14">
    <w:name w:val="index 4"/>
    <w:basedOn w:val="1"/>
    <w:next w:val="1"/>
    <w:semiHidden/>
    <w:qFormat/>
    <w:uiPriority w:val="0"/>
    <w:pPr>
      <w:ind w:left="1260"/>
    </w:pPr>
  </w:style>
  <w:style w:type="paragraph" w:styleId="15">
    <w:name w:val="Plain Text"/>
    <w:basedOn w:val="1"/>
    <w:qFormat/>
    <w:uiPriority w:val="0"/>
    <w:rPr>
      <w:rFonts w:ascii="宋体" w:hAnsi="Courier New"/>
      <w:szCs w:val="20"/>
    </w:rPr>
  </w:style>
  <w:style w:type="paragraph" w:styleId="16">
    <w:name w:val="Date"/>
    <w:basedOn w:val="1"/>
    <w:next w:val="1"/>
    <w:link w:val="80"/>
    <w:qFormat/>
    <w:uiPriority w:val="0"/>
    <w:pPr>
      <w:ind w:left="100" w:leftChars="2500"/>
    </w:pPr>
  </w:style>
  <w:style w:type="paragraph" w:styleId="17">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18">
    <w:name w:val="Balloon Text"/>
    <w:basedOn w:val="1"/>
    <w:link w:val="83"/>
    <w:semiHidden/>
    <w:qFormat/>
    <w:uiPriority w:val="0"/>
    <w:rPr>
      <w:sz w:val="18"/>
      <w:szCs w:val="18"/>
    </w:rPr>
  </w:style>
  <w:style w:type="paragraph" w:styleId="19">
    <w:name w:val="footer"/>
    <w:basedOn w:val="1"/>
    <w:link w:val="116"/>
    <w:qFormat/>
    <w:uiPriority w:val="99"/>
    <w:pPr>
      <w:tabs>
        <w:tab w:val="center" w:pos="4153"/>
        <w:tab w:val="right" w:pos="8306"/>
      </w:tabs>
      <w:snapToGrid w:val="0"/>
      <w:jc w:val="left"/>
    </w:pPr>
    <w:rPr>
      <w:sz w:val="18"/>
      <w:szCs w:val="18"/>
    </w:rPr>
  </w:style>
  <w:style w:type="paragraph" w:styleId="20">
    <w:name w:val="header"/>
    <w:basedOn w:val="1"/>
    <w:link w:val="71"/>
    <w:qFormat/>
    <w:uiPriority w:val="0"/>
    <w:pPr>
      <w:pBdr>
        <w:bottom w:val="single" w:color="auto" w:sz="6" w:space="1"/>
      </w:pBdr>
      <w:tabs>
        <w:tab w:val="center" w:pos="4153"/>
        <w:tab w:val="right" w:pos="8306"/>
      </w:tabs>
      <w:snapToGrid w:val="0"/>
      <w:jc w:val="center"/>
    </w:pPr>
    <w:rPr>
      <w:sz w:val="18"/>
      <w:szCs w:val="18"/>
    </w:rPr>
  </w:style>
  <w:style w:type="paragraph" w:styleId="21">
    <w:name w:val="List Number 5"/>
    <w:basedOn w:val="1"/>
    <w:unhideWhenUsed/>
    <w:qFormat/>
    <w:uiPriority w:val="99"/>
    <w:pPr>
      <w:numPr>
        <w:ilvl w:val="0"/>
        <w:numId w:val="1"/>
      </w:numPr>
    </w:pPr>
  </w:style>
  <w:style w:type="paragraph" w:styleId="22">
    <w:name w:val="footnote text"/>
    <w:basedOn w:val="1"/>
    <w:unhideWhenUsed/>
    <w:qFormat/>
    <w:uiPriority w:val="99"/>
    <w:pPr>
      <w:snapToGrid w:val="0"/>
      <w:jc w:val="left"/>
    </w:pPr>
    <w:rPr>
      <w:sz w:val="18"/>
      <w:szCs w:val="18"/>
    </w:rPr>
  </w:style>
  <w:style w:type="paragraph" w:styleId="23">
    <w:name w:val="Body Text Indent 3"/>
    <w:basedOn w:val="1"/>
    <w:link w:val="45"/>
    <w:qFormat/>
    <w:uiPriority w:val="0"/>
    <w:pPr>
      <w:spacing w:line="520" w:lineRule="exact"/>
      <w:ind w:firstLine="539" w:firstLineChars="184"/>
    </w:pPr>
    <w:rPr>
      <w:rFonts w:ascii="宋体"/>
      <w:b/>
      <w:spacing w:val="6"/>
      <w:sz w:val="28"/>
    </w:rPr>
  </w:style>
  <w:style w:type="paragraph" w:styleId="2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9"/>
    <w:next w:val="9"/>
    <w:link w:val="111"/>
    <w:unhideWhenUsed/>
    <w:qFormat/>
    <w:uiPriority w:val="99"/>
    <w:rPr>
      <w:b/>
      <w:bCs/>
    </w:rPr>
  </w:style>
  <w:style w:type="paragraph" w:styleId="27">
    <w:name w:val="Body Text First Indent"/>
    <w:basedOn w:val="10"/>
    <w:unhideWhenUsed/>
    <w:qFormat/>
    <w:uiPriority w:val="99"/>
    <w:pPr>
      <w:spacing w:line="440" w:lineRule="exact"/>
      <w:ind w:firstLine="420" w:firstLineChars="100"/>
    </w:pPr>
    <w:rPr>
      <w:rFonts w:ascii="宋体"/>
      <w:sz w:val="24"/>
      <w:szCs w:val="28"/>
    </w:rPr>
  </w:style>
  <w:style w:type="paragraph" w:styleId="28">
    <w:name w:val="Body Text First Indent 2"/>
    <w:basedOn w:val="11"/>
    <w:next w:val="23"/>
    <w:unhideWhenUsed/>
    <w:qFormat/>
    <w:uiPriority w:val="99"/>
    <w:pPr>
      <w:ind w:firstLine="20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22"/>
    <w:rPr>
      <w:b/>
      <w:bCs/>
    </w:rPr>
  </w:style>
  <w:style w:type="character" w:styleId="33">
    <w:name w:val="page number"/>
    <w:qFormat/>
    <w:uiPriority w:val="0"/>
  </w:style>
  <w:style w:type="character" w:styleId="34">
    <w:name w:val="Emphasis"/>
    <w:qFormat/>
    <w:uiPriority w:val="0"/>
    <w:rPr>
      <w:b/>
      <w:bCs/>
    </w:rPr>
  </w:style>
  <w:style w:type="character" w:styleId="35">
    <w:name w:val="HTML Definition"/>
    <w:unhideWhenUsed/>
    <w:qFormat/>
    <w:uiPriority w:val="99"/>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unhideWhenUsed/>
    <w:qFormat/>
    <w:uiPriority w:val="99"/>
  </w:style>
  <w:style w:type="character" w:styleId="38">
    <w:name w:val="HTML Variable"/>
    <w:unhideWhenUsed/>
    <w:qFormat/>
    <w:uiPriority w:val="99"/>
  </w:style>
  <w:style w:type="character" w:styleId="39">
    <w:name w:val="Hyperlink"/>
    <w:unhideWhenUsed/>
    <w:qFormat/>
    <w:uiPriority w:val="99"/>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unhideWhenUsed/>
    <w:qFormat/>
    <w:uiPriority w:val="99"/>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character" w:customStyle="1" w:styleId="45">
    <w:name w:val="正文文本缩进 3 字符"/>
    <w:link w:val="23"/>
    <w:qFormat/>
    <w:uiPriority w:val="0"/>
    <w:rPr>
      <w:rFonts w:ascii="宋体"/>
      <w:b/>
      <w:spacing w:val="6"/>
      <w:kern w:val="2"/>
      <w:sz w:val="28"/>
      <w:szCs w:val="24"/>
    </w:rPr>
  </w:style>
  <w:style w:type="character" w:customStyle="1" w:styleId="46">
    <w:name w:val="font51"/>
    <w:qFormat/>
    <w:uiPriority w:val="0"/>
    <w:rPr>
      <w:rFonts w:hint="default" w:ascii="等线" w:hAnsi="等线" w:eastAsia="等线" w:cs="等线"/>
      <w:b/>
      <w:bCs/>
      <w:color w:val="000000"/>
      <w:sz w:val="22"/>
      <w:szCs w:val="22"/>
      <w:u w:val="none"/>
    </w:rPr>
  </w:style>
  <w:style w:type="character" w:customStyle="1" w:styleId="47">
    <w:name w:val="font01"/>
    <w:qFormat/>
    <w:uiPriority w:val="0"/>
    <w:rPr>
      <w:rFonts w:hint="default" w:ascii="等线" w:hAnsi="等线" w:eastAsia="等线" w:cs="等线"/>
      <w:color w:val="000000"/>
      <w:sz w:val="22"/>
      <w:szCs w:val="22"/>
      <w:u w:val="none"/>
    </w:rPr>
  </w:style>
  <w:style w:type="paragraph" w:customStyle="1" w:styleId="48">
    <w:name w:val="标题 3.1"/>
    <w:basedOn w:val="4"/>
    <w:link w:val="96"/>
    <w:qFormat/>
    <w:uiPriority w:val="0"/>
    <w:pPr>
      <w:tabs>
        <w:tab w:val="left" w:pos="1440"/>
        <w:tab w:val="left" w:pos="1620"/>
      </w:tabs>
      <w:spacing w:line="600" w:lineRule="exact"/>
    </w:pPr>
    <w:rPr>
      <w:rFonts w:ascii="宋体" w:hAnsi="宋体"/>
      <w:color w:val="000000"/>
    </w:rPr>
  </w:style>
  <w:style w:type="paragraph" w:customStyle="1" w:styleId="49">
    <w:name w:val="目录 11"/>
    <w:basedOn w:val="1"/>
    <w:next w:val="1"/>
    <w:qFormat/>
    <w:uiPriority w:val="0"/>
    <w:pPr>
      <w:tabs>
        <w:tab w:val="right" w:leader="dot" w:pos="8296"/>
      </w:tabs>
      <w:spacing w:line="360" w:lineRule="auto"/>
    </w:pPr>
  </w:style>
  <w:style w:type="paragraph" w:customStyle="1" w:styleId="50">
    <w:name w:val="正文文本11"/>
    <w:basedOn w:val="1"/>
    <w:next w:val="1"/>
    <w:qFormat/>
    <w:uiPriority w:val="0"/>
    <w:rPr>
      <w:rFonts w:ascii="楷体_GB2312" w:hAnsi="Arial" w:eastAsia="楷体_GB2312"/>
      <w:sz w:val="28"/>
      <w:szCs w:val="28"/>
    </w:rPr>
  </w:style>
  <w:style w:type="character" w:customStyle="1" w:styleId="51">
    <w:name w:val="批注文字 字符"/>
    <w:link w:val="9"/>
    <w:qFormat/>
    <w:uiPriority w:val="99"/>
    <w:rPr>
      <w:kern w:val="2"/>
      <w:sz w:val="21"/>
      <w:szCs w:val="24"/>
    </w:rPr>
  </w:style>
  <w:style w:type="paragraph" w:customStyle="1" w:styleId="52">
    <w:name w:val="Table Paragraph"/>
    <w:basedOn w:val="1"/>
    <w:qFormat/>
    <w:uiPriority w:val="1"/>
    <w:rPr>
      <w:rFonts w:ascii="宋体" w:hAnsi="宋体" w:cs="宋体"/>
      <w:lang w:val="zh-CN" w:bidi="zh-CN"/>
    </w:rPr>
  </w:style>
  <w:style w:type="paragraph" w:customStyle="1" w:styleId="53">
    <w:name w:val="一级条标题"/>
    <w:next w:val="54"/>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5">
    <w:name w:val="标题 41"/>
    <w:basedOn w:val="1"/>
    <w:next w:val="1"/>
    <w:qFormat/>
    <w:uiPriority w:val="0"/>
    <w:pPr>
      <w:keepNext/>
      <w:jc w:val="center"/>
      <w:outlineLvl w:val="3"/>
    </w:pPr>
    <w:rPr>
      <w:rFonts w:eastAsia="新宋体"/>
      <w:sz w:val="30"/>
      <w:szCs w:val="21"/>
    </w:rPr>
  </w:style>
  <w:style w:type="paragraph" w:customStyle="1" w:styleId="56">
    <w:name w:val="正文表标题"/>
    <w:next w:val="54"/>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character" w:customStyle="1" w:styleId="57">
    <w:name w:val="样式 小四 加粗"/>
    <w:basedOn w:val="31"/>
    <w:autoRedefine/>
    <w:qFormat/>
    <w:uiPriority w:val="0"/>
    <w:rPr>
      <w:rFonts w:eastAsia="黑体"/>
      <w:b/>
      <w:bCs/>
      <w:sz w:val="24"/>
    </w:rPr>
  </w:style>
  <w:style w:type="character" w:customStyle="1" w:styleId="58">
    <w:name w:val="标题 2 字符"/>
    <w:link w:val="3"/>
    <w:qFormat/>
    <w:uiPriority w:val="0"/>
    <w:rPr>
      <w:rFonts w:ascii="Arial" w:hAnsi="Arial" w:eastAsia="黑体"/>
      <w:b/>
      <w:bCs/>
      <w:kern w:val="2"/>
      <w:sz w:val="32"/>
      <w:szCs w:val="32"/>
    </w:rPr>
  </w:style>
  <w:style w:type="character" w:customStyle="1" w:styleId="59">
    <w:name w:val="NormalCharacter"/>
    <w:qFormat/>
    <w:uiPriority w:val="0"/>
    <w:rPr>
      <w:rFonts w:ascii="Calibri" w:hAnsi="Calibri" w:eastAsia="宋体" w:cs="Times New Roman"/>
    </w:rPr>
  </w:style>
  <w:style w:type="paragraph" w:customStyle="1" w:styleId="60">
    <w:name w:val="Char2"/>
    <w:basedOn w:val="1"/>
    <w:qFormat/>
    <w:uiPriority w:val="0"/>
    <w:rPr>
      <w:rFonts w:ascii="Tahoma" w:hAnsi="Tahoma"/>
      <w:sz w:val="24"/>
      <w:szCs w:val="20"/>
    </w:rPr>
  </w:style>
  <w:style w:type="paragraph" w:customStyle="1" w:styleId="61">
    <w:name w:val="样式 正文（缩进） + (中文) 楷体_GB2312"/>
    <w:basedOn w:val="62"/>
    <w:qFormat/>
    <w:uiPriority w:val="0"/>
    <w:pPr>
      <w:ind w:left="-2" w:leftChars="-1" w:firstLine="567" w:firstLineChars="0"/>
      <w:jc w:val="left"/>
    </w:pPr>
    <w:rPr>
      <w:rFonts w:eastAsia="楷体_GB2312"/>
      <w:sz w:val="28"/>
      <w:szCs w:val="28"/>
    </w:rPr>
  </w:style>
  <w:style w:type="paragraph" w:customStyle="1" w:styleId="62">
    <w:name w:val="正文（缩进）"/>
    <w:basedOn w:val="1"/>
    <w:qFormat/>
    <w:uiPriority w:val="0"/>
    <w:pPr>
      <w:spacing w:beforeLines="50" w:afterLines="50" w:line="360" w:lineRule="auto"/>
      <w:ind w:firstLine="480" w:firstLineChars="200"/>
    </w:pPr>
    <w:rPr>
      <w:sz w:val="24"/>
    </w:rPr>
  </w:style>
  <w:style w:type="paragraph" w:customStyle="1" w:styleId="63">
    <w:name w:val="*正文"/>
    <w:basedOn w:val="1"/>
    <w:qFormat/>
    <w:uiPriority w:val="0"/>
    <w:pPr>
      <w:spacing w:line="360" w:lineRule="auto"/>
    </w:pPr>
    <w:rPr>
      <w:sz w:val="24"/>
    </w:rPr>
  </w:style>
  <w:style w:type="paragraph" w:customStyle="1" w:styleId="64">
    <w:name w:val="正文首行缩进 21"/>
    <w:basedOn w:val="11"/>
    <w:unhideWhenUsed/>
    <w:qFormat/>
    <w:uiPriority w:val="99"/>
    <w:pPr>
      <w:ind w:firstLine="200"/>
    </w:pPr>
  </w:style>
  <w:style w:type="paragraph" w:customStyle="1" w:styleId="65">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66">
    <w:name w:val="正文文本首行缩进"/>
    <w:basedOn w:val="10"/>
    <w:next w:val="67"/>
    <w:qFormat/>
    <w:uiPriority w:val="0"/>
    <w:pPr>
      <w:spacing w:line="360" w:lineRule="auto"/>
      <w:ind w:firstLine="200" w:firstLineChars="200"/>
    </w:pPr>
    <w:rPr>
      <w:rFonts w:ascii="仿宋_GB2312" w:eastAsia="仿宋_GB2312"/>
      <w:kern w:val="0"/>
      <w:sz w:val="30"/>
      <w:szCs w:val="30"/>
    </w:rPr>
  </w:style>
  <w:style w:type="paragraph" w:customStyle="1" w:styleId="67">
    <w:name w:val="目录 61"/>
    <w:basedOn w:val="1"/>
    <w:next w:val="1"/>
    <w:qFormat/>
    <w:uiPriority w:val="0"/>
    <w:pPr>
      <w:ind w:left="2100"/>
    </w:pPr>
  </w:style>
  <w:style w:type="paragraph" w:customStyle="1" w:styleId="68">
    <w:name w:val="正文首行缩进1"/>
    <w:basedOn w:val="69"/>
    <w:qFormat/>
    <w:uiPriority w:val="0"/>
    <w:pPr>
      <w:spacing w:line="360" w:lineRule="auto"/>
      <w:ind w:firstLine="200"/>
    </w:pPr>
    <w:rPr>
      <w:rFonts w:ascii="仿宋_GB2312" w:hAnsi="Times New Roman" w:eastAsia="仿宋_GB2312"/>
      <w:sz w:val="30"/>
      <w:szCs w:val="30"/>
    </w:rPr>
  </w:style>
  <w:style w:type="paragraph" w:customStyle="1" w:styleId="69">
    <w:name w:val="正文文本1"/>
    <w:basedOn w:val="1"/>
    <w:next w:val="1"/>
    <w:qFormat/>
    <w:uiPriority w:val="0"/>
    <w:rPr>
      <w:rFonts w:ascii="楷体_GB2312" w:hAnsi="Arial" w:eastAsia="楷体_GB2312"/>
      <w:sz w:val="28"/>
      <w:szCs w:val="28"/>
    </w:rPr>
  </w:style>
  <w:style w:type="paragraph" w:customStyle="1" w:styleId="70">
    <w:name w:val="正文1"/>
    <w:basedOn w:val="1"/>
    <w:qFormat/>
    <w:uiPriority w:val="0"/>
    <w:pPr>
      <w:spacing w:line="360" w:lineRule="auto"/>
      <w:ind w:firstLine="361"/>
    </w:pPr>
    <w:rPr>
      <w:rFonts w:ascii="宋体" w:hAnsi="宋体"/>
    </w:rPr>
  </w:style>
  <w:style w:type="character" w:customStyle="1" w:styleId="71">
    <w:name w:val="页眉 字符"/>
    <w:link w:val="20"/>
    <w:qFormat/>
    <w:uiPriority w:val="0"/>
    <w:rPr>
      <w:kern w:val="2"/>
      <w:sz w:val="18"/>
      <w:szCs w:val="18"/>
    </w:rPr>
  </w:style>
  <w:style w:type="paragraph" w:customStyle="1" w:styleId="72">
    <w:name w:val="正文首行缩进11"/>
    <w:basedOn w:val="69"/>
    <w:qFormat/>
    <w:uiPriority w:val="0"/>
    <w:pPr>
      <w:spacing w:line="360" w:lineRule="auto"/>
      <w:ind w:firstLine="200"/>
    </w:pPr>
    <w:rPr>
      <w:rFonts w:ascii="仿宋_GB2312" w:eastAsia="仿宋_GB2312"/>
      <w:sz w:val="30"/>
      <w:szCs w:val="30"/>
    </w:rPr>
  </w:style>
  <w:style w:type="table" w:customStyle="1" w:styleId="73">
    <w:name w:val="Table Normal"/>
    <w:unhideWhenUsed/>
    <w:qFormat/>
    <w:uiPriority w:val="0"/>
    <w:tblPr>
      <w:tblCellMar>
        <w:top w:w="0" w:type="dxa"/>
        <w:left w:w="0" w:type="dxa"/>
        <w:bottom w:w="0" w:type="dxa"/>
        <w:right w:w="0" w:type="dxa"/>
      </w:tblCellMar>
    </w:tblPr>
  </w:style>
  <w:style w:type="character" w:customStyle="1" w:styleId="74">
    <w:name w:val="正文文本首行缩进 2 字符"/>
    <w:link w:val="75"/>
    <w:qFormat/>
    <w:uiPriority w:val="99"/>
  </w:style>
  <w:style w:type="paragraph" w:customStyle="1" w:styleId="75">
    <w:name w:val="正文文本首行缩进 2"/>
    <w:basedOn w:val="11"/>
    <w:next w:val="1"/>
    <w:link w:val="74"/>
    <w:unhideWhenUsed/>
    <w:qFormat/>
    <w:uiPriority w:val="99"/>
    <w:pPr>
      <w:ind w:firstLine="200" w:firstLineChars="200"/>
    </w:pPr>
  </w:style>
  <w:style w:type="paragraph" w:customStyle="1" w:styleId="76">
    <w:name w:val="正文缩进4格"/>
    <w:basedOn w:val="77"/>
    <w:qFormat/>
    <w:uiPriority w:val="0"/>
    <w:pPr>
      <w:ind w:left="2" w:firstLine="538" w:firstLineChars="192"/>
    </w:pPr>
    <w:rPr>
      <w:color w:val="000000"/>
      <w:sz w:val="28"/>
    </w:rPr>
  </w:style>
  <w:style w:type="paragraph" w:customStyle="1" w:styleId="77">
    <w:name w:val="正文缩进2格"/>
    <w:basedOn w:val="1"/>
    <w:link w:val="79"/>
    <w:qFormat/>
    <w:uiPriority w:val="0"/>
    <w:pPr>
      <w:spacing w:line="600" w:lineRule="exact"/>
      <w:ind w:firstLine="639" w:firstLineChars="206"/>
    </w:pPr>
    <w:rPr>
      <w:rFonts w:ascii="仿宋_GB2312" w:hAnsi="宋体" w:eastAsia="仿宋_GB2312"/>
      <w:sz w:val="31"/>
      <w:szCs w:val="28"/>
    </w:rPr>
  </w:style>
  <w:style w:type="paragraph" w:customStyle="1" w:styleId="78">
    <w:name w:val="Char Char Char Char"/>
    <w:basedOn w:val="1"/>
    <w:qFormat/>
    <w:uiPriority w:val="0"/>
    <w:rPr>
      <w:rFonts w:ascii="Tahoma" w:hAnsi="Tahoma"/>
      <w:sz w:val="24"/>
      <w:szCs w:val="20"/>
    </w:rPr>
  </w:style>
  <w:style w:type="character" w:customStyle="1" w:styleId="79">
    <w:name w:val="正文缩进2格 Char"/>
    <w:link w:val="77"/>
    <w:qFormat/>
    <w:locked/>
    <w:uiPriority w:val="0"/>
    <w:rPr>
      <w:rFonts w:ascii="仿宋_GB2312" w:hAnsi="宋体" w:eastAsia="仿宋_GB2312"/>
      <w:kern w:val="2"/>
      <w:sz w:val="31"/>
      <w:szCs w:val="28"/>
    </w:rPr>
  </w:style>
  <w:style w:type="character" w:customStyle="1" w:styleId="80">
    <w:name w:val="日期 字符"/>
    <w:link w:val="16"/>
    <w:qFormat/>
    <w:uiPriority w:val="0"/>
    <w:rPr>
      <w:kern w:val="2"/>
      <w:sz w:val="21"/>
      <w:szCs w:val="24"/>
    </w:rPr>
  </w:style>
  <w:style w:type="character" w:customStyle="1" w:styleId="81">
    <w:name w:val="标题 1 字符"/>
    <w:link w:val="2"/>
    <w:qFormat/>
    <w:uiPriority w:val="0"/>
    <w:rPr>
      <w:b/>
      <w:bCs/>
      <w:kern w:val="44"/>
      <w:sz w:val="44"/>
      <w:szCs w:val="44"/>
    </w:rPr>
  </w:style>
  <w:style w:type="paragraph" w:customStyle="1" w:styleId="82">
    <w:name w:val="正文缩进1"/>
    <w:basedOn w:val="1"/>
    <w:qFormat/>
    <w:uiPriority w:val="0"/>
    <w:pPr>
      <w:widowControl/>
      <w:ind w:firstLine="420"/>
      <w:jc w:val="left"/>
    </w:pPr>
    <w:rPr>
      <w:kern w:val="0"/>
    </w:rPr>
  </w:style>
  <w:style w:type="character" w:customStyle="1" w:styleId="83">
    <w:name w:val="批注框文本 字符"/>
    <w:link w:val="18"/>
    <w:semiHidden/>
    <w:qFormat/>
    <w:uiPriority w:val="0"/>
    <w:rPr>
      <w:kern w:val="2"/>
      <w:sz w:val="18"/>
      <w:szCs w:val="18"/>
    </w:rPr>
  </w:style>
  <w:style w:type="paragraph" w:customStyle="1" w:styleId="84">
    <w:name w:val="首行缩进"/>
    <w:basedOn w:val="1"/>
    <w:qFormat/>
    <w:uiPriority w:val="0"/>
    <w:pPr>
      <w:ind w:firstLine="480" w:firstLineChars="200"/>
    </w:pPr>
    <w:rPr>
      <w:rFonts w:ascii="Calibri" w:hAnsi="Calibri"/>
      <w:szCs w:val="21"/>
    </w:rPr>
  </w:style>
  <w:style w:type="paragraph" w:customStyle="1" w:styleId="85">
    <w:name w:val="sh1"/>
    <w:basedOn w:val="25"/>
    <w:qFormat/>
    <w:uiPriority w:val="0"/>
    <w:pPr>
      <w:adjustRightInd w:val="0"/>
      <w:spacing w:before="0"/>
    </w:pPr>
    <w:rPr>
      <w:rFonts w:ascii="Arial" w:hAnsi="Arial"/>
      <w:bCs w:val="0"/>
    </w:rPr>
  </w:style>
  <w:style w:type="paragraph" w:customStyle="1" w:styleId="86">
    <w:name w:val="正文文本缩进 21"/>
    <w:basedOn w:val="1"/>
    <w:qFormat/>
    <w:uiPriority w:val="0"/>
    <w:pPr>
      <w:spacing w:after="120" w:line="480" w:lineRule="auto"/>
      <w:ind w:left="420"/>
    </w:pPr>
  </w:style>
  <w:style w:type="paragraph" w:customStyle="1" w:styleId="87">
    <w:name w:val="二级条标题"/>
    <w:basedOn w:val="53"/>
    <w:next w:val="54"/>
    <w:qFormat/>
    <w:uiPriority w:val="0"/>
    <w:pPr>
      <w:numPr>
        <w:ilvl w:val="0"/>
        <w:numId w:val="0"/>
      </w:numPr>
      <w:spacing w:before="50" w:after="50"/>
      <w:ind w:left="850"/>
      <w:outlineLvl w:val="3"/>
    </w:pPr>
  </w:style>
  <w:style w:type="paragraph" w:customStyle="1" w:styleId="88">
    <w:name w:val="列表段落"/>
    <w:basedOn w:val="1"/>
    <w:qFormat/>
    <w:uiPriority w:val="34"/>
    <w:pPr>
      <w:ind w:firstLine="420" w:firstLineChars="200"/>
    </w:pPr>
  </w:style>
  <w:style w:type="character" w:customStyle="1" w:styleId="89">
    <w:name w:val="正文文本缩进 字符"/>
    <w:link w:val="11"/>
    <w:qFormat/>
    <w:uiPriority w:val="0"/>
    <w:rPr>
      <w:kern w:val="2"/>
      <w:sz w:val="21"/>
      <w:szCs w:val="24"/>
    </w:rPr>
  </w:style>
  <w:style w:type="paragraph" w:customStyle="1" w:styleId="90">
    <w:name w:val="二级无"/>
    <w:basedOn w:val="87"/>
    <w:qFormat/>
    <w:uiPriority w:val="0"/>
    <w:pPr>
      <w:spacing w:beforeLines="0" w:afterLines="0"/>
    </w:pPr>
    <w:rPr>
      <w:rFonts w:ascii="宋体" w:eastAsia="宋体"/>
    </w:rPr>
  </w:style>
  <w:style w:type="paragraph" w:customStyle="1" w:styleId="91">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92">
    <w:name w:val="三级无"/>
    <w:basedOn w:val="93"/>
    <w:qFormat/>
    <w:uiPriority w:val="0"/>
    <w:pPr>
      <w:numPr>
        <w:numId w:val="3"/>
      </w:numPr>
      <w:tabs>
        <w:tab w:val="left" w:pos="1984"/>
      </w:tabs>
      <w:spacing w:beforeLines="0" w:afterLines="0"/>
    </w:pPr>
    <w:rPr>
      <w:rFonts w:ascii="宋体" w:eastAsia="宋体"/>
    </w:rPr>
  </w:style>
  <w:style w:type="paragraph" w:customStyle="1" w:styleId="93">
    <w:name w:val="三级条标题"/>
    <w:basedOn w:val="87"/>
    <w:next w:val="54"/>
    <w:qFormat/>
    <w:uiPriority w:val="0"/>
    <w:pPr>
      <w:numPr>
        <w:ilvl w:val="3"/>
      </w:numPr>
      <w:ind w:left="850"/>
      <w:outlineLvl w:val="4"/>
    </w:pPr>
  </w:style>
  <w:style w:type="paragraph" w:customStyle="1" w:styleId="94">
    <w:name w:val="Table Text"/>
    <w:basedOn w:val="1"/>
    <w:semiHidden/>
    <w:qFormat/>
    <w:uiPriority w:val="0"/>
    <w:rPr>
      <w:rFonts w:ascii="宋体" w:hAnsi="宋体" w:cs="宋体"/>
      <w:sz w:val="19"/>
      <w:szCs w:val="19"/>
      <w:lang w:eastAsia="en-US"/>
    </w:rPr>
  </w:style>
  <w:style w:type="character" w:customStyle="1" w:styleId="95">
    <w:name w:val="font61"/>
    <w:qFormat/>
    <w:uiPriority w:val="0"/>
    <w:rPr>
      <w:rFonts w:hint="default" w:ascii="Times New Roman" w:hAnsi="Times New Roman" w:cs="Times New Roman"/>
      <w:color w:val="000000"/>
      <w:sz w:val="21"/>
      <w:szCs w:val="21"/>
      <w:u w:val="none"/>
    </w:rPr>
  </w:style>
  <w:style w:type="character" w:customStyle="1" w:styleId="96">
    <w:name w:val="标题 3.1 Char"/>
    <w:link w:val="48"/>
    <w:qFormat/>
    <w:locked/>
    <w:uiPriority w:val="0"/>
    <w:rPr>
      <w:rFonts w:ascii="宋体" w:hAnsi="宋体"/>
      <w:b/>
      <w:bCs/>
      <w:color w:val="000000"/>
      <w:kern w:val="2"/>
      <w:sz w:val="32"/>
      <w:szCs w:val="32"/>
    </w:rPr>
  </w:style>
  <w:style w:type="character" w:customStyle="1" w:styleId="97">
    <w:name w:val="访问过的超链接1"/>
    <w:unhideWhenUsed/>
    <w:qFormat/>
    <w:uiPriority w:val="99"/>
    <w:rPr>
      <w:color w:val="800080"/>
      <w:u w:val="none"/>
    </w:rPr>
  </w:style>
  <w:style w:type="character" w:customStyle="1" w:styleId="98">
    <w:name w:val="文档结构图 字符"/>
    <w:link w:val="7"/>
    <w:semiHidden/>
    <w:qFormat/>
    <w:uiPriority w:val="0"/>
    <w:rPr>
      <w:kern w:val="2"/>
      <w:sz w:val="21"/>
      <w:szCs w:val="24"/>
      <w:shd w:val="clear" w:color="auto" w:fill="000080"/>
    </w:rPr>
  </w:style>
  <w:style w:type="paragraph" w:customStyle="1" w:styleId="9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ListBullet2"/>
    <w:basedOn w:val="1"/>
    <w:qFormat/>
    <w:uiPriority w:val="0"/>
    <w:pPr>
      <w:numPr>
        <w:ilvl w:val="0"/>
        <w:numId w:val="4"/>
      </w:numPr>
    </w:pPr>
  </w:style>
  <w:style w:type="character" w:customStyle="1" w:styleId="101">
    <w:name w:val="普通正文 Char"/>
    <w:link w:val="102"/>
    <w:qFormat/>
    <w:uiPriority w:val="0"/>
    <w:rPr>
      <w:rFonts w:ascii="Arial" w:hAnsi="Arial"/>
      <w:sz w:val="24"/>
      <w:szCs w:val="24"/>
    </w:rPr>
  </w:style>
  <w:style w:type="paragraph" w:customStyle="1" w:styleId="102">
    <w:name w:val="普通正文"/>
    <w:basedOn w:val="1"/>
    <w:link w:val="10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103">
    <w:name w:val="2 级标题"/>
    <w:qFormat/>
    <w:uiPriority w:val="0"/>
    <w:pPr>
      <w:keepNext/>
      <w:keepLines/>
      <w:widowControl w:val="0"/>
      <w:numPr>
        <w:ilvl w:val="1"/>
        <w:numId w:val="5"/>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4">
    <w:name w:val="style4"/>
    <w:basedOn w:val="1"/>
    <w:next w:val="105"/>
    <w:qFormat/>
    <w:uiPriority w:val="0"/>
    <w:pPr>
      <w:widowControl/>
      <w:spacing w:before="280" w:after="280"/>
    </w:pPr>
    <w:rPr>
      <w:rFonts w:ascii="宋体"/>
      <w:sz w:val="18"/>
    </w:rPr>
  </w:style>
  <w:style w:type="paragraph" w:customStyle="1" w:styleId="105">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106">
    <w:name w:val="font31"/>
    <w:qFormat/>
    <w:uiPriority w:val="0"/>
    <w:rPr>
      <w:rFonts w:hint="eastAsia" w:ascii="宋体" w:hAnsi="宋体" w:eastAsia="宋体" w:cs="宋体"/>
      <w:color w:val="000000"/>
      <w:sz w:val="21"/>
      <w:szCs w:val="21"/>
      <w:u w:val="none"/>
    </w:rPr>
  </w:style>
  <w:style w:type="table" w:customStyle="1" w:styleId="107">
    <w:name w:val="网格型4"/>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8">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10">
    <w:name w:val="标题 3 字符"/>
    <w:link w:val="4"/>
    <w:qFormat/>
    <w:uiPriority w:val="0"/>
    <w:rPr>
      <w:b/>
      <w:bCs/>
      <w:kern w:val="2"/>
      <w:sz w:val="32"/>
      <w:szCs w:val="32"/>
    </w:rPr>
  </w:style>
  <w:style w:type="character" w:customStyle="1" w:styleId="111">
    <w:name w:val="批注主题 字符"/>
    <w:link w:val="26"/>
    <w:semiHidden/>
    <w:qFormat/>
    <w:uiPriority w:val="99"/>
    <w:rPr>
      <w:b/>
      <w:bCs/>
      <w:kern w:val="2"/>
      <w:sz w:val="21"/>
      <w:szCs w:val="24"/>
    </w:rPr>
  </w:style>
  <w:style w:type="paragraph" w:customStyle="1" w:styleId="112">
    <w:name w:val="列出段落1"/>
    <w:basedOn w:val="1"/>
    <w:qFormat/>
    <w:uiPriority w:val="34"/>
    <w:pPr>
      <w:widowControl/>
      <w:ind w:left="720"/>
      <w:contextualSpacing/>
      <w:jc w:val="left"/>
    </w:pPr>
    <w:rPr>
      <w:kern w:val="0"/>
      <w:sz w:val="24"/>
      <w:lang w:eastAsia="en-US" w:bidi="en-US"/>
    </w:rPr>
  </w:style>
  <w:style w:type="character" w:customStyle="1" w:styleId="113">
    <w:name w:val="mini-outputtext1"/>
    <w:qFormat/>
    <w:uiPriority w:val="0"/>
  </w:style>
  <w:style w:type="paragraph" w:customStyle="1" w:styleId="114">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115">
    <w:name w:val="正文缩进 字符"/>
    <w:link w:val="6"/>
    <w:qFormat/>
    <w:uiPriority w:val="0"/>
    <w:rPr>
      <w:kern w:val="2"/>
      <w:sz w:val="21"/>
    </w:rPr>
  </w:style>
  <w:style w:type="character" w:customStyle="1" w:styleId="116">
    <w:name w:val="页脚 字符"/>
    <w:link w:val="19"/>
    <w:qFormat/>
    <w:uiPriority w:val="99"/>
    <w:rPr>
      <w:kern w:val="2"/>
      <w:sz w:val="18"/>
      <w:szCs w:val="18"/>
    </w:rPr>
  </w:style>
  <w:style w:type="paragraph" w:customStyle="1" w:styleId="117">
    <w:name w:val="Char"/>
    <w:basedOn w:val="1"/>
    <w:qFormat/>
    <w:uiPriority w:val="0"/>
    <w:rPr>
      <w:rFonts w:ascii="Tahoma" w:hAnsi="Tahoma"/>
      <w:sz w:val="24"/>
      <w:szCs w:val="20"/>
    </w:rPr>
  </w:style>
  <w:style w:type="paragraph" w:customStyle="1" w:styleId="118">
    <w:name w:val="Char1"/>
    <w:basedOn w:val="1"/>
    <w:qFormat/>
    <w:uiPriority w:val="0"/>
    <w:pPr>
      <w:tabs>
        <w:tab w:val="left" w:pos="840"/>
      </w:tabs>
      <w:ind w:left="840" w:hanging="420"/>
    </w:pPr>
    <w:rPr>
      <w:sz w:val="24"/>
    </w:rPr>
  </w:style>
  <w:style w:type="paragraph" w:styleId="119">
    <w:name w:val="List Paragraph"/>
    <w:basedOn w:val="1"/>
    <w:qFormat/>
    <w:uiPriority w:val="34"/>
    <w:pPr>
      <w:ind w:firstLine="420" w:firstLineChars="200"/>
    </w:pPr>
  </w:style>
  <w:style w:type="paragraph" w:customStyle="1" w:styleId="120">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121">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22">
    <w:name w:val="sh4"/>
    <w:basedOn w:val="1"/>
    <w:qFormat/>
    <w:uiPriority w:val="0"/>
    <w:pPr>
      <w:spacing w:line="460" w:lineRule="exact"/>
      <w:ind w:firstLine="420" w:firstLineChars="200"/>
    </w:pPr>
    <w:rPr>
      <w:rFonts w:ascii="宋体" w:hAnsi="宋体"/>
      <w:kern w:val="0"/>
      <w:szCs w:val="21"/>
      <w:lang w:val="zh-CN"/>
    </w:rPr>
  </w:style>
  <w:style w:type="character" w:customStyle="1" w:styleId="123">
    <w:name w:val="标题 4 字符"/>
    <w:link w:val="5"/>
    <w:qFormat/>
    <w:uiPriority w:val="0"/>
    <w:rPr>
      <w:rFonts w:eastAsia="新宋体"/>
      <w:kern w:val="2"/>
      <w:sz w:val="30"/>
      <w:szCs w:val="21"/>
    </w:rPr>
  </w:style>
  <w:style w:type="paragraph" w:customStyle="1" w:styleId="12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5">
    <w:name w:val="Char Char 字元 字元 字元 Char Char Char Char"/>
    <w:basedOn w:val="1"/>
    <w:qFormat/>
    <w:uiPriority w:val="0"/>
    <w:pPr>
      <w:adjustRightInd w:val="0"/>
      <w:spacing w:line="360" w:lineRule="auto"/>
    </w:pPr>
    <w:rPr>
      <w:kern w:val="0"/>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11017</Words>
  <Characters>11596</Characters>
  <Lines>177</Lines>
  <Paragraphs>49</Paragraphs>
  <TotalTime>26</TotalTime>
  <ScaleCrop>false</ScaleCrop>
  <LinksUpToDate>false</LinksUpToDate>
  <CharactersWithSpaces>11708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2026-07-01T14:26:00Z</dcterms:created>
  <dc:creator>admin</dc:creator>
  <cp:lastModifiedBy>戳戳</cp:lastModifiedBy>
  <dcterms:modified xsi:type="dcterms:W3CDTF">2026-07-06T04:17:16Z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7C8F027D08A04482BD508AD260299C59_13</vt:lpwstr>
  </property>
</Properties>
</file>