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F6CECD">
      <w:pPr>
        <w:keepNext w:val="0"/>
        <w:keepLines w:val="0"/>
        <w:pageBreakBefore w:val="0"/>
        <w:widowControl w:val="0"/>
        <w:spacing w:line="600" w:lineRule="exact"/>
        <w:jc w:val="center"/>
        <w:rPr>
          <w:rFonts w:hint="eastAsia" w:ascii="宋体" w:hAnsi="宋体" w:cs="宋体"/>
          <w:b/>
          <w:color w:val="auto"/>
          <w:spacing w:val="20"/>
          <w:sz w:val="44"/>
          <w:szCs w:val="44"/>
          <w:highlight w:val="none"/>
          <w:lang w:eastAsia="zh-CN"/>
        </w:rPr>
      </w:pPr>
    </w:p>
    <w:p w14:paraId="1999719B">
      <w:pPr>
        <w:keepNext w:val="0"/>
        <w:keepLines w:val="0"/>
        <w:pageBreakBefore w:val="0"/>
        <w:widowControl w:val="0"/>
        <w:spacing w:line="600" w:lineRule="exact"/>
        <w:jc w:val="center"/>
        <w:rPr>
          <w:rFonts w:hint="eastAsia" w:ascii="宋体" w:hAnsi="宋体" w:eastAsia="宋体" w:cs="宋体"/>
          <w:bCs/>
          <w:color w:val="auto"/>
          <w:sz w:val="100"/>
          <w:szCs w:val="100"/>
          <w:highlight w:val="none"/>
          <w:lang w:eastAsia="zh-CN"/>
        </w:rPr>
      </w:pPr>
      <w:r>
        <w:rPr>
          <w:rFonts w:hint="eastAsia" w:ascii="宋体" w:hAnsi="宋体" w:cs="宋体"/>
          <w:b/>
          <w:color w:val="auto"/>
          <w:spacing w:val="20"/>
          <w:sz w:val="44"/>
          <w:szCs w:val="44"/>
          <w:highlight w:val="none"/>
          <w:lang w:eastAsia="zh-CN"/>
        </w:rPr>
        <w:t>南通职业大学2026钟秀校区常规智慧教室项目</w:t>
      </w:r>
    </w:p>
    <w:p w14:paraId="196C0924">
      <w:pPr>
        <w:spacing w:line="1000" w:lineRule="exact"/>
        <w:jc w:val="center"/>
        <w:outlineLvl w:val="0"/>
        <w:rPr>
          <w:rFonts w:hint="eastAsia" w:ascii="宋体" w:hAnsi="宋体" w:cs="宋体"/>
          <w:bCs/>
          <w:color w:val="auto"/>
          <w:sz w:val="100"/>
          <w:szCs w:val="100"/>
          <w:highlight w:val="none"/>
        </w:rPr>
      </w:pPr>
      <w:bookmarkStart w:id="0" w:name="_Toc5695"/>
      <w:bookmarkStart w:id="1" w:name="_Toc24819"/>
    </w:p>
    <w:p w14:paraId="295EF866">
      <w:pPr>
        <w:spacing w:line="1000" w:lineRule="exact"/>
        <w:jc w:val="center"/>
        <w:outlineLvl w:val="0"/>
        <w:rPr>
          <w:rFonts w:hint="eastAsia" w:ascii="宋体" w:hAnsi="宋体" w:cs="宋体"/>
          <w:bCs/>
          <w:color w:val="auto"/>
          <w:sz w:val="100"/>
          <w:szCs w:val="100"/>
          <w:highlight w:val="none"/>
        </w:rPr>
      </w:pPr>
    </w:p>
    <w:p w14:paraId="7F6146FD">
      <w:pPr>
        <w:spacing w:line="1000" w:lineRule="exact"/>
        <w:jc w:val="center"/>
        <w:outlineLvl w:val="0"/>
        <w:rPr>
          <w:rFonts w:hint="eastAsia" w:ascii="宋体" w:hAnsi="宋体" w:cs="宋体"/>
          <w:b/>
          <w:bCs/>
          <w:color w:val="auto"/>
          <w:highlight w:val="none"/>
        </w:rPr>
      </w:pPr>
      <w:r>
        <w:rPr>
          <w:rFonts w:hint="eastAsia" w:ascii="宋体" w:hAnsi="宋体" w:cs="宋体"/>
          <w:bCs/>
          <w:color w:val="auto"/>
          <w:sz w:val="100"/>
          <w:szCs w:val="100"/>
          <w:highlight w:val="none"/>
        </w:rPr>
        <w:t>政府采购招标文件</w:t>
      </w:r>
      <w:bookmarkEnd w:id="0"/>
      <w:bookmarkEnd w:id="1"/>
    </w:p>
    <w:p w14:paraId="781D4CC0">
      <w:pPr>
        <w:spacing w:line="1000" w:lineRule="exact"/>
        <w:jc w:val="center"/>
        <w:rPr>
          <w:rFonts w:hint="eastAsia" w:ascii="宋体" w:hAnsi="宋体" w:cs="宋体"/>
          <w:color w:val="auto"/>
          <w:sz w:val="36"/>
          <w:szCs w:val="36"/>
          <w:highlight w:val="none"/>
          <w:lang w:eastAsia="zh-CN"/>
        </w:rPr>
      </w:pPr>
      <w:r>
        <w:rPr>
          <w:rFonts w:hint="eastAsia" w:ascii="宋体" w:hAnsi="宋体" w:cs="宋体"/>
          <w:bCs/>
          <w:color w:val="auto"/>
          <w:sz w:val="36"/>
          <w:szCs w:val="36"/>
          <w:highlight w:val="none"/>
        </w:rPr>
        <w:t>招标文件编号：</w:t>
      </w:r>
      <w:r>
        <w:rPr>
          <w:rFonts w:hint="eastAsia" w:ascii="宋体" w:hAnsi="宋体" w:cs="宋体"/>
          <w:bCs/>
          <w:color w:val="auto"/>
          <w:sz w:val="36"/>
          <w:szCs w:val="36"/>
          <w:highlight w:val="none"/>
          <w:lang w:eastAsia="zh-CN"/>
        </w:rPr>
        <w:t>JSZC-320600-ZRJS-G2026-0018</w:t>
      </w:r>
    </w:p>
    <w:p w14:paraId="7D794750">
      <w:pPr>
        <w:spacing w:line="1000" w:lineRule="exact"/>
        <w:jc w:val="center"/>
        <w:rPr>
          <w:rFonts w:hint="eastAsia" w:ascii="宋体" w:hAnsi="宋体" w:eastAsia="宋体" w:cs="宋体"/>
          <w:b/>
          <w:bCs/>
          <w:color w:val="auto"/>
          <w:sz w:val="36"/>
          <w:szCs w:val="36"/>
          <w:highlight w:val="none"/>
          <w:lang w:eastAsia="zh-CN"/>
        </w:rPr>
      </w:pPr>
    </w:p>
    <w:p w14:paraId="6FF801B8">
      <w:pPr>
        <w:spacing w:line="1000" w:lineRule="exact"/>
        <w:jc w:val="center"/>
        <w:rPr>
          <w:rFonts w:hint="eastAsia" w:ascii="宋体" w:hAnsi="宋体" w:cs="宋体"/>
          <w:b/>
          <w:color w:val="auto"/>
          <w:sz w:val="36"/>
          <w:highlight w:val="none"/>
        </w:rPr>
      </w:pPr>
    </w:p>
    <w:p w14:paraId="2D648C76">
      <w:pPr>
        <w:spacing w:line="500" w:lineRule="exact"/>
        <w:jc w:val="center"/>
        <w:rPr>
          <w:rFonts w:hint="eastAsia" w:ascii="宋体" w:hAnsi="宋体" w:cs="宋体"/>
          <w:b/>
          <w:color w:val="auto"/>
          <w:sz w:val="36"/>
          <w:highlight w:val="none"/>
        </w:rPr>
      </w:pPr>
    </w:p>
    <w:p w14:paraId="0FFA76BD">
      <w:pPr>
        <w:pStyle w:val="237"/>
        <w:rPr>
          <w:rFonts w:hint="eastAsia" w:ascii="宋体" w:hAnsi="宋体" w:eastAsia="宋体" w:cs="宋体"/>
          <w:color w:val="auto"/>
          <w:sz w:val="32"/>
          <w:highlight w:val="none"/>
        </w:rPr>
      </w:pPr>
    </w:p>
    <w:p w14:paraId="22B890B9">
      <w:pPr>
        <w:pStyle w:val="237"/>
        <w:rPr>
          <w:rFonts w:hint="eastAsia" w:ascii="宋体" w:hAnsi="宋体" w:eastAsia="宋体" w:cs="宋体"/>
          <w:color w:val="auto"/>
          <w:sz w:val="32"/>
          <w:highlight w:val="none"/>
        </w:rPr>
      </w:pPr>
    </w:p>
    <w:p w14:paraId="56B9037C">
      <w:pPr>
        <w:pStyle w:val="237"/>
        <w:rPr>
          <w:rFonts w:hint="eastAsia" w:ascii="宋体" w:hAnsi="宋体" w:eastAsia="宋体" w:cs="宋体"/>
          <w:color w:val="auto"/>
          <w:sz w:val="32"/>
          <w:highlight w:val="none"/>
        </w:rPr>
      </w:pPr>
    </w:p>
    <w:p w14:paraId="123316FD">
      <w:pPr>
        <w:pStyle w:val="237"/>
        <w:rPr>
          <w:rFonts w:hint="eastAsia" w:ascii="宋体" w:hAnsi="宋体" w:eastAsia="宋体" w:cs="宋体"/>
          <w:color w:val="auto"/>
          <w:sz w:val="32"/>
          <w:highlight w:val="none"/>
        </w:rPr>
      </w:pPr>
    </w:p>
    <w:p w14:paraId="27125F5E">
      <w:pPr>
        <w:pStyle w:val="237"/>
        <w:rPr>
          <w:rFonts w:hint="eastAsia" w:ascii="宋体" w:hAnsi="宋体" w:eastAsia="宋体" w:cs="宋体"/>
          <w:color w:val="auto"/>
          <w:sz w:val="32"/>
          <w:highlight w:val="none"/>
        </w:rPr>
      </w:pPr>
    </w:p>
    <w:p w14:paraId="41D64EE4">
      <w:pPr>
        <w:pStyle w:val="237"/>
        <w:rPr>
          <w:rFonts w:hint="eastAsia" w:ascii="宋体" w:hAnsi="宋体" w:eastAsia="宋体" w:cs="宋体"/>
          <w:color w:val="auto"/>
          <w:sz w:val="32"/>
          <w:highlight w:val="none"/>
        </w:rPr>
      </w:pPr>
    </w:p>
    <w:p w14:paraId="6A105D49">
      <w:pPr>
        <w:pStyle w:val="237"/>
        <w:rPr>
          <w:rFonts w:hint="eastAsia" w:ascii="宋体" w:hAnsi="宋体" w:eastAsia="宋体" w:cs="宋体"/>
          <w:color w:val="auto"/>
          <w:sz w:val="32"/>
          <w:highlight w:val="none"/>
        </w:rPr>
      </w:pPr>
    </w:p>
    <w:p w14:paraId="25E4DD82">
      <w:pPr>
        <w:pStyle w:val="237"/>
        <w:rPr>
          <w:rFonts w:hint="eastAsia" w:ascii="宋体" w:hAnsi="宋体" w:eastAsia="宋体" w:cs="宋体"/>
          <w:color w:val="auto"/>
          <w:sz w:val="32"/>
          <w:highlight w:val="none"/>
        </w:rPr>
      </w:pPr>
    </w:p>
    <w:p w14:paraId="52C785DA">
      <w:pPr>
        <w:pStyle w:val="237"/>
        <w:rPr>
          <w:rFonts w:hint="eastAsia" w:ascii="宋体" w:hAnsi="宋体" w:eastAsia="宋体" w:cs="宋体"/>
          <w:color w:val="auto"/>
          <w:sz w:val="32"/>
          <w:highlight w:val="none"/>
        </w:rPr>
      </w:pPr>
    </w:p>
    <w:p w14:paraId="43AFAA55">
      <w:pPr>
        <w:spacing w:before="120" w:after="120" w:line="460" w:lineRule="exact"/>
        <w:ind w:left="-2" w:right="120"/>
        <w:jc w:val="center"/>
        <w:outlineLvl w:val="0"/>
        <w:rPr>
          <w:rFonts w:hint="eastAsia" w:ascii="宋体" w:hAnsi="宋体" w:eastAsia="宋体" w:cs="宋体"/>
          <w:b/>
          <w:bCs/>
          <w:color w:val="auto"/>
          <w:sz w:val="36"/>
          <w:szCs w:val="36"/>
          <w:highlight w:val="none"/>
          <w:lang w:eastAsia="zh-CN"/>
        </w:rPr>
      </w:pPr>
      <w:r>
        <w:rPr>
          <w:rFonts w:hint="eastAsia" w:ascii="宋体" w:hAnsi="宋体" w:cs="宋体"/>
          <w:b/>
          <w:bCs/>
          <w:color w:val="auto"/>
          <w:sz w:val="36"/>
          <w:szCs w:val="36"/>
          <w:highlight w:val="none"/>
          <w:lang w:eastAsia="zh-CN"/>
        </w:rPr>
        <w:t>南通职业大学</w:t>
      </w:r>
    </w:p>
    <w:p w14:paraId="2D9B9656">
      <w:pPr>
        <w:jc w:val="center"/>
        <w:rPr>
          <w:rFonts w:hint="eastAsia" w:ascii="宋体" w:hAnsi="宋体" w:cs="宋体"/>
          <w:b/>
          <w:bCs/>
          <w:color w:val="auto"/>
          <w:sz w:val="36"/>
          <w:szCs w:val="36"/>
          <w:highlight w:val="none"/>
        </w:rPr>
        <w:sectPr>
          <w:headerReference r:id="rId3" w:type="default"/>
          <w:footerReference r:id="rId4" w:type="default"/>
          <w:pgSz w:w="11907" w:h="16839"/>
          <w:pgMar w:top="1440" w:right="1800" w:bottom="1440" w:left="1800" w:header="720" w:footer="720" w:gutter="0"/>
          <w:cols w:space="720" w:num="1"/>
          <w:docGrid w:linePitch="360" w:charSpace="0"/>
        </w:sectPr>
      </w:pPr>
      <w:r>
        <w:rPr>
          <w:rFonts w:hint="eastAsia" w:ascii="宋体" w:hAnsi="宋体" w:cs="宋体"/>
          <w:b/>
          <w:bCs/>
          <w:color w:val="auto"/>
          <w:sz w:val="36"/>
          <w:szCs w:val="36"/>
          <w:highlight w:val="none"/>
        </w:rPr>
        <w:t>2026年</w:t>
      </w:r>
      <w:r>
        <w:rPr>
          <w:rFonts w:hint="eastAsia" w:ascii="宋体" w:hAnsi="宋体" w:cs="宋体"/>
          <w:b/>
          <w:bCs/>
          <w:color w:val="auto"/>
          <w:sz w:val="36"/>
          <w:szCs w:val="36"/>
          <w:highlight w:val="none"/>
          <w:lang w:val="en-US" w:eastAsia="zh-CN"/>
        </w:rPr>
        <w:t>7</w:t>
      </w:r>
      <w:r>
        <w:rPr>
          <w:rFonts w:hint="eastAsia" w:ascii="宋体" w:hAnsi="宋体" w:cs="宋体"/>
          <w:b/>
          <w:bCs/>
          <w:color w:val="auto"/>
          <w:sz w:val="36"/>
          <w:szCs w:val="36"/>
          <w:highlight w:val="none"/>
        </w:rPr>
        <w:t>月</w:t>
      </w:r>
    </w:p>
    <w:p w14:paraId="3AD55FED">
      <w:pPr>
        <w:jc w:val="center"/>
        <w:rPr>
          <w:rFonts w:hint="eastAsia" w:ascii="宋体" w:hAnsi="宋体" w:cs="宋体"/>
          <w:color w:val="auto"/>
          <w:sz w:val="36"/>
          <w:szCs w:val="44"/>
          <w:highlight w:val="none"/>
        </w:rPr>
      </w:pPr>
      <w:r>
        <w:rPr>
          <w:rFonts w:hint="eastAsia" w:ascii="宋体" w:hAnsi="宋体" w:cs="宋体"/>
          <w:color w:val="auto"/>
          <w:sz w:val="36"/>
          <w:szCs w:val="44"/>
          <w:highlight w:val="none"/>
        </w:rPr>
        <w:t>目录</w:t>
      </w:r>
    </w:p>
    <w:p w14:paraId="6DA41715">
      <w:pPr>
        <w:pStyle w:val="33"/>
        <w:tabs>
          <w:tab w:val="right" w:leader="dot" w:pos="8307"/>
        </w:tabs>
        <w:spacing w:line="72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TOC \o "1-1" \h \u </w:instrText>
      </w:r>
      <w:r>
        <w:rPr>
          <w:rFonts w:hint="eastAsia" w:ascii="宋体" w:hAnsi="宋体" w:cs="宋体"/>
          <w:color w:val="auto"/>
          <w:sz w:val="32"/>
          <w:szCs w:val="32"/>
          <w:highlight w:val="none"/>
        </w:rPr>
        <w:fldChar w:fldCharType="separate"/>
      </w:r>
    </w:p>
    <w:p w14:paraId="1A9F13F9">
      <w:pPr>
        <w:pStyle w:val="33"/>
        <w:tabs>
          <w:tab w:val="right" w:leader="dot" w:pos="8307"/>
        </w:tabs>
        <w:spacing w:line="720" w:lineRule="auto"/>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"_Toc29789" </w:instrText>
      </w:r>
      <w:r>
        <w:rPr>
          <w:color w:val="auto"/>
          <w:highlight w:val="none"/>
        </w:rPr>
        <w:fldChar w:fldCharType="separate"/>
      </w:r>
      <w:r>
        <w:rPr>
          <w:rFonts w:hint="eastAsia" w:ascii="宋体" w:hAnsi="宋体" w:cs="宋体"/>
          <w:bCs/>
          <w:color w:val="auto"/>
          <w:sz w:val="32"/>
          <w:szCs w:val="44"/>
          <w:highlight w:val="none"/>
        </w:rPr>
        <w:t>第一部分  投标邀请</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_Toc29789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3</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p>
    <w:p w14:paraId="09A2B071">
      <w:pPr>
        <w:pStyle w:val="33"/>
        <w:tabs>
          <w:tab w:val="right" w:leader="dot" w:pos="8307"/>
        </w:tabs>
        <w:spacing w:line="720" w:lineRule="auto"/>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"_Toc28364" </w:instrText>
      </w:r>
      <w:r>
        <w:rPr>
          <w:color w:val="auto"/>
          <w:highlight w:val="none"/>
        </w:rPr>
        <w:fldChar w:fldCharType="separate"/>
      </w:r>
      <w:r>
        <w:rPr>
          <w:rFonts w:hint="eastAsia" w:ascii="宋体" w:hAnsi="宋体" w:cs="宋体"/>
          <w:bCs/>
          <w:color w:val="auto"/>
          <w:sz w:val="32"/>
          <w:szCs w:val="44"/>
          <w:highlight w:val="none"/>
        </w:rPr>
        <w:t>第二部分  投标须知</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_Toc28364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7</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p>
    <w:p w14:paraId="7DEC36CC">
      <w:pPr>
        <w:pStyle w:val="33"/>
        <w:tabs>
          <w:tab w:val="right" w:leader="dot" w:pos="8307"/>
        </w:tabs>
        <w:spacing w:line="720" w:lineRule="auto"/>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"_Toc21690" </w:instrText>
      </w:r>
      <w:r>
        <w:rPr>
          <w:color w:val="auto"/>
          <w:highlight w:val="none"/>
        </w:rPr>
        <w:fldChar w:fldCharType="separate"/>
      </w:r>
      <w:r>
        <w:rPr>
          <w:rFonts w:hint="eastAsia" w:ascii="宋体" w:hAnsi="宋体" w:cs="宋体"/>
          <w:bCs/>
          <w:color w:val="auto"/>
          <w:sz w:val="32"/>
          <w:szCs w:val="44"/>
          <w:highlight w:val="none"/>
        </w:rPr>
        <w:t>第三部分  项目需求</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_Toc21690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23</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p>
    <w:p w14:paraId="03E4148B">
      <w:pPr>
        <w:pStyle w:val="33"/>
        <w:tabs>
          <w:tab w:val="right" w:leader="dot" w:pos="8307"/>
        </w:tabs>
        <w:spacing w:line="720" w:lineRule="auto"/>
        <w:rPr>
          <w:rFonts w:hint="eastAsia" w:ascii="宋体" w:hAnsi="宋体" w:eastAsia="宋体" w:cs="宋体"/>
          <w:color w:val="auto"/>
          <w:sz w:val="32"/>
          <w:szCs w:val="32"/>
          <w:highlight w:val="none"/>
          <w:lang w:val="en-US" w:eastAsia="zh-CN"/>
        </w:rPr>
      </w:pPr>
      <w:r>
        <w:rPr>
          <w:color w:val="auto"/>
          <w:highlight w:val="none"/>
        </w:rPr>
        <w:fldChar w:fldCharType="begin"/>
      </w:r>
      <w:r>
        <w:rPr>
          <w:color w:val="auto"/>
          <w:highlight w:val="none"/>
        </w:rPr>
        <w:instrText xml:space="preserve"> HYPERLINK \l "_Toc30320" </w:instrText>
      </w:r>
      <w:r>
        <w:rPr>
          <w:color w:val="auto"/>
          <w:highlight w:val="none"/>
        </w:rPr>
        <w:fldChar w:fldCharType="separate"/>
      </w:r>
      <w:r>
        <w:rPr>
          <w:rFonts w:hint="eastAsia" w:ascii="宋体" w:hAnsi="宋体" w:cs="宋体"/>
          <w:bCs/>
          <w:color w:val="auto"/>
          <w:sz w:val="32"/>
          <w:szCs w:val="44"/>
          <w:highlight w:val="none"/>
        </w:rPr>
        <w:t>第四部分  开标和评标</w:t>
      </w:r>
      <w:r>
        <w:rPr>
          <w:rFonts w:hint="eastAsia" w:ascii="宋体" w:hAnsi="宋体" w:cs="宋体"/>
          <w:color w:val="auto"/>
          <w:sz w:val="32"/>
          <w:szCs w:val="32"/>
          <w:highlight w:val="none"/>
        </w:rPr>
        <w:tab/>
      </w:r>
      <w:r>
        <w:rPr>
          <w:rFonts w:hint="eastAsia" w:ascii="宋体" w:hAnsi="宋体" w:cs="宋体"/>
          <w:color w:val="auto"/>
          <w:sz w:val="32"/>
          <w:szCs w:val="32"/>
          <w:highlight w:val="none"/>
          <w:lang w:val="en-US" w:eastAsia="zh-CN"/>
        </w:rPr>
        <w:t>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lang w:val="en-US" w:eastAsia="zh-CN"/>
        </w:rPr>
        <w:t>1</w:t>
      </w:r>
    </w:p>
    <w:p w14:paraId="5EADCB1B">
      <w:pPr>
        <w:pStyle w:val="33"/>
        <w:tabs>
          <w:tab w:val="right" w:leader="dot" w:pos="8307"/>
        </w:tabs>
        <w:spacing w:line="720" w:lineRule="auto"/>
        <w:rPr>
          <w:rFonts w:hint="eastAsia" w:ascii="宋体" w:hAnsi="宋体" w:eastAsia="宋体" w:cs="宋体"/>
          <w:color w:val="auto"/>
          <w:sz w:val="32"/>
          <w:szCs w:val="32"/>
          <w:highlight w:val="none"/>
          <w:lang w:eastAsia="zh-CN"/>
        </w:rPr>
      </w:pPr>
      <w:r>
        <w:rPr>
          <w:color w:val="auto"/>
          <w:highlight w:val="none"/>
        </w:rPr>
        <w:fldChar w:fldCharType="begin"/>
      </w:r>
      <w:r>
        <w:rPr>
          <w:color w:val="auto"/>
          <w:highlight w:val="none"/>
        </w:rPr>
        <w:instrText xml:space="preserve"> HYPERLINK \l "_Toc23874" </w:instrText>
      </w:r>
      <w:r>
        <w:rPr>
          <w:color w:val="auto"/>
          <w:highlight w:val="none"/>
        </w:rPr>
        <w:fldChar w:fldCharType="separate"/>
      </w:r>
      <w:r>
        <w:rPr>
          <w:rFonts w:hint="eastAsia" w:ascii="宋体" w:hAnsi="宋体" w:cs="宋体"/>
          <w:bCs/>
          <w:color w:val="auto"/>
          <w:sz w:val="32"/>
          <w:szCs w:val="44"/>
          <w:highlight w:val="none"/>
        </w:rPr>
        <w:t>第五部分  质疑与投诉</w:t>
      </w:r>
      <w:r>
        <w:rPr>
          <w:rFonts w:hint="eastAsia" w:ascii="宋体" w:hAnsi="宋体" w:cs="宋体"/>
          <w:color w:val="auto"/>
          <w:sz w:val="32"/>
          <w:szCs w:val="32"/>
          <w:highlight w:val="none"/>
        </w:rPr>
        <w:tab/>
      </w:r>
      <w:r>
        <w:rPr>
          <w:rFonts w:hint="eastAsia" w:ascii="宋体" w:hAnsi="宋体" w:cs="宋体"/>
          <w:color w:val="auto"/>
          <w:sz w:val="32"/>
          <w:szCs w:val="32"/>
          <w:highlight w:val="none"/>
          <w:lang w:val="en-US" w:eastAsia="zh-CN"/>
        </w:rPr>
        <w:t>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lang w:val="en-US" w:eastAsia="zh-CN"/>
        </w:rPr>
        <w:t>9</w:t>
      </w:r>
    </w:p>
    <w:p w14:paraId="487DEA8D">
      <w:pPr>
        <w:pStyle w:val="33"/>
        <w:tabs>
          <w:tab w:val="right" w:leader="dot" w:pos="8307"/>
        </w:tabs>
        <w:spacing w:line="720" w:lineRule="auto"/>
        <w:rPr>
          <w:rFonts w:hint="eastAsia" w:ascii="宋体" w:hAnsi="宋体" w:eastAsia="宋体" w:cs="宋体"/>
          <w:color w:val="auto"/>
          <w:sz w:val="32"/>
          <w:szCs w:val="32"/>
          <w:highlight w:val="none"/>
          <w:lang w:eastAsia="zh-CN"/>
        </w:rPr>
      </w:pPr>
      <w:r>
        <w:rPr>
          <w:color w:val="auto"/>
          <w:highlight w:val="none"/>
        </w:rPr>
        <w:fldChar w:fldCharType="begin"/>
      </w:r>
      <w:r>
        <w:rPr>
          <w:color w:val="auto"/>
          <w:highlight w:val="none"/>
        </w:rPr>
        <w:instrText xml:space="preserve"> HYPERLINK \l "_Toc12704" </w:instrText>
      </w:r>
      <w:r>
        <w:rPr>
          <w:color w:val="auto"/>
          <w:highlight w:val="none"/>
        </w:rPr>
        <w:fldChar w:fldCharType="separate"/>
      </w:r>
      <w:r>
        <w:rPr>
          <w:rFonts w:hint="eastAsia" w:ascii="宋体" w:hAnsi="宋体" w:cs="宋体"/>
          <w:bCs/>
          <w:color w:val="auto"/>
          <w:sz w:val="32"/>
          <w:szCs w:val="44"/>
          <w:highlight w:val="none"/>
        </w:rPr>
        <w:t>第六部分  投标文件组成</w:t>
      </w:r>
      <w:r>
        <w:rPr>
          <w:rFonts w:hint="eastAsia" w:ascii="宋体" w:hAnsi="宋体" w:cs="宋体"/>
          <w:color w:val="auto"/>
          <w:sz w:val="32"/>
          <w:szCs w:val="32"/>
          <w:highlight w:val="none"/>
        </w:rPr>
        <w:tab/>
      </w:r>
      <w:r>
        <w:rPr>
          <w:rFonts w:hint="eastAsia" w:ascii="宋体" w:hAnsi="宋体" w:cs="宋体"/>
          <w:color w:val="auto"/>
          <w:sz w:val="32"/>
          <w:szCs w:val="32"/>
          <w:highlight w:val="none"/>
          <w:lang w:val="en-US" w:eastAsia="zh-CN"/>
        </w:rPr>
        <w:t>6</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lang w:val="en-US" w:eastAsia="zh-CN"/>
        </w:rPr>
        <w:t>3</w:t>
      </w:r>
    </w:p>
    <w:p w14:paraId="609871F5">
      <w:pPr>
        <w:spacing w:line="720" w:lineRule="auto"/>
        <w:rPr>
          <w:rFonts w:hint="eastAsia" w:ascii="宋体" w:hAnsi="宋体" w:cs="宋体"/>
          <w:color w:val="auto"/>
          <w:highlight w:val="none"/>
        </w:rPr>
      </w:pPr>
      <w:r>
        <w:rPr>
          <w:rFonts w:hint="eastAsia" w:ascii="宋体" w:hAnsi="宋体" w:cs="宋体"/>
          <w:color w:val="auto"/>
          <w:sz w:val="24"/>
          <w:szCs w:val="32"/>
          <w:highlight w:val="none"/>
        </w:rPr>
        <w:fldChar w:fldCharType="end"/>
      </w:r>
    </w:p>
    <w:p w14:paraId="2A0DD87E">
      <w:pPr>
        <w:pStyle w:val="19"/>
        <w:rPr>
          <w:rFonts w:hint="eastAsia" w:ascii="宋体" w:hAnsi="宋体" w:eastAsia="宋体" w:cs="宋体"/>
          <w:color w:val="auto"/>
          <w:highlight w:val="none"/>
        </w:rPr>
      </w:pPr>
    </w:p>
    <w:p w14:paraId="55214969">
      <w:pPr>
        <w:spacing w:line="500" w:lineRule="exact"/>
        <w:rPr>
          <w:rFonts w:hint="eastAsia" w:ascii="宋体" w:hAnsi="宋体" w:cs="宋体"/>
          <w:b/>
          <w:color w:val="auto"/>
          <w:sz w:val="32"/>
          <w:szCs w:val="32"/>
          <w:highlight w:val="none"/>
        </w:rPr>
      </w:pPr>
    </w:p>
    <w:p w14:paraId="40B4F62F">
      <w:pPr>
        <w:tabs>
          <w:tab w:val="left" w:pos="7740"/>
        </w:tabs>
        <w:spacing w:line="500" w:lineRule="exact"/>
        <w:rPr>
          <w:rFonts w:hint="eastAsia" w:ascii="宋体" w:hAnsi="宋体" w:cs="宋体"/>
          <w:b/>
          <w:color w:val="auto"/>
          <w:spacing w:val="2"/>
          <w:sz w:val="32"/>
          <w:szCs w:val="32"/>
          <w:highlight w:val="none"/>
        </w:rPr>
      </w:pPr>
    </w:p>
    <w:p w14:paraId="18F4C87B">
      <w:pPr>
        <w:tabs>
          <w:tab w:val="left" w:pos="7740"/>
        </w:tabs>
        <w:spacing w:line="500" w:lineRule="exact"/>
        <w:rPr>
          <w:rFonts w:hint="eastAsia" w:ascii="宋体" w:hAnsi="宋体" w:cs="宋体"/>
          <w:b/>
          <w:color w:val="auto"/>
          <w:spacing w:val="2"/>
          <w:sz w:val="32"/>
          <w:szCs w:val="32"/>
          <w:highlight w:val="none"/>
        </w:rPr>
      </w:pPr>
    </w:p>
    <w:p w14:paraId="6BF0F9F8">
      <w:pPr>
        <w:tabs>
          <w:tab w:val="left" w:pos="7740"/>
        </w:tabs>
        <w:spacing w:line="500" w:lineRule="exact"/>
        <w:rPr>
          <w:rFonts w:hint="eastAsia" w:ascii="宋体" w:hAnsi="宋体" w:cs="宋体"/>
          <w:b/>
          <w:bCs/>
          <w:color w:val="auto"/>
          <w:sz w:val="32"/>
          <w:szCs w:val="32"/>
          <w:highlight w:val="none"/>
        </w:rPr>
      </w:pPr>
    </w:p>
    <w:p w14:paraId="323C349C">
      <w:pPr>
        <w:spacing w:line="500" w:lineRule="exact"/>
        <w:rPr>
          <w:rFonts w:hint="eastAsia" w:ascii="宋体" w:hAnsi="宋体" w:cs="宋体"/>
          <w:b/>
          <w:color w:val="auto"/>
          <w:sz w:val="44"/>
          <w:szCs w:val="44"/>
          <w:highlight w:val="none"/>
        </w:rPr>
      </w:pPr>
    </w:p>
    <w:p w14:paraId="16514AF1">
      <w:pPr>
        <w:spacing w:line="500" w:lineRule="exact"/>
        <w:jc w:val="center"/>
        <w:outlineLvl w:val="0"/>
        <w:rPr>
          <w:rFonts w:hint="eastAsia" w:ascii="宋体" w:hAnsi="宋体" w:cs="宋体"/>
          <w:bCs/>
          <w:color w:val="auto"/>
          <w:sz w:val="36"/>
          <w:szCs w:val="36"/>
          <w:highlight w:val="none"/>
        </w:rPr>
        <w:sectPr>
          <w:footerReference r:id="rId5" w:type="default"/>
          <w:pgSz w:w="11907" w:h="16839"/>
          <w:pgMar w:top="1440" w:right="1800" w:bottom="1440" w:left="1800" w:header="720" w:footer="720" w:gutter="0"/>
          <w:cols w:space="720" w:num="1"/>
          <w:docGrid w:linePitch="360" w:charSpace="0"/>
        </w:sectPr>
      </w:pPr>
      <w:bookmarkStart w:id="2" w:name="_Toc21799"/>
      <w:bookmarkStart w:id="3" w:name="_Toc29789"/>
    </w:p>
    <w:p w14:paraId="6047EE07">
      <w:pPr>
        <w:spacing w:line="500" w:lineRule="exact"/>
        <w:jc w:val="center"/>
        <w:outlineLvl w:val="0"/>
        <w:rPr>
          <w:rFonts w:hint="eastAsia" w:ascii="宋体" w:hAnsi="宋体" w:cs="宋体"/>
          <w:bCs/>
          <w:color w:val="auto"/>
          <w:sz w:val="36"/>
          <w:szCs w:val="36"/>
          <w:highlight w:val="none"/>
        </w:rPr>
      </w:pPr>
      <w:r>
        <w:rPr>
          <w:rFonts w:hint="eastAsia" w:ascii="宋体" w:hAnsi="宋体" w:cs="宋体"/>
          <w:bCs/>
          <w:color w:val="auto"/>
          <w:sz w:val="36"/>
          <w:szCs w:val="36"/>
          <w:highlight w:val="none"/>
        </w:rPr>
        <w:t xml:space="preserve">第一部分  </w:t>
      </w:r>
      <w:bookmarkStart w:id="4" w:name="OLE_LINK7"/>
      <w:bookmarkStart w:id="5" w:name="OLE_LINK5"/>
      <w:r>
        <w:rPr>
          <w:rFonts w:hint="eastAsia" w:ascii="宋体" w:hAnsi="宋体" w:cs="宋体"/>
          <w:bCs/>
          <w:color w:val="auto"/>
          <w:sz w:val="36"/>
          <w:szCs w:val="36"/>
          <w:highlight w:val="none"/>
        </w:rPr>
        <w:t>投标邀请</w:t>
      </w:r>
      <w:bookmarkEnd w:id="2"/>
      <w:bookmarkEnd w:id="3"/>
    </w:p>
    <w:p w14:paraId="193FE6A8">
      <w:pPr>
        <w:spacing w:line="440" w:lineRule="exact"/>
        <w:ind w:firstLine="560"/>
        <w:rPr>
          <w:rFonts w:hint="eastAsia" w:ascii="宋体" w:hAnsi="宋体" w:cs="宋体"/>
          <w:color w:val="auto"/>
          <w:sz w:val="28"/>
          <w:szCs w:val="28"/>
          <w:highlight w:val="none"/>
        </w:rPr>
      </w:pPr>
      <w:bookmarkStart w:id="6" w:name="OLE_LINK6"/>
      <w:r>
        <w:rPr>
          <w:rFonts w:hint="eastAsia" w:ascii="宋体" w:hAnsi="宋体" w:cs="宋体"/>
          <w:color w:val="auto"/>
          <w:sz w:val="28"/>
          <w:szCs w:val="28"/>
          <w:highlight w:val="none"/>
        </w:rPr>
        <w:t>受[</w:t>
      </w:r>
      <w:r>
        <w:rPr>
          <w:rFonts w:hint="eastAsia" w:ascii="宋体" w:hAnsi="宋体" w:cs="宋体"/>
          <w:color w:val="auto"/>
          <w:sz w:val="28"/>
          <w:szCs w:val="28"/>
          <w:highlight w:val="none"/>
          <w:lang w:eastAsia="zh-CN"/>
        </w:rPr>
        <w:t>南通职业大学</w:t>
      </w:r>
      <w:r>
        <w:rPr>
          <w:rFonts w:hint="eastAsia" w:ascii="宋体" w:hAnsi="宋体" w:cs="宋体"/>
          <w:color w:val="auto"/>
          <w:sz w:val="28"/>
          <w:szCs w:val="28"/>
          <w:highlight w:val="none"/>
        </w:rPr>
        <w:t>]的委托，江苏中润工程建设咨询有限公司就[</w:t>
      </w:r>
      <w:r>
        <w:rPr>
          <w:rFonts w:hint="eastAsia" w:ascii="宋体" w:hAnsi="宋体" w:cs="宋体"/>
          <w:color w:val="auto"/>
          <w:sz w:val="28"/>
          <w:szCs w:val="28"/>
          <w:highlight w:val="none"/>
          <w:lang w:eastAsia="zh-CN"/>
        </w:rPr>
        <w:t>南通职业大学2026钟秀校区常规智慧教室项目</w:t>
      </w:r>
      <w:r>
        <w:rPr>
          <w:rFonts w:hint="eastAsia" w:ascii="宋体" w:hAnsi="宋体" w:cs="宋体"/>
          <w:color w:val="auto"/>
          <w:sz w:val="28"/>
          <w:szCs w:val="28"/>
          <w:highlight w:val="none"/>
        </w:rPr>
        <w:t>](项目编号:</w:t>
      </w:r>
      <w:r>
        <w:rPr>
          <w:rFonts w:hint="eastAsia" w:ascii="宋体" w:hAnsi="宋体" w:cs="宋体"/>
          <w:color w:val="auto"/>
          <w:sz w:val="28"/>
          <w:szCs w:val="28"/>
          <w:highlight w:val="none"/>
          <w:lang w:eastAsia="zh-CN"/>
        </w:rPr>
        <w:t>JSZC-320600-ZRJS-G2026-0018</w:t>
      </w:r>
      <w:r>
        <w:rPr>
          <w:rFonts w:hint="eastAsia" w:ascii="宋体" w:hAnsi="宋体" w:cs="宋体"/>
          <w:color w:val="auto"/>
          <w:sz w:val="28"/>
          <w:szCs w:val="28"/>
          <w:highlight w:val="none"/>
        </w:rPr>
        <w:t xml:space="preserve"> )进行公开招标采购，欢迎符合条件的投标人投标。</w:t>
      </w:r>
    </w:p>
    <w:p w14:paraId="2532FB03">
      <w:pPr>
        <w:pBdr>
          <w:top w:val="single" w:color="auto" w:sz="4" w:space="1"/>
          <w:left w:val="single" w:color="auto" w:sz="4" w:space="4"/>
          <w:bottom w:val="single" w:color="auto" w:sz="4" w:space="1"/>
          <w:right w:val="single" w:color="auto" w:sz="4" w:space="4"/>
        </w:pBdr>
        <w:spacing w:line="44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项目概况</w:t>
      </w:r>
    </w:p>
    <w:p w14:paraId="0AF40FA4">
      <w:pPr>
        <w:pBdr>
          <w:top w:val="single" w:color="auto" w:sz="4" w:space="1"/>
          <w:left w:val="single" w:color="auto" w:sz="4" w:space="4"/>
          <w:bottom w:val="single" w:color="auto" w:sz="4" w:space="1"/>
          <w:right w:val="single" w:color="auto" w:sz="4" w:space="4"/>
        </w:pBdr>
        <w:spacing w:line="44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eastAsia="zh-CN"/>
        </w:rPr>
        <w:t>南通职业大学2026钟秀校区常规智慧教室项目</w:t>
      </w:r>
      <w:r>
        <w:rPr>
          <w:rFonts w:hint="eastAsia" w:ascii="宋体" w:hAnsi="宋体" w:cs="宋体"/>
          <w:color w:val="auto"/>
          <w:sz w:val="28"/>
          <w:szCs w:val="28"/>
          <w:highlight w:val="none"/>
        </w:rPr>
        <w:t>）招标项目的潜在投标人应在（苏采云系统内免费）获取招标文件，并于2026年</w:t>
      </w:r>
      <w:r>
        <w:rPr>
          <w:rFonts w:hint="eastAsia" w:ascii="宋体" w:hAnsi="宋体" w:cs="宋体"/>
          <w:color w:val="auto"/>
          <w:sz w:val="28"/>
          <w:szCs w:val="28"/>
          <w:highlight w:val="none"/>
          <w:lang w:val="en-US" w:eastAsia="zh-CN"/>
        </w:rPr>
        <w:t>8</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14</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9</w:t>
      </w:r>
      <w:r>
        <w:rPr>
          <w:rFonts w:hint="eastAsia" w:ascii="宋体" w:hAnsi="宋体" w:cs="宋体"/>
          <w:color w:val="auto"/>
          <w:sz w:val="28"/>
          <w:szCs w:val="28"/>
          <w:highlight w:val="none"/>
        </w:rPr>
        <w:t>点</w:t>
      </w:r>
      <w:r>
        <w:rPr>
          <w:rFonts w:hint="eastAsia" w:ascii="宋体" w:hAnsi="宋体" w:cs="宋体"/>
          <w:color w:val="auto"/>
          <w:sz w:val="28"/>
          <w:szCs w:val="28"/>
          <w:highlight w:val="none"/>
          <w:lang w:val="en-US" w:eastAsia="zh-CN"/>
        </w:rPr>
        <w:t>00</w:t>
      </w:r>
      <w:r>
        <w:rPr>
          <w:rFonts w:hint="eastAsia" w:ascii="宋体" w:hAnsi="宋体" w:cs="宋体"/>
          <w:color w:val="auto"/>
          <w:sz w:val="28"/>
          <w:szCs w:val="28"/>
          <w:highlight w:val="none"/>
        </w:rPr>
        <w:t>分（北京时间）前递交投标文件。</w:t>
      </w:r>
    </w:p>
    <w:p w14:paraId="423E8512">
      <w:pPr>
        <w:spacing w:line="440" w:lineRule="exact"/>
        <w:ind w:firstLine="562"/>
        <w:outlineLvl w:val="1"/>
        <w:rPr>
          <w:rFonts w:hint="eastAsia" w:ascii="宋体" w:hAnsi="宋体" w:cs="宋体"/>
          <w:b/>
          <w:color w:val="auto"/>
          <w:sz w:val="28"/>
          <w:szCs w:val="28"/>
          <w:highlight w:val="none"/>
        </w:rPr>
      </w:pPr>
      <w:bookmarkStart w:id="7" w:name="_Toc20404"/>
      <w:r>
        <w:rPr>
          <w:rFonts w:hint="eastAsia" w:ascii="宋体" w:hAnsi="宋体" w:cs="宋体"/>
          <w:b/>
          <w:color w:val="auto"/>
          <w:sz w:val="28"/>
          <w:szCs w:val="28"/>
          <w:highlight w:val="none"/>
        </w:rPr>
        <w:t>一、项目基本情况</w:t>
      </w:r>
      <w:bookmarkEnd w:id="7"/>
    </w:p>
    <w:p w14:paraId="6F53CD2A">
      <w:pPr>
        <w:spacing w:line="440" w:lineRule="exact"/>
        <w:ind w:firstLine="56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1.项目编号：</w:t>
      </w:r>
      <w:r>
        <w:rPr>
          <w:rFonts w:hint="eastAsia" w:ascii="宋体" w:hAnsi="宋体" w:cs="宋体"/>
          <w:color w:val="auto"/>
          <w:sz w:val="28"/>
          <w:szCs w:val="28"/>
          <w:highlight w:val="none"/>
          <w:lang w:eastAsia="zh-CN"/>
        </w:rPr>
        <w:t>JSZC-320600-ZRJS-G2026-0018</w:t>
      </w:r>
    </w:p>
    <w:p w14:paraId="5F0663AA">
      <w:pPr>
        <w:spacing w:line="440" w:lineRule="exact"/>
        <w:ind w:firstLine="56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2.项目名称：</w:t>
      </w:r>
      <w:r>
        <w:rPr>
          <w:rFonts w:hint="eastAsia" w:ascii="宋体" w:hAnsi="宋体" w:cs="宋体"/>
          <w:color w:val="auto"/>
          <w:sz w:val="28"/>
          <w:szCs w:val="28"/>
          <w:highlight w:val="none"/>
          <w:lang w:eastAsia="zh-CN"/>
        </w:rPr>
        <w:t>南通职业大学2026钟秀校区常规智慧教室项目</w:t>
      </w:r>
    </w:p>
    <w:p w14:paraId="46E275EC">
      <w:pPr>
        <w:spacing w:line="440" w:lineRule="exact"/>
        <w:ind w:firstLine="560"/>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lang w:val="en-US" w:eastAsia="zh-CN"/>
        </w:rPr>
        <w:t>3</w:t>
      </w:r>
      <w:r>
        <w:rPr>
          <w:rFonts w:hint="eastAsia" w:ascii="宋体" w:hAnsi="宋体" w:cs="宋体"/>
          <w:b w:val="0"/>
          <w:bCs w:val="0"/>
          <w:color w:val="auto"/>
          <w:sz w:val="28"/>
          <w:szCs w:val="28"/>
          <w:highlight w:val="none"/>
        </w:rPr>
        <w:t>.预算金额：</w:t>
      </w:r>
      <w:r>
        <w:rPr>
          <w:rFonts w:hint="eastAsia" w:ascii="宋体" w:hAnsi="宋体" w:cs="宋体"/>
          <w:b w:val="0"/>
          <w:bCs w:val="0"/>
          <w:color w:val="auto"/>
          <w:sz w:val="28"/>
          <w:szCs w:val="28"/>
          <w:highlight w:val="none"/>
          <w:lang w:val="en-US" w:eastAsia="zh-CN"/>
        </w:rPr>
        <w:t>135</w:t>
      </w:r>
      <w:r>
        <w:rPr>
          <w:rFonts w:hint="eastAsia" w:ascii="宋体" w:hAnsi="宋体" w:cs="宋体"/>
          <w:b w:val="0"/>
          <w:bCs w:val="0"/>
          <w:color w:val="auto"/>
          <w:sz w:val="28"/>
          <w:szCs w:val="28"/>
          <w:highlight w:val="none"/>
        </w:rPr>
        <w:t>万元</w:t>
      </w:r>
    </w:p>
    <w:p w14:paraId="16EEA167">
      <w:pPr>
        <w:spacing w:line="440" w:lineRule="exact"/>
        <w:ind w:firstLine="560"/>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lang w:val="en-US" w:eastAsia="zh-CN"/>
        </w:rPr>
        <w:t>4</w:t>
      </w:r>
      <w:r>
        <w:rPr>
          <w:rFonts w:hint="eastAsia" w:ascii="宋体" w:hAnsi="宋体" w:cs="宋体"/>
          <w:b w:val="0"/>
          <w:bCs w:val="0"/>
          <w:color w:val="auto"/>
          <w:sz w:val="28"/>
          <w:szCs w:val="28"/>
          <w:highlight w:val="none"/>
        </w:rPr>
        <w:t>.最高限价：</w:t>
      </w:r>
      <w:r>
        <w:rPr>
          <w:rFonts w:hint="eastAsia" w:ascii="宋体" w:hAnsi="宋体" w:cs="宋体"/>
          <w:b w:val="0"/>
          <w:bCs w:val="0"/>
          <w:color w:val="auto"/>
          <w:sz w:val="28"/>
          <w:szCs w:val="28"/>
          <w:highlight w:val="none"/>
          <w:lang w:val="en-US" w:eastAsia="zh-CN"/>
        </w:rPr>
        <w:t>135</w:t>
      </w:r>
      <w:r>
        <w:rPr>
          <w:rFonts w:hint="eastAsia" w:ascii="宋体" w:hAnsi="宋体" w:cs="宋体"/>
          <w:b w:val="0"/>
          <w:bCs w:val="0"/>
          <w:color w:val="auto"/>
          <w:sz w:val="28"/>
          <w:szCs w:val="28"/>
          <w:highlight w:val="none"/>
        </w:rPr>
        <w:t>万元，投标报价高于最高限价的作无效标处理。</w:t>
      </w:r>
    </w:p>
    <w:p w14:paraId="55909B22">
      <w:pPr>
        <w:spacing w:line="44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5</w:t>
      </w:r>
      <w:r>
        <w:rPr>
          <w:rFonts w:hint="eastAsia" w:ascii="宋体" w:hAnsi="宋体" w:cs="宋体"/>
          <w:color w:val="auto"/>
          <w:sz w:val="28"/>
          <w:szCs w:val="28"/>
          <w:highlight w:val="none"/>
        </w:rPr>
        <w:t>.采购需求：详见招标文件，请仔细研究。</w:t>
      </w:r>
    </w:p>
    <w:p w14:paraId="7F330AE5">
      <w:pPr>
        <w:widowControl/>
        <w:spacing w:line="44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.合同履行期限：自合同签订之日起30个日历日内完成设备的安装调试。</w:t>
      </w:r>
    </w:p>
    <w:p w14:paraId="0E03EAFB">
      <w:pPr>
        <w:spacing w:line="44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7</w:t>
      </w:r>
      <w:r>
        <w:rPr>
          <w:rFonts w:hint="eastAsia" w:ascii="宋体" w:hAnsi="宋体" w:cs="宋体"/>
          <w:color w:val="auto"/>
          <w:sz w:val="28"/>
          <w:szCs w:val="28"/>
          <w:highlight w:val="none"/>
        </w:rPr>
        <w:t>.本项目是否接受联合体投标：否。</w:t>
      </w:r>
    </w:p>
    <w:p w14:paraId="1A951665">
      <w:pPr>
        <w:spacing w:line="440" w:lineRule="exact"/>
        <w:ind w:firstLine="562"/>
        <w:outlineLvl w:val="1"/>
        <w:rPr>
          <w:rFonts w:hint="eastAsia" w:ascii="宋体" w:hAnsi="宋体" w:cs="宋体"/>
          <w:b/>
          <w:color w:val="auto"/>
          <w:sz w:val="28"/>
          <w:szCs w:val="28"/>
          <w:highlight w:val="none"/>
        </w:rPr>
      </w:pPr>
      <w:bookmarkStart w:id="8" w:name="_Toc7742"/>
      <w:r>
        <w:rPr>
          <w:rFonts w:hint="eastAsia" w:ascii="宋体" w:hAnsi="宋体" w:cs="宋体"/>
          <w:b/>
          <w:color w:val="auto"/>
          <w:sz w:val="28"/>
          <w:szCs w:val="28"/>
          <w:highlight w:val="none"/>
        </w:rPr>
        <w:t>二、申请人的资格要求：</w:t>
      </w:r>
      <w:bookmarkEnd w:id="8"/>
    </w:p>
    <w:p w14:paraId="3B520FD1">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1.满足《中华人民共和国政府采购法》第二十二条规定；</w:t>
      </w:r>
    </w:p>
    <w:p w14:paraId="6E4F0DCF">
      <w:pPr>
        <w:spacing w:line="44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.落实政府采购政策需满足的资格要求：</w:t>
      </w:r>
      <w:r>
        <w:rPr>
          <w:rFonts w:hint="eastAsia" w:ascii="宋体" w:hAnsi="宋体" w:cs="宋体"/>
          <w:color w:val="auto"/>
          <w:sz w:val="28"/>
          <w:szCs w:val="28"/>
          <w:highlight w:val="none"/>
          <w:u w:val="single"/>
        </w:rPr>
        <w:t xml:space="preserve">本项目专门面向中小微企业采购，适用《政府采购促进中小企业发展管理办法》（财库〔2020〕46 号），残疾人福利性单位、监狱和戒毒管理部门所属企业（简称监狱企业）视同小型、微型企业。（投标人按要求填写并提供《中小微企业声明函》或《残疾人福利性单位声明函》，或提供由省级以上监狱管理局、戒毒管理局(含新疆生产建设兵团)出具的属于监狱企业的证明文件，否则资格审查不通过）； </w:t>
      </w:r>
    </w:p>
    <w:p w14:paraId="69CAB2A3">
      <w:pPr>
        <w:spacing w:line="460" w:lineRule="exact"/>
        <w:ind w:firstLine="560"/>
        <w:rPr>
          <w:rFonts w:ascii="宋体" w:hAnsi="宋体" w:cs="宋体"/>
          <w:color w:val="auto"/>
          <w:sz w:val="28"/>
          <w:szCs w:val="28"/>
          <w:highlight w:val="none"/>
          <w:u w:val="single"/>
        </w:rPr>
      </w:pPr>
      <w:bookmarkStart w:id="9" w:name="_Toc13052"/>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本项目的特定资格要求：</w:t>
      </w:r>
      <w:r>
        <w:rPr>
          <w:rFonts w:hint="eastAsia" w:ascii="宋体" w:hAnsi="宋体" w:cs="宋体"/>
          <w:color w:val="auto"/>
          <w:sz w:val="28"/>
          <w:szCs w:val="28"/>
          <w:highlight w:val="none"/>
          <w:u w:val="single"/>
        </w:rPr>
        <w:t>无。</w:t>
      </w:r>
    </w:p>
    <w:p w14:paraId="61061691">
      <w:pPr>
        <w:spacing w:line="460" w:lineRule="exact"/>
        <w:ind w:firstLine="562"/>
        <w:outlineLvl w:val="1"/>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4.</w:t>
      </w:r>
      <w:r>
        <w:rPr>
          <w:rFonts w:hint="eastAsia" w:hAnsi="宋体" w:cs="宋体"/>
          <w:color w:val="auto"/>
          <w:spacing w:val="7"/>
          <w:sz w:val="28"/>
          <w:szCs w:val="28"/>
          <w:highlight w:val="none"/>
          <w:shd w:val="clear" w:color="auto" w:fill="FFFFFF"/>
        </w:rPr>
        <w:t>单位负责人为同一人或者存在直接控股、管理关系的不同供应商，不得参加同一合同项下的政府采购活动。</w:t>
      </w:r>
    </w:p>
    <w:p w14:paraId="5AF9A45A">
      <w:pPr>
        <w:spacing w:line="460" w:lineRule="exact"/>
        <w:ind w:firstLine="562"/>
        <w:outlineLvl w:val="1"/>
        <w:rPr>
          <w:rFonts w:ascii="宋体" w:hAnsi="宋体" w:cs="宋体"/>
          <w:b/>
          <w:color w:val="auto"/>
          <w:sz w:val="28"/>
          <w:szCs w:val="28"/>
          <w:highlight w:val="none"/>
        </w:rPr>
      </w:pPr>
      <w:r>
        <w:rPr>
          <w:rFonts w:hint="eastAsia" w:ascii="宋体" w:hAnsi="宋体" w:cs="宋体"/>
          <w:b/>
          <w:color w:val="auto"/>
          <w:sz w:val="28"/>
          <w:szCs w:val="28"/>
          <w:highlight w:val="none"/>
        </w:rPr>
        <w:t>注：在开标现场，将由</w:t>
      </w:r>
      <w:r>
        <w:rPr>
          <w:rFonts w:hint="eastAsia" w:ascii="宋体" w:hAnsi="宋体" w:cs="宋体"/>
          <w:b/>
          <w:color w:val="auto"/>
          <w:sz w:val="28"/>
          <w:szCs w:val="28"/>
          <w:highlight w:val="none"/>
          <w:lang w:eastAsia="zh-CN"/>
        </w:rPr>
        <w:t>采购人</w:t>
      </w:r>
      <w:r>
        <w:rPr>
          <w:rFonts w:hint="eastAsia" w:ascii="宋体" w:hAnsi="宋体" w:cs="宋体"/>
          <w:b/>
          <w:color w:val="auto"/>
          <w:sz w:val="28"/>
          <w:szCs w:val="28"/>
          <w:highlight w:val="none"/>
        </w:rPr>
        <w:t>或</w:t>
      </w:r>
      <w:r>
        <w:rPr>
          <w:rFonts w:hint="eastAsia" w:ascii="宋体" w:hAnsi="宋体" w:cs="宋体"/>
          <w:b/>
          <w:color w:val="auto"/>
          <w:sz w:val="28"/>
          <w:szCs w:val="28"/>
          <w:highlight w:val="none"/>
          <w:lang w:eastAsia="zh-CN"/>
        </w:rPr>
        <w:t>采购代理</w:t>
      </w:r>
      <w:r>
        <w:rPr>
          <w:rFonts w:hint="eastAsia" w:ascii="宋体" w:hAnsi="宋体" w:cs="宋体"/>
          <w:b/>
          <w:color w:val="auto"/>
          <w:sz w:val="28"/>
          <w:szCs w:val="28"/>
          <w:highlight w:val="none"/>
        </w:rPr>
        <w:t>通过“天眼查</w:t>
      </w:r>
      <w:r>
        <w:rPr>
          <w:rFonts w:hint="eastAsia" w:ascii="宋体" w:hAnsi="宋体" w:cs="宋体"/>
          <w:b/>
          <w:color w:val="auto"/>
          <w:sz w:val="28"/>
          <w:szCs w:val="28"/>
          <w:highlight w:val="none"/>
          <w:lang w:eastAsia="zh-CN"/>
        </w:rPr>
        <w:t>”或“企</w:t>
      </w:r>
      <w:r>
        <w:rPr>
          <w:rFonts w:hint="eastAsia" w:ascii="宋体" w:hAnsi="宋体" w:cs="宋体"/>
          <w:b/>
          <w:color w:val="auto"/>
          <w:sz w:val="28"/>
          <w:szCs w:val="28"/>
          <w:highlight w:val="none"/>
        </w:rPr>
        <w:t>查查”查询投标单位之间是否存在法定关联性关系。若存在法定关联性关系将按无效投标处理。查询结果留存归档。</w:t>
      </w:r>
    </w:p>
    <w:p w14:paraId="6737F2EC">
      <w:pPr>
        <w:spacing w:line="440" w:lineRule="exact"/>
        <w:ind w:firstLine="560"/>
        <w:outlineLvl w:val="1"/>
        <w:rPr>
          <w:rFonts w:hint="eastAsia" w:ascii="宋体" w:hAnsi="宋体" w:cs="宋体"/>
          <w:color w:val="auto"/>
          <w:sz w:val="28"/>
          <w:szCs w:val="28"/>
          <w:highlight w:val="none"/>
        </w:rPr>
      </w:pPr>
      <w:r>
        <w:rPr>
          <w:rFonts w:hint="eastAsia" w:ascii="宋体" w:hAnsi="宋体" w:cs="宋体"/>
          <w:color w:val="auto"/>
          <w:sz w:val="28"/>
          <w:szCs w:val="28"/>
          <w:highlight w:val="none"/>
        </w:rPr>
        <w:t>三、获取招标文件</w:t>
      </w:r>
      <w:bookmarkEnd w:id="9"/>
    </w:p>
    <w:p w14:paraId="1E240ECC">
      <w:pPr>
        <w:spacing w:line="44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1.时间：自招标文件公告发布之日起5个工作日。</w:t>
      </w:r>
    </w:p>
    <w:p w14:paraId="1E267BD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2.地点：网上注册登记成功后系统内免费下载。</w:t>
      </w:r>
    </w:p>
    <w:p w14:paraId="501C5692">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3.获取方式：本项目采用网上注册登记方式。</w:t>
      </w:r>
    </w:p>
    <w:p w14:paraId="41EC8DD6">
      <w:pPr>
        <w:spacing w:line="460" w:lineRule="exact"/>
        <w:ind w:firstLine="560"/>
        <w:outlineLvl w:val="2"/>
        <w:rPr>
          <w:rFonts w:hint="eastAsia" w:ascii="宋体" w:hAnsi="宋体" w:cs="宋体"/>
          <w:color w:val="auto"/>
          <w:sz w:val="28"/>
          <w:szCs w:val="28"/>
          <w:highlight w:val="none"/>
        </w:rPr>
      </w:pPr>
      <w:bookmarkStart w:id="10" w:name="_Toc740"/>
      <w:r>
        <w:rPr>
          <w:rFonts w:hint="eastAsia" w:ascii="宋体" w:hAnsi="宋体" w:cs="宋体"/>
          <w:color w:val="auto"/>
          <w:sz w:val="28"/>
          <w:szCs w:val="28"/>
          <w:highlight w:val="none"/>
        </w:rPr>
        <w:t>3.1潜在投标人访问电子招标响应交易平台的网络地址和方法：</w:t>
      </w:r>
      <w:bookmarkEnd w:id="10"/>
    </w:p>
    <w:p w14:paraId="107E097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苏采云”系统用户注册--获取“CA数字证书”--CA绑定与登录--网上报名--下载招标文件（后缀名为“.kedt”）--将后缀名为“.kedt”的招标文件导入政府采购客户端工具--制作响应文件--导出加密的响应文件（后缀名为zip）--通过“苏采云”系统上传响应文件。具体见《江苏省政府采购管理交易系统（苏采云）供应商操作手册》。</w:t>
      </w:r>
    </w:p>
    <w:p w14:paraId="4D3C827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3.2潜在投标人访问“苏采云”系统的网络地址和方法：“苏采云”系统的网址：http://jszfcg.jsczt.cn/。</w:t>
      </w:r>
    </w:p>
    <w:p w14:paraId="2366E8D8">
      <w:pPr>
        <w:spacing w:line="460" w:lineRule="exact"/>
        <w:ind w:firstLine="560"/>
        <w:outlineLvl w:val="2"/>
        <w:rPr>
          <w:rFonts w:hint="eastAsia" w:ascii="宋体" w:hAnsi="宋体" w:cs="宋体"/>
          <w:color w:val="auto"/>
          <w:sz w:val="28"/>
          <w:szCs w:val="28"/>
          <w:highlight w:val="none"/>
        </w:rPr>
      </w:pPr>
      <w:bookmarkStart w:id="11" w:name="_Toc31543"/>
      <w:r>
        <w:rPr>
          <w:rFonts w:hint="eastAsia" w:ascii="宋体" w:hAnsi="宋体" w:cs="宋体"/>
          <w:color w:val="auto"/>
          <w:sz w:val="28"/>
          <w:szCs w:val="28"/>
          <w:highlight w:val="none"/>
        </w:rPr>
        <w:t>3.3“CA数字证书”的获取：</w:t>
      </w:r>
      <w:bookmarkEnd w:id="11"/>
    </w:p>
    <w:p w14:paraId="3A80904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响应投标人需办理“CA 数字证书”，CA办理指南及“苏采云”操作手册可至江苏省政府采购网―办事指南-资料下载中心下载。</w:t>
      </w:r>
    </w:p>
    <w:p w14:paraId="3B6AE87C">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通过苏采云系统首页（http://jszfcg.jsczt.cn/）的“苏采云控件驱动下载”，选择“政务CA、方正签章控件驱动安装包及安装说明”下载安装，具体安装方法详见下载文件内的《安装说明》。</w:t>
      </w:r>
    </w:p>
    <w:p w14:paraId="45A1083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3.4招标文件（后缀名为“.kedt”）、供应商操作手册及政府采购客户端工具可通过“苏采云”系统--已报名项目--报名详情页面内相应链接进行下载。</w:t>
      </w:r>
    </w:p>
    <w:p w14:paraId="04402EB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3.5</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或采购代理机构将数据电文形式的招标文件加载至“苏采云”系统，供潜在投标人下载或者查阅。</w:t>
      </w:r>
    </w:p>
    <w:p w14:paraId="273C4B9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3.6请潜在投标人提前安装相应的控件（详见《江苏省政府采购管理交易系统（苏采云）供应商操作手册》）并使用谷歌浏览器登录“苏采云”系统参与不见面开评标。</w:t>
      </w:r>
    </w:p>
    <w:p w14:paraId="2F19858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3.7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p>
    <w:p w14:paraId="28544E5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注：如潜在投标人未按上述要求操作，将自行承担所产生的风险。</w:t>
      </w:r>
    </w:p>
    <w:p w14:paraId="738673CA">
      <w:pPr>
        <w:spacing w:line="440" w:lineRule="exact"/>
        <w:ind w:firstLine="562"/>
        <w:outlineLvl w:val="1"/>
        <w:rPr>
          <w:rFonts w:hint="eastAsia" w:ascii="宋体" w:hAnsi="宋体" w:cs="宋体"/>
          <w:b/>
          <w:color w:val="auto"/>
          <w:sz w:val="28"/>
          <w:szCs w:val="28"/>
          <w:highlight w:val="none"/>
        </w:rPr>
      </w:pPr>
      <w:bookmarkStart w:id="12" w:name="_Toc25294"/>
      <w:r>
        <w:rPr>
          <w:rFonts w:hint="eastAsia" w:ascii="宋体" w:hAnsi="宋体" w:cs="宋体"/>
          <w:b/>
          <w:color w:val="auto"/>
          <w:sz w:val="28"/>
          <w:szCs w:val="28"/>
          <w:highlight w:val="none"/>
        </w:rPr>
        <w:t>四、提交投标文件截止时间、开标时间和地点</w:t>
      </w:r>
      <w:bookmarkEnd w:id="12"/>
    </w:p>
    <w:p w14:paraId="0278766E">
      <w:pPr>
        <w:spacing w:line="460" w:lineRule="exact"/>
        <w:ind w:firstLine="420"/>
        <w:rPr>
          <w:rStyle w:val="297"/>
          <w:rFonts w:hint="eastAsia" w:ascii="宋体" w:hAnsi="宋体" w:cs="宋体"/>
          <w:color w:val="auto"/>
          <w:sz w:val="28"/>
          <w:szCs w:val="28"/>
          <w:highlight w:val="none"/>
        </w:rPr>
      </w:pPr>
      <w:r>
        <w:rPr>
          <w:rStyle w:val="297"/>
          <w:rFonts w:hint="eastAsia" w:ascii="宋体" w:hAnsi="宋体" w:cs="宋体"/>
          <w:color w:val="auto"/>
          <w:sz w:val="28"/>
          <w:szCs w:val="28"/>
          <w:highlight w:val="none"/>
        </w:rPr>
        <w:t>1.投标文件接收截止及开标时间：</w:t>
      </w:r>
      <w:r>
        <w:rPr>
          <w:rStyle w:val="297"/>
          <w:rFonts w:hint="eastAsia" w:ascii="宋体" w:hAnsi="宋体" w:cs="宋体"/>
          <w:b/>
          <w:bCs/>
          <w:color w:val="auto"/>
          <w:sz w:val="28"/>
          <w:szCs w:val="28"/>
          <w:highlight w:val="none"/>
        </w:rPr>
        <w:t>2026年</w:t>
      </w:r>
      <w:r>
        <w:rPr>
          <w:rStyle w:val="297"/>
          <w:rFonts w:hint="eastAsia" w:ascii="宋体" w:hAnsi="宋体" w:cs="宋体"/>
          <w:b/>
          <w:bCs/>
          <w:color w:val="auto"/>
          <w:sz w:val="28"/>
          <w:szCs w:val="28"/>
          <w:highlight w:val="none"/>
          <w:lang w:val="en-US" w:eastAsia="zh-CN"/>
        </w:rPr>
        <w:t>8</w:t>
      </w:r>
      <w:r>
        <w:rPr>
          <w:rStyle w:val="297"/>
          <w:rFonts w:hint="eastAsia" w:ascii="宋体" w:hAnsi="宋体" w:cs="宋体"/>
          <w:b/>
          <w:bCs/>
          <w:color w:val="auto"/>
          <w:sz w:val="28"/>
          <w:szCs w:val="28"/>
          <w:highlight w:val="none"/>
        </w:rPr>
        <w:t>月</w:t>
      </w:r>
      <w:r>
        <w:rPr>
          <w:rStyle w:val="297"/>
          <w:rFonts w:hint="eastAsia" w:ascii="宋体" w:hAnsi="宋体" w:cs="宋体"/>
          <w:b/>
          <w:bCs/>
          <w:color w:val="auto"/>
          <w:sz w:val="28"/>
          <w:szCs w:val="28"/>
          <w:highlight w:val="none"/>
          <w:lang w:val="en-US" w:eastAsia="zh-CN"/>
        </w:rPr>
        <w:t>14</w:t>
      </w:r>
      <w:r>
        <w:rPr>
          <w:rStyle w:val="297"/>
          <w:rFonts w:hint="eastAsia" w:ascii="宋体" w:hAnsi="宋体" w:cs="宋体"/>
          <w:b/>
          <w:bCs/>
          <w:color w:val="auto"/>
          <w:sz w:val="28"/>
          <w:szCs w:val="28"/>
          <w:highlight w:val="none"/>
        </w:rPr>
        <w:t>日</w:t>
      </w:r>
      <w:r>
        <w:rPr>
          <w:rStyle w:val="297"/>
          <w:rFonts w:hint="eastAsia" w:ascii="宋体" w:hAnsi="宋体" w:cs="宋体"/>
          <w:b/>
          <w:bCs/>
          <w:color w:val="auto"/>
          <w:sz w:val="28"/>
          <w:szCs w:val="28"/>
          <w:highlight w:val="none"/>
          <w:lang w:val="en-US" w:eastAsia="zh-CN"/>
        </w:rPr>
        <w:t>9</w:t>
      </w:r>
      <w:r>
        <w:rPr>
          <w:rStyle w:val="297"/>
          <w:rFonts w:hint="eastAsia" w:ascii="宋体" w:hAnsi="宋体" w:cs="宋体"/>
          <w:b/>
          <w:bCs/>
          <w:color w:val="auto"/>
          <w:sz w:val="28"/>
          <w:szCs w:val="28"/>
          <w:highlight w:val="none"/>
        </w:rPr>
        <w:t>点</w:t>
      </w:r>
      <w:r>
        <w:rPr>
          <w:rStyle w:val="297"/>
          <w:rFonts w:hint="eastAsia" w:ascii="宋体" w:hAnsi="宋体" w:cs="宋体"/>
          <w:b/>
          <w:bCs/>
          <w:color w:val="auto"/>
          <w:sz w:val="28"/>
          <w:szCs w:val="28"/>
          <w:highlight w:val="none"/>
          <w:lang w:val="en-US" w:eastAsia="zh-CN"/>
        </w:rPr>
        <w:t>0</w:t>
      </w:r>
      <w:r>
        <w:rPr>
          <w:rStyle w:val="297"/>
          <w:rFonts w:hint="eastAsia" w:ascii="宋体" w:hAnsi="宋体" w:cs="宋体"/>
          <w:b/>
          <w:bCs/>
          <w:color w:val="auto"/>
          <w:sz w:val="28"/>
          <w:szCs w:val="28"/>
          <w:highlight w:val="none"/>
        </w:rPr>
        <w:t>0分（北京时间）</w:t>
      </w:r>
      <w:r>
        <w:rPr>
          <w:rStyle w:val="297"/>
          <w:rFonts w:hint="eastAsia" w:ascii="宋体" w:hAnsi="宋体" w:cs="宋体"/>
          <w:color w:val="auto"/>
          <w:sz w:val="28"/>
          <w:szCs w:val="28"/>
          <w:highlight w:val="none"/>
        </w:rPr>
        <w:t>，逾时“苏采云”系统将拒绝接受上传投标文件电子文档。</w:t>
      </w:r>
    </w:p>
    <w:p w14:paraId="6ED9E0AB">
      <w:pPr>
        <w:spacing w:line="460" w:lineRule="exact"/>
        <w:ind w:firstLine="420"/>
        <w:outlineLvl w:val="2"/>
        <w:rPr>
          <w:rStyle w:val="297"/>
          <w:rFonts w:hint="eastAsia" w:ascii="宋体" w:hAnsi="宋体" w:cs="宋体"/>
          <w:color w:val="auto"/>
          <w:sz w:val="28"/>
          <w:szCs w:val="28"/>
          <w:highlight w:val="none"/>
          <w:lang w:eastAsia="en-US"/>
        </w:rPr>
      </w:pPr>
      <w:bookmarkStart w:id="13" w:name="_Toc24646"/>
      <w:r>
        <w:rPr>
          <w:rStyle w:val="297"/>
          <w:rFonts w:hint="eastAsia" w:ascii="宋体" w:hAnsi="宋体" w:cs="宋体"/>
          <w:color w:val="auto"/>
          <w:sz w:val="28"/>
          <w:szCs w:val="28"/>
          <w:highlight w:val="none"/>
          <w:lang w:eastAsia="en-US"/>
        </w:rPr>
        <w:t>2.地点：“苏采云”系统（网址：http://jszfcg.jsczt.cn/）</w:t>
      </w:r>
      <w:bookmarkEnd w:id="13"/>
      <w:r>
        <w:rPr>
          <w:rStyle w:val="297"/>
          <w:rFonts w:hint="eastAsia" w:ascii="宋体" w:hAnsi="宋体" w:cs="宋体"/>
          <w:color w:val="auto"/>
          <w:sz w:val="28"/>
          <w:szCs w:val="28"/>
          <w:highlight w:val="none"/>
        </w:rPr>
        <w:t>。</w:t>
      </w:r>
    </w:p>
    <w:p w14:paraId="0A7AC00E">
      <w:pPr>
        <w:spacing w:line="460" w:lineRule="exact"/>
        <w:ind w:firstLine="420"/>
        <w:rPr>
          <w:rStyle w:val="297"/>
          <w:rFonts w:hint="eastAsia" w:ascii="宋体" w:hAnsi="宋体" w:cs="宋体"/>
          <w:color w:val="auto"/>
          <w:sz w:val="28"/>
          <w:szCs w:val="28"/>
          <w:highlight w:val="none"/>
          <w:u w:val="single"/>
        </w:rPr>
      </w:pPr>
      <w:r>
        <w:rPr>
          <w:rStyle w:val="297"/>
          <w:rFonts w:hint="eastAsia" w:ascii="宋体" w:hAnsi="宋体" w:cs="宋体"/>
          <w:color w:val="auto"/>
          <w:sz w:val="28"/>
          <w:szCs w:val="28"/>
          <w:highlight w:val="none"/>
        </w:rPr>
        <w:t>3.投标文件的解密：开标当天各投标人及时登录不见面</w:t>
      </w:r>
      <w:bookmarkStart w:id="185" w:name="_GoBack"/>
      <w:bookmarkEnd w:id="185"/>
      <w:r>
        <w:rPr>
          <w:rStyle w:val="297"/>
          <w:rFonts w:hint="eastAsia" w:ascii="宋体" w:hAnsi="宋体" w:cs="宋体"/>
          <w:color w:val="auto"/>
          <w:sz w:val="28"/>
          <w:szCs w:val="28"/>
          <w:highlight w:val="none"/>
        </w:rPr>
        <w:t>开标大厅，投标文件接收截止时间后，</w:t>
      </w:r>
      <w:r>
        <w:rPr>
          <w:rStyle w:val="297"/>
          <w:rFonts w:hint="eastAsia" w:ascii="宋体" w:hAnsi="宋体" w:cs="宋体"/>
          <w:color w:val="auto"/>
          <w:sz w:val="28"/>
          <w:szCs w:val="28"/>
          <w:highlight w:val="none"/>
          <w:lang w:eastAsia="zh-CN"/>
        </w:rPr>
        <w:t>采购人</w:t>
      </w:r>
      <w:r>
        <w:rPr>
          <w:rStyle w:val="297"/>
          <w:rFonts w:hint="eastAsia" w:ascii="宋体" w:hAnsi="宋体" w:cs="宋体"/>
          <w:color w:val="auto"/>
          <w:sz w:val="28"/>
          <w:szCs w:val="28"/>
          <w:highlight w:val="none"/>
        </w:rPr>
        <w:t>将在系统内公布投标人名单，然后通过开标会议区发出投标文件解密的指令，投标人在开标室按规定时间自行实施远程解密，</w:t>
      </w:r>
      <w:r>
        <w:rPr>
          <w:rStyle w:val="297"/>
          <w:rFonts w:hint="eastAsia" w:ascii="宋体" w:hAnsi="宋体" w:cs="宋体"/>
          <w:b/>
          <w:bCs/>
          <w:color w:val="auto"/>
          <w:sz w:val="28"/>
          <w:szCs w:val="28"/>
          <w:highlight w:val="none"/>
        </w:rPr>
        <w:t>投标人解密限定在开标后30分钟之内完成</w:t>
      </w:r>
      <w:r>
        <w:rPr>
          <w:rStyle w:val="297"/>
          <w:rFonts w:hint="eastAsia" w:ascii="宋体" w:hAnsi="宋体" w:cs="宋体"/>
          <w:color w:val="auto"/>
          <w:sz w:val="28"/>
          <w:szCs w:val="28"/>
          <w:highlight w:val="none"/>
        </w:rPr>
        <w:t>。</w:t>
      </w:r>
      <w:r>
        <w:rPr>
          <w:rStyle w:val="297"/>
          <w:rFonts w:hint="eastAsia" w:ascii="宋体" w:hAnsi="宋体" w:cs="宋体"/>
          <w:color w:val="auto"/>
          <w:sz w:val="28"/>
          <w:szCs w:val="28"/>
          <w:highlight w:val="none"/>
          <w:u w:val="single"/>
        </w:rPr>
        <w:t>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w:t>
      </w:r>
      <w:r>
        <w:rPr>
          <w:rStyle w:val="297"/>
          <w:rFonts w:hint="eastAsia" w:ascii="宋体" w:hAnsi="宋体" w:cs="宋体"/>
          <w:color w:val="auto"/>
          <w:sz w:val="28"/>
          <w:szCs w:val="28"/>
          <w:highlight w:val="none"/>
          <w:u w:val="single"/>
          <w:lang w:eastAsia="zh-CN"/>
        </w:rPr>
        <w:t>采购人</w:t>
      </w:r>
      <w:r>
        <w:rPr>
          <w:rStyle w:val="297"/>
          <w:rFonts w:hint="eastAsia" w:ascii="宋体" w:hAnsi="宋体" w:cs="宋体"/>
          <w:color w:val="auto"/>
          <w:sz w:val="28"/>
          <w:szCs w:val="28"/>
          <w:highlight w:val="none"/>
          <w:u w:val="single"/>
        </w:rPr>
        <w:t>（或</w:t>
      </w:r>
      <w:r>
        <w:rPr>
          <w:rStyle w:val="297"/>
          <w:rFonts w:hint="eastAsia" w:ascii="宋体" w:hAnsi="宋体" w:cs="宋体"/>
          <w:color w:val="auto"/>
          <w:sz w:val="28"/>
          <w:szCs w:val="28"/>
          <w:highlight w:val="none"/>
          <w:u w:val="single"/>
          <w:lang w:eastAsia="zh-CN"/>
        </w:rPr>
        <w:t>采购代理</w:t>
      </w:r>
      <w:r>
        <w:rPr>
          <w:rStyle w:val="297"/>
          <w:rFonts w:hint="eastAsia" w:ascii="宋体" w:hAnsi="宋体" w:cs="宋体"/>
          <w:color w:val="auto"/>
          <w:sz w:val="28"/>
          <w:szCs w:val="28"/>
          <w:highlight w:val="none"/>
          <w:u w:val="single"/>
        </w:rPr>
        <w:t>机构）原因或网上招投标平台发生故障，导致无法按时完成投标文件解密或开、评标工作无法进行的，可根据实际情况相应延迟解密时间或调整开、评标时间。</w:t>
      </w:r>
    </w:p>
    <w:p w14:paraId="37D5C780">
      <w:pPr>
        <w:spacing w:line="440" w:lineRule="exact"/>
        <w:ind w:firstLine="562"/>
        <w:outlineLvl w:val="1"/>
        <w:rPr>
          <w:rFonts w:hint="eastAsia" w:ascii="宋体" w:hAnsi="宋体" w:cs="宋体"/>
          <w:b/>
          <w:color w:val="auto"/>
          <w:sz w:val="28"/>
          <w:szCs w:val="28"/>
          <w:highlight w:val="none"/>
        </w:rPr>
      </w:pPr>
      <w:bookmarkStart w:id="14" w:name="_Toc6486"/>
      <w:r>
        <w:rPr>
          <w:rFonts w:hint="eastAsia" w:ascii="宋体" w:hAnsi="宋体" w:cs="宋体"/>
          <w:b/>
          <w:color w:val="auto"/>
          <w:sz w:val="28"/>
          <w:szCs w:val="28"/>
          <w:highlight w:val="none"/>
        </w:rPr>
        <w:t>五、公告期限</w:t>
      </w:r>
      <w:bookmarkEnd w:id="14"/>
    </w:p>
    <w:p w14:paraId="6CB928BD">
      <w:pPr>
        <w:spacing w:line="44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自本公告发布之日起5个工作日。</w:t>
      </w:r>
    </w:p>
    <w:p w14:paraId="3D0E85C4">
      <w:pPr>
        <w:spacing w:line="440" w:lineRule="exact"/>
        <w:ind w:firstLine="562"/>
        <w:outlineLvl w:val="1"/>
        <w:rPr>
          <w:rFonts w:hint="eastAsia" w:ascii="宋体" w:hAnsi="宋体" w:cs="宋体"/>
          <w:b/>
          <w:color w:val="auto"/>
          <w:sz w:val="28"/>
          <w:szCs w:val="28"/>
          <w:highlight w:val="none"/>
        </w:rPr>
      </w:pPr>
      <w:bookmarkStart w:id="15" w:name="_Toc12080"/>
      <w:r>
        <w:rPr>
          <w:rFonts w:hint="eastAsia" w:ascii="宋体" w:hAnsi="宋体" w:cs="宋体"/>
          <w:b/>
          <w:color w:val="auto"/>
          <w:sz w:val="28"/>
          <w:szCs w:val="28"/>
          <w:highlight w:val="none"/>
        </w:rPr>
        <w:t>六、其他补充事宜</w:t>
      </w:r>
      <w:bookmarkEnd w:id="15"/>
    </w:p>
    <w:p w14:paraId="1FC97BD7">
      <w:pPr>
        <w:spacing w:line="460" w:lineRule="exact"/>
        <w:ind w:firstLine="567"/>
        <w:outlineLvl w:val="2"/>
        <w:rPr>
          <w:rFonts w:hint="eastAsia" w:ascii="宋体" w:hAnsi="宋体" w:cs="宋体"/>
          <w:color w:val="auto"/>
          <w:sz w:val="28"/>
          <w:szCs w:val="28"/>
          <w:highlight w:val="none"/>
        </w:rPr>
      </w:pPr>
      <w:bookmarkStart w:id="16" w:name="_Toc27181"/>
      <w:r>
        <w:rPr>
          <w:rFonts w:hint="eastAsia" w:ascii="宋体" w:hAnsi="宋体" w:cs="宋体"/>
          <w:color w:val="auto"/>
          <w:sz w:val="28"/>
          <w:szCs w:val="28"/>
          <w:highlight w:val="none"/>
        </w:rPr>
        <w:t>1.投标保证金：免收</w:t>
      </w:r>
      <w:bookmarkEnd w:id="16"/>
      <w:r>
        <w:rPr>
          <w:rStyle w:val="297"/>
          <w:rFonts w:hint="eastAsia" w:ascii="宋体" w:hAnsi="宋体" w:cs="宋体"/>
          <w:color w:val="auto"/>
          <w:sz w:val="28"/>
          <w:szCs w:val="28"/>
          <w:highlight w:val="none"/>
        </w:rPr>
        <w:t>。</w:t>
      </w:r>
    </w:p>
    <w:p w14:paraId="448D1B17">
      <w:pPr>
        <w:spacing w:line="460" w:lineRule="exact"/>
        <w:ind w:firstLine="567"/>
        <w:rPr>
          <w:rFonts w:hint="eastAsia" w:ascii="宋体" w:hAnsi="宋体" w:cs="宋体"/>
          <w:color w:val="auto"/>
          <w:sz w:val="28"/>
          <w:szCs w:val="28"/>
          <w:highlight w:val="none"/>
        </w:rPr>
      </w:pPr>
      <w:r>
        <w:rPr>
          <w:rFonts w:hint="eastAsia" w:ascii="宋体" w:hAnsi="宋体" w:cs="宋体"/>
          <w:color w:val="auto"/>
          <w:sz w:val="28"/>
          <w:szCs w:val="28"/>
          <w:highlight w:val="none"/>
        </w:rPr>
        <w:t>2.项目开标活动模式：不见面远程开标模式，投标人在各自地点通过不见面交易系统参加开标会。</w:t>
      </w:r>
    </w:p>
    <w:p w14:paraId="6CF50D5D">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3.项目</w:t>
      </w:r>
      <w:r>
        <w:rPr>
          <w:rFonts w:hint="eastAsia" w:ascii="宋体" w:hAnsi="宋体" w:cs="宋体"/>
          <w:color w:val="auto"/>
          <w:sz w:val="28"/>
          <w:szCs w:val="28"/>
          <w:highlight w:val="none"/>
          <w:lang w:val="en-US" w:eastAsia="zh-CN"/>
        </w:rPr>
        <w:t>演示</w:t>
      </w:r>
      <w:r>
        <w:rPr>
          <w:rFonts w:hint="eastAsia" w:ascii="宋体" w:hAnsi="宋体" w:cs="宋体"/>
          <w:color w:val="auto"/>
          <w:sz w:val="28"/>
          <w:szCs w:val="28"/>
          <w:highlight w:val="none"/>
        </w:rPr>
        <w:t>：</w:t>
      </w:r>
      <w:r>
        <w:rPr>
          <w:rFonts w:hint="eastAsia" w:ascii="宋体" w:hAnsi="宋体" w:cs="宋体"/>
          <w:b/>
          <w:bCs/>
          <w:color w:val="auto"/>
          <w:sz w:val="28"/>
          <w:szCs w:val="28"/>
          <w:highlight w:val="none"/>
        </w:rPr>
        <w:t>投标人根据商务技术分评审要求提供演示，制作成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w:t>
      </w:r>
      <w:r>
        <w:rPr>
          <w:rFonts w:hint="eastAsia" w:ascii="宋体" w:hAnsi="宋体" w:cs="宋体"/>
          <w:b/>
          <w:bCs/>
          <w:color w:val="auto"/>
          <w:sz w:val="28"/>
          <w:szCs w:val="28"/>
          <w:highlight w:val="none"/>
          <w:lang w:val="en-US" w:eastAsia="zh-CN"/>
        </w:rPr>
        <w:t>5</w:t>
      </w:r>
      <w:r>
        <w:rPr>
          <w:rFonts w:hint="eastAsia" w:ascii="宋体" w:hAnsi="宋体" w:cs="宋体"/>
          <w:b/>
          <w:bCs/>
          <w:color w:val="auto"/>
          <w:sz w:val="28"/>
          <w:szCs w:val="28"/>
          <w:highlight w:val="none"/>
        </w:rPr>
        <w:t>分钟。</w:t>
      </w:r>
    </w:p>
    <w:p w14:paraId="4CB78655">
      <w:pPr>
        <w:spacing w:line="460" w:lineRule="exact"/>
        <w:ind w:firstLine="567"/>
        <w:rPr>
          <w:rFonts w:hint="eastAsia" w:ascii="宋体" w:hAnsi="宋体" w:cs="宋体"/>
          <w:color w:val="auto"/>
          <w:sz w:val="28"/>
          <w:szCs w:val="28"/>
          <w:highlight w:val="none"/>
        </w:rPr>
      </w:pPr>
      <w:r>
        <w:rPr>
          <w:rFonts w:hint="eastAsia" w:ascii="宋体" w:hAnsi="宋体" w:cs="宋体"/>
          <w:color w:val="auto"/>
          <w:sz w:val="28"/>
          <w:szCs w:val="28"/>
          <w:highlight w:val="none"/>
        </w:rPr>
        <w:t>4.对招标方式、招标文件中项目需求、投标人资格条件、评标方法和评标标准、资格审查结果等应当由</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答复的质疑，请向</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提出，由</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负责答复。投标人对其他事项的质疑，请向代理机构提出，由</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或代理机构负责答复。</w:t>
      </w:r>
    </w:p>
    <w:p w14:paraId="123AF19B">
      <w:pPr>
        <w:spacing w:line="44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投标人应依照规定提交各类声明函、承诺函，不再同时提供原件备查或提供有关部门出具的相关证明文件。但中标人应做好提交声明函、承诺函、认证、业绩等相应原件的核查准备；核查后发现虚假或违背承诺的，依照相关法律法规规定处理。</w:t>
      </w:r>
    </w:p>
    <w:p w14:paraId="75584424">
      <w:pPr>
        <w:spacing w:line="440" w:lineRule="exact"/>
        <w:ind w:firstLine="562"/>
        <w:outlineLvl w:val="1"/>
        <w:rPr>
          <w:rFonts w:hint="eastAsia" w:ascii="宋体" w:hAnsi="宋体" w:cs="宋体"/>
          <w:b/>
          <w:color w:val="auto"/>
          <w:sz w:val="28"/>
          <w:szCs w:val="28"/>
          <w:highlight w:val="none"/>
        </w:rPr>
      </w:pPr>
      <w:bookmarkStart w:id="17" w:name="_Toc17541"/>
      <w:r>
        <w:rPr>
          <w:rFonts w:hint="eastAsia" w:ascii="宋体" w:hAnsi="宋体" w:cs="宋体"/>
          <w:b/>
          <w:color w:val="auto"/>
          <w:sz w:val="28"/>
          <w:szCs w:val="28"/>
          <w:highlight w:val="none"/>
        </w:rPr>
        <w:t>七、对本次招标提出询问，请按以下方式联系</w:t>
      </w:r>
      <w:bookmarkEnd w:id="17"/>
    </w:p>
    <w:p w14:paraId="2DF1AF09">
      <w:pPr>
        <w:spacing w:line="440" w:lineRule="exact"/>
        <w:ind w:firstLine="560"/>
        <w:rPr>
          <w:rFonts w:hint="eastAsia" w:ascii="宋体" w:hAnsi="宋体" w:cs="宋体"/>
          <w:color w:val="auto"/>
          <w:sz w:val="28"/>
          <w:szCs w:val="28"/>
          <w:highlight w:val="none"/>
        </w:rPr>
      </w:pPr>
      <w:bookmarkStart w:id="18" w:name="_Toc20676"/>
      <w:r>
        <w:rPr>
          <w:rFonts w:hint="eastAsia" w:ascii="宋体" w:hAnsi="宋体" w:cs="宋体"/>
          <w:color w:val="auto"/>
          <w:sz w:val="28"/>
          <w:szCs w:val="28"/>
          <w:highlight w:val="none"/>
        </w:rPr>
        <w:t>1.</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信息</w:t>
      </w:r>
      <w:bookmarkEnd w:id="18"/>
    </w:p>
    <w:p w14:paraId="015AD877">
      <w:pPr>
        <w:spacing w:line="440" w:lineRule="exact"/>
        <w:ind w:firstLine="560"/>
        <w:rPr>
          <w:rFonts w:hint="eastAsia" w:ascii="宋体" w:hAnsi="宋体" w:cs="宋体"/>
          <w:color w:val="auto"/>
          <w:sz w:val="28"/>
          <w:szCs w:val="28"/>
          <w:highlight w:val="none"/>
        </w:rPr>
      </w:pPr>
      <w:bookmarkStart w:id="19" w:name="_Toc28359020"/>
      <w:bookmarkStart w:id="20" w:name="_Toc35393807"/>
      <w:bookmarkStart w:id="21" w:name="_Toc35393638"/>
      <w:bookmarkStart w:id="22" w:name="_Toc28359097"/>
      <w:r>
        <w:rPr>
          <w:rFonts w:hint="eastAsia" w:ascii="宋体" w:hAnsi="宋体" w:cs="宋体"/>
          <w:color w:val="auto"/>
          <w:sz w:val="28"/>
          <w:szCs w:val="28"/>
          <w:highlight w:val="none"/>
        </w:rPr>
        <w:t>名称：</w:t>
      </w:r>
      <w:r>
        <w:rPr>
          <w:rFonts w:hint="eastAsia" w:ascii="宋体" w:hAnsi="宋体" w:cs="宋体"/>
          <w:color w:val="auto"/>
          <w:sz w:val="28"/>
          <w:szCs w:val="28"/>
          <w:highlight w:val="none"/>
          <w:lang w:eastAsia="zh-CN"/>
        </w:rPr>
        <w:t>南通职业大学</w:t>
      </w:r>
      <w:r>
        <w:rPr>
          <w:rFonts w:hint="eastAsia" w:ascii="宋体" w:hAnsi="宋体" w:cs="宋体"/>
          <w:color w:val="auto"/>
          <w:sz w:val="28"/>
          <w:szCs w:val="28"/>
          <w:highlight w:val="none"/>
        </w:rPr>
        <w:t>　　　　　　　　　　　　</w:t>
      </w:r>
      <w:bookmarkEnd w:id="19"/>
      <w:bookmarkEnd w:id="20"/>
      <w:bookmarkEnd w:id="21"/>
      <w:bookmarkEnd w:id="22"/>
    </w:p>
    <w:p w14:paraId="6A15DD85">
      <w:pPr>
        <w:spacing w:line="44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地址：江苏省南通市青年中路89号   </w:t>
      </w:r>
    </w:p>
    <w:p w14:paraId="14957E36">
      <w:pPr>
        <w:spacing w:line="44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联系人：秦老师  </w:t>
      </w:r>
    </w:p>
    <w:p w14:paraId="5F3AC39B">
      <w:pPr>
        <w:spacing w:line="440" w:lineRule="exact"/>
        <w:ind w:firstLine="560"/>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联系方式：13646289011</w:t>
      </w:r>
    </w:p>
    <w:p w14:paraId="088EE3F1">
      <w:pPr>
        <w:spacing w:line="44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2.代理机构信息</w:t>
      </w:r>
    </w:p>
    <w:p w14:paraId="36D871DD">
      <w:pPr>
        <w:widowControl/>
        <w:shd w:val="clear" w:color="auto" w:fill="FFFFFF"/>
        <w:spacing w:line="52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名称：江苏中润工程建设咨询有限公司</w:t>
      </w:r>
    </w:p>
    <w:p w14:paraId="12F2D76D">
      <w:pPr>
        <w:widowControl/>
        <w:shd w:val="clear" w:color="auto" w:fill="FFFFFF"/>
        <w:spacing w:line="52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地址：南通市崇川路58号南通产业技术研究院9号楼1004室</w:t>
      </w:r>
    </w:p>
    <w:p w14:paraId="4E280773">
      <w:pPr>
        <w:shd w:val="clear" w:color="auto" w:fill="FFFFFF"/>
        <w:spacing w:line="460" w:lineRule="exact"/>
        <w:ind w:firstLine="560"/>
        <w:rPr>
          <w:rFonts w:hint="eastAsia" w:ascii="宋体" w:hAnsi="宋体" w:cs="宋体"/>
          <w:color w:val="auto"/>
          <w:spacing w:val="7"/>
          <w:sz w:val="28"/>
          <w:szCs w:val="28"/>
          <w:highlight w:val="none"/>
        </w:rPr>
      </w:pPr>
      <w:r>
        <w:rPr>
          <w:rFonts w:hint="eastAsia" w:ascii="宋体" w:hAnsi="宋体" w:cs="宋体"/>
          <w:color w:val="auto"/>
          <w:sz w:val="28"/>
          <w:szCs w:val="28"/>
          <w:highlight w:val="none"/>
        </w:rPr>
        <w:t>项目负责人：肖俊菁 0513-55887688  18106299008</w:t>
      </w:r>
    </w:p>
    <w:p w14:paraId="197C32F4">
      <w:pPr>
        <w:spacing w:line="440" w:lineRule="exact"/>
        <w:ind w:firstLine="560"/>
        <w:rPr>
          <w:rFonts w:hint="eastAsia" w:ascii="宋体" w:hAnsi="宋体" w:cs="宋体"/>
          <w:color w:val="auto"/>
          <w:sz w:val="28"/>
          <w:szCs w:val="28"/>
          <w:highlight w:val="none"/>
        </w:rPr>
      </w:pPr>
    </w:p>
    <w:p w14:paraId="64E67E42">
      <w:pPr>
        <w:spacing w:line="44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附件:</w:t>
      </w:r>
    </w:p>
    <w:p w14:paraId="0D258C96">
      <w:pPr>
        <w:spacing w:line="44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1.公开招标文件</w:t>
      </w:r>
    </w:p>
    <w:p w14:paraId="3D5A1419">
      <w:pPr>
        <w:spacing w:line="44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信用承诺书</w:t>
      </w:r>
    </w:p>
    <w:p w14:paraId="6D1C9359">
      <w:pPr>
        <w:spacing w:line="44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3.公平竞争审查二维码</w:t>
      </w:r>
    </w:p>
    <w:p w14:paraId="71382D1C">
      <w:pPr>
        <w:ind w:firstLine="720"/>
        <w:jc w:val="center"/>
        <w:rPr>
          <w:rFonts w:hint="eastAsia" w:ascii="宋体" w:hAnsi="宋体" w:cs="宋体"/>
          <w:bCs/>
          <w:color w:val="auto"/>
          <w:sz w:val="36"/>
          <w:szCs w:val="36"/>
          <w:highlight w:val="none"/>
        </w:rPr>
      </w:pPr>
    </w:p>
    <w:p w14:paraId="7F4600EF">
      <w:pPr>
        <w:jc w:val="center"/>
        <w:outlineLvl w:val="0"/>
        <w:rPr>
          <w:rFonts w:hint="eastAsia" w:ascii="宋体" w:hAnsi="宋体" w:cs="宋体"/>
          <w:bCs/>
          <w:color w:val="auto"/>
          <w:sz w:val="36"/>
          <w:szCs w:val="36"/>
          <w:highlight w:val="none"/>
        </w:rPr>
      </w:pPr>
      <w:r>
        <w:rPr>
          <w:rFonts w:hint="eastAsia" w:ascii="宋体" w:hAnsi="宋体" w:cs="宋体"/>
          <w:bCs/>
          <w:color w:val="auto"/>
          <w:sz w:val="36"/>
          <w:szCs w:val="36"/>
          <w:highlight w:val="none"/>
        </w:rPr>
        <w:br w:type="page" w:clear="all"/>
      </w:r>
      <w:bookmarkStart w:id="23" w:name="_Toc12269"/>
      <w:bookmarkStart w:id="24" w:name="_Toc28364"/>
      <w:r>
        <w:rPr>
          <w:rFonts w:hint="eastAsia" w:ascii="宋体" w:hAnsi="宋体" w:cs="宋体"/>
          <w:bCs/>
          <w:color w:val="auto"/>
          <w:sz w:val="36"/>
          <w:szCs w:val="36"/>
          <w:highlight w:val="none"/>
        </w:rPr>
        <w:t>第二部分  投标须知</w:t>
      </w:r>
      <w:bookmarkEnd w:id="23"/>
      <w:bookmarkEnd w:id="24"/>
    </w:p>
    <w:p w14:paraId="1AA4A6DC">
      <w:pPr>
        <w:pStyle w:val="3"/>
        <w:spacing w:before="0" w:after="0" w:line="460" w:lineRule="exact"/>
        <w:ind w:firstLine="562"/>
        <w:rPr>
          <w:rFonts w:hint="eastAsia" w:ascii="宋体" w:hAnsi="宋体" w:eastAsia="宋体" w:cs="宋体"/>
          <w:color w:val="auto"/>
          <w:sz w:val="28"/>
          <w:szCs w:val="28"/>
          <w:highlight w:val="none"/>
        </w:rPr>
      </w:pPr>
      <w:bookmarkStart w:id="25" w:name="_Toc16938519"/>
      <w:bookmarkStart w:id="26" w:name="_Toc120614214"/>
      <w:bookmarkStart w:id="27" w:name="_Toc20823275"/>
      <w:bookmarkStart w:id="28" w:name="_Toc2896"/>
      <w:bookmarkStart w:id="29" w:name="_Toc513029203"/>
      <w:r>
        <w:rPr>
          <w:rFonts w:hint="eastAsia" w:ascii="宋体" w:hAnsi="宋体" w:eastAsia="宋体" w:cs="宋体"/>
          <w:color w:val="auto"/>
          <w:sz w:val="28"/>
          <w:szCs w:val="28"/>
          <w:highlight w:val="none"/>
        </w:rPr>
        <w:t>一、总则</w:t>
      </w:r>
      <w:bookmarkEnd w:id="25"/>
      <w:bookmarkEnd w:id="26"/>
      <w:bookmarkEnd w:id="27"/>
      <w:bookmarkEnd w:id="28"/>
      <w:bookmarkEnd w:id="29"/>
    </w:p>
    <w:p w14:paraId="1A18B9C2">
      <w:pPr>
        <w:spacing w:line="460" w:lineRule="exact"/>
        <w:ind w:firstLine="560"/>
        <w:outlineLvl w:val="2"/>
        <w:rPr>
          <w:rFonts w:hint="eastAsia" w:ascii="宋体" w:hAnsi="宋体" w:cs="宋体"/>
          <w:b/>
          <w:bCs/>
          <w:color w:val="auto"/>
          <w:sz w:val="28"/>
          <w:szCs w:val="28"/>
          <w:highlight w:val="none"/>
        </w:rPr>
      </w:pPr>
      <w:bookmarkStart w:id="30" w:name="_Hlt16619475"/>
      <w:bookmarkEnd w:id="30"/>
      <w:bookmarkStart w:id="31" w:name="_Toc458694821"/>
      <w:bookmarkStart w:id="32" w:name="_Toc513029204"/>
      <w:bookmarkStart w:id="33" w:name="_Toc20823276"/>
      <w:bookmarkStart w:id="34" w:name="_Toc2940"/>
      <w:bookmarkStart w:id="35" w:name="_Toc16938520"/>
      <w:r>
        <w:rPr>
          <w:rFonts w:hint="eastAsia" w:ascii="宋体" w:hAnsi="宋体" w:cs="宋体"/>
          <w:color w:val="auto"/>
          <w:sz w:val="28"/>
          <w:szCs w:val="28"/>
          <w:highlight w:val="none"/>
        </w:rPr>
        <w:t>1</w:t>
      </w:r>
      <w:bookmarkEnd w:id="31"/>
      <w:r>
        <w:rPr>
          <w:rFonts w:hint="eastAsia" w:ascii="宋体" w:hAnsi="宋体" w:cs="宋体"/>
          <w:color w:val="auto"/>
          <w:sz w:val="28"/>
          <w:szCs w:val="28"/>
          <w:highlight w:val="none"/>
        </w:rPr>
        <w:t>.招标方式</w:t>
      </w:r>
      <w:bookmarkEnd w:id="32"/>
      <w:bookmarkEnd w:id="33"/>
      <w:bookmarkEnd w:id="34"/>
      <w:bookmarkEnd w:id="35"/>
    </w:p>
    <w:p w14:paraId="6A22CC1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1.1本次招标采取公开招标方式，本招标文件仅适用于招标公告中所述项目。</w:t>
      </w:r>
    </w:p>
    <w:p w14:paraId="28CCB0B5">
      <w:pPr>
        <w:spacing w:line="460" w:lineRule="exact"/>
        <w:ind w:firstLine="560"/>
        <w:outlineLvl w:val="2"/>
        <w:rPr>
          <w:rFonts w:hint="eastAsia" w:ascii="宋体" w:hAnsi="宋体" w:cs="宋体"/>
          <w:b/>
          <w:bCs/>
          <w:color w:val="auto"/>
          <w:sz w:val="28"/>
          <w:szCs w:val="28"/>
          <w:highlight w:val="none"/>
        </w:rPr>
      </w:pPr>
      <w:bookmarkStart w:id="36" w:name="_Toc32621"/>
      <w:bookmarkStart w:id="37" w:name="_Toc20823277"/>
      <w:bookmarkStart w:id="38" w:name="_Toc16938521"/>
      <w:bookmarkStart w:id="39" w:name="_Toc513029205"/>
      <w:r>
        <w:rPr>
          <w:rFonts w:hint="eastAsia" w:ascii="宋体" w:hAnsi="宋体" w:cs="宋体"/>
          <w:color w:val="auto"/>
          <w:sz w:val="28"/>
          <w:szCs w:val="28"/>
          <w:highlight w:val="none"/>
        </w:rPr>
        <w:t>2.合格的投标人</w:t>
      </w:r>
      <w:bookmarkEnd w:id="36"/>
      <w:bookmarkEnd w:id="37"/>
      <w:bookmarkEnd w:id="38"/>
      <w:bookmarkEnd w:id="39"/>
    </w:p>
    <w:p w14:paraId="6683419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2.1满足招标公告中投标人的资格要求的规定。</w:t>
      </w:r>
    </w:p>
    <w:p w14:paraId="49622FF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2.2 满足本文件实质性条款的规定。</w:t>
      </w:r>
    </w:p>
    <w:p w14:paraId="5608AC96">
      <w:pPr>
        <w:spacing w:line="460" w:lineRule="exact"/>
        <w:ind w:firstLine="560"/>
        <w:outlineLvl w:val="2"/>
        <w:rPr>
          <w:rFonts w:hint="eastAsia" w:ascii="宋体" w:hAnsi="宋体" w:cs="宋体"/>
          <w:b/>
          <w:bCs/>
          <w:color w:val="auto"/>
          <w:sz w:val="28"/>
          <w:szCs w:val="28"/>
          <w:highlight w:val="none"/>
        </w:rPr>
      </w:pPr>
      <w:bookmarkStart w:id="40" w:name="_Toc16938522"/>
      <w:bookmarkStart w:id="41" w:name="_Toc1005"/>
      <w:bookmarkStart w:id="42" w:name="_Toc513029206"/>
      <w:bookmarkStart w:id="43" w:name="_Toc20823278"/>
      <w:r>
        <w:rPr>
          <w:rFonts w:hint="eastAsia" w:ascii="宋体" w:hAnsi="宋体" w:cs="宋体"/>
          <w:color w:val="auto"/>
          <w:sz w:val="28"/>
          <w:szCs w:val="28"/>
          <w:highlight w:val="none"/>
        </w:rPr>
        <w:t>3.适用法律</w:t>
      </w:r>
      <w:bookmarkEnd w:id="40"/>
      <w:bookmarkEnd w:id="41"/>
      <w:bookmarkEnd w:id="42"/>
      <w:bookmarkEnd w:id="43"/>
    </w:p>
    <w:p w14:paraId="2EDDB56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3.1本次招标及由此产生的合同受中华人民共和国有关的法律法规制约和保护。</w:t>
      </w:r>
    </w:p>
    <w:p w14:paraId="6035D29E">
      <w:pPr>
        <w:spacing w:line="460" w:lineRule="exact"/>
        <w:ind w:firstLine="560"/>
        <w:outlineLvl w:val="2"/>
        <w:rPr>
          <w:rFonts w:hint="eastAsia" w:ascii="宋体" w:hAnsi="宋体" w:cs="宋体"/>
          <w:b/>
          <w:bCs/>
          <w:color w:val="auto"/>
          <w:sz w:val="28"/>
          <w:szCs w:val="28"/>
          <w:highlight w:val="none"/>
        </w:rPr>
      </w:pPr>
      <w:bookmarkStart w:id="44" w:name="_Toc462564067"/>
      <w:bookmarkStart w:id="45" w:name="_Toc20823279"/>
      <w:bookmarkStart w:id="46" w:name="_Toc16938523"/>
      <w:bookmarkStart w:id="47" w:name="_Toc513029207"/>
      <w:bookmarkStart w:id="48" w:name="_Toc23647"/>
      <w:r>
        <w:rPr>
          <w:rFonts w:hint="eastAsia" w:ascii="宋体" w:hAnsi="宋体" w:cs="宋体"/>
          <w:color w:val="auto"/>
          <w:sz w:val="28"/>
          <w:szCs w:val="28"/>
          <w:highlight w:val="none"/>
        </w:rPr>
        <w:t>4.投标费用</w:t>
      </w:r>
      <w:bookmarkEnd w:id="44"/>
      <w:bookmarkEnd w:id="45"/>
      <w:bookmarkEnd w:id="46"/>
      <w:bookmarkEnd w:id="47"/>
      <w:bookmarkEnd w:id="48"/>
    </w:p>
    <w:p w14:paraId="3D261BE8">
      <w:pPr>
        <w:spacing w:line="460" w:lineRule="exact"/>
        <w:ind w:firstLine="560"/>
        <w:rPr>
          <w:rFonts w:hint="eastAsia" w:ascii="宋体" w:hAnsi="宋体" w:cs="宋体"/>
          <w:color w:val="auto"/>
          <w:sz w:val="28"/>
          <w:szCs w:val="28"/>
          <w:highlight w:val="none"/>
        </w:rPr>
      </w:pPr>
      <w:r>
        <w:rPr>
          <w:rFonts w:hint="eastAsia" w:ascii="宋体" w:hAnsi="宋体" w:cs="宋体"/>
          <w:bCs/>
          <w:color w:val="auto"/>
          <w:sz w:val="28"/>
          <w:szCs w:val="28"/>
          <w:highlight w:val="none"/>
        </w:rPr>
        <w:t>4.1</w:t>
      </w:r>
      <w:r>
        <w:rPr>
          <w:rFonts w:hint="eastAsia" w:ascii="宋体" w:hAnsi="宋体" w:cs="宋体"/>
          <w:color w:val="auto"/>
          <w:sz w:val="28"/>
          <w:szCs w:val="28"/>
          <w:highlight w:val="none"/>
        </w:rPr>
        <w:t>投标人应自行承担所有与参加投标有关的费用，无论投标过程中的做法和结果如何，江苏中润工程建设咨询有限公司（以下简称</w:t>
      </w:r>
      <w:r>
        <w:rPr>
          <w:rFonts w:hint="eastAsia" w:ascii="宋体" w:hAnsi="宋体" w:cs="宋体"/>
          <w:color w:val="auto"/>
          <w:sz w:val="28"/>
          <w:szCs w:val="28"/>
          <w:highlight w:val="none"/>
          <w:lang w:eastAsia="zh-CN"/>
        </w:rPr>
        <w:t>采购代理</w:t>
      </w:r>
      <w:r>
        <w:rPr>
          <w:rFonts w:hint="eastAsia" w:ascii="宋体" w:hAnsi="宋体" w:cs="宋体"/>
          <w:color w:val="auto"/>
          <w:sz w:val="28"/>
          <w:szCs w:val="28"/>
          <w:highlight w:val="none"/>
        </w:rPr>
        <w:t>机构）在任何情况下均无义务和责任承担这些费用。</w:t>
      </w:r>
    </w:p>
    <w:p w14:paraId="6031255C">
      <w:pPr>
        <w:spacing w:line="52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4.2依据苏财规〔2026〕1号《关于进一步规范政府采购活动相关费用管理的通知》第一项第（三）款规定，本项目采购代理服务费按以下要求执行：</w:t>
      </w:r>
    </w:p>
    <w:p w14:paraId="52E4EE7D">
      <w:pPr>
        <w:spacing w:line="460" w:lineRule="exact"/>
        <w:ind w:firstLine="560"/>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①收费依据：本项目招标代理费收取标准</w:t>
      </w:r>
      <w:r>
        <w:rPr>
          <w:rFonts w:hint="eastAsia" w:ascii="宋体" w:hAnsi="宋体" w:cs="宋体"/>
          <w:color w:val="auto"/>
          <w:sz w:val="28"/>
          <w:szCs w:val="28"/>
          <w:highlight w:val="none"/>
          <w:lang w:val="en-US" w:eastAsia="zh-CN"/>
        </w:rPr>
        <w:t>见下表：</w:t>
      </w:r>
    </w:p>
    <w:tbl>
      <w:tblPr>
        <w:tblStyle w:val="49"/>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497"/>
      </w:tblGrid>
      <w:tr w14:paraId="33935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noWrap w:val="0"/>
            <w:vAlign w:val="center"/>
          </w:tcPr>
          <w:p w14:paraId="01E1B131">
            <w:pPr>
              <w:widowControl/>
              <w:jc w:val="center"/>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中标</w:t>
            </w:r>
            <w:r>
              <w:rPr>
                <w:rFonts w:hint="eastAsia" w:ascii="宋体" w:hAnsi="宋体" w:eastAsia="宋体" w:cs="宋体"/>
                <w:color w:val="auto"/>
                <w:sz w:val="28"/>
                <w:szCs w:val="28"/>
                <w:highlight w:val="none"/>
              </w:rPr>
              <w:t>金额</w:t>
            </w:r>
          </w:p>
        </w:tc>
        <w:tc>
          <w:tcPr>
            <w:tcW w:w="4497" w:type="dxa"/>
            <w:noWrap w:val="0"/>
            <w:vAlign w:val="center"/>
          </w:tcPr>
          <w:p w14:paraId="1F7541B9">
            <w:pPr>
              <w:widowControl/>
              <w:jc w:val="center"/>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采购</w:t>
            </w:r>
            <w:r>
              <w:rPr>
                <w:rFonts w:hint="eastAsia" w:ascii="宋体" w:hAnsi="宋体" w:eastAsia="宋体" w:cs="宋体"/>
                <w:color w:val="auto"/>
                <w:sz w:val="28"/>
                <w:szCs w:val="28"/>
                <w:highlight w:val="none"/>
              </w:rPr>
              <w:t>代理收费费率</w:t>
            </w:r>
          </w:p>
        </w:tc>
      </w:tr>
      <w:tr w14:paraId="51AB1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11AD7CA0">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20万元（不含）以下</w:t>
            </w:r>
          </w:p>
        </w:tc>
        <w:tc>
          <w:tcPr>
            <w:tcW w:w="4497" w:type="dxa"/>
            <w:noWrap w:val="0"/>
            <w:vAlign w:val="center"/>
          </w:tcPr>
          <w:p w14:paraId="02D5CC62">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固定3000元</w:t>
            </w:r>
          </w:p>
        </w:tc>
      </w:tr>
      <w:tr w14:paraId="79B05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noWrap w:val="0"/>
            <w:vAlign w:val="center"/>
          </w:tcPr>
          <w:p w14:paraId="38EBDB4E">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20万元（含）-50万元（含）</w:t>
            </w:r>
          </w:p>
        </w:tc>
        <w:tc>
          <w:tcPr>
            <w:tcW w:w="4497" w:type="dxa"/>
            <w:noWrap w:val="0"/>
            <w:vAlign w:val="center"/>
          </w:tcPr>
          <w:p w14:paraId="62CC051C">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0.8%</w:t>
            </w:r>
          </w:p>
        </w:tc>
      </w:tr>
      <w:tr w14:paraId="60338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noWrap w:val="0"/>
            <w:vAlign w:val="center"/>
          </w:tcPr>
          <w:p w14:paraId="76CD81B8">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50万元（不含）-400万元（含）</w:t>
            </w:r>
          </w:p>
        </w:tc>
        <w:tc>
          <w:tcPr>
            <w:tcW w:w="4497" w:type="dxa"/>
            <w:noWrap w:val="0"/>
            <w:vAlign w:val="center"/>
          </w:tcPr>
          <w:p w14:paraId="68248520">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0.75%</w:t>
            </w:r>
          </w:p>
        </w:tc>
      </w:tr>
      <w:tr w14:paraId="68DA3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8736" w:type="dxa"/>
            <w:gridSpan w:val="2"/>
            <w:noWrap w:val="0"/>
            <w:vAlign w:val="center"/>
          </w:tcPr>
          <w:p w14:paraId="7DE1FE88">
            <w:pPr>
              <w:widowControl/>
              <w:jc w:val="center"/>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采购</w:t>
            </w:r>
            <w:r>
              <w:rPr>
                <w:rFonts w:hint="eastAsia" w:ascii="宋体" w:hAnsi="宋体" w:eastAsia="宋体" w:cs="宋体"/>
                <w:color w:val="auto"/>
                <w:sz w:val="28"/>
                <w:szCs w:val="28"/>
                <w:highlight w:val="none"/>
              </w:rPr>
              <w:t>代理费最低保底收费3000元，超过15000元按15000元计收</w:t>
            </w:r>
          </w:p>
        </w:tc>
      </w:tr>
    </w:tbl>
    <w:p w14:paraId="0470B2CA">
      <w:pPr>
        <w:spacing w:line="52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②支付主体：本项目采购代理服务费由中标人承担，投标人投标报价已综合包含该费用，报价中不单列此项费用；</w:t>
      </w:r>
    </w:p>
    <w:p w14:paraId="59105A5A">
      <w:pPr>
        <w:spacing w:line="52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③合规要求：采购人已按苏财规〔2026〕1 号文要求，在招标文件中明示代理服务费收取原因、方式、标准及依据，中标人应按约定及时支付代理服务费，不因费用承担问题影响合同签订与履约；</w:t>
      </w:r>
    </w:p>
    <w:p w14:paraId="204948A3">
      <w:pPr>
        <w:spacing w:line="52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④其他约定：因中标人原因导致中标结果变更、取消中标资格等情形的，已收取的代理服务费不予退还。</w:t>
      </w:r>
    </w:p>
    <w:p w14:paraId="452E21E1">
      <w:pPr>
        <w:spacing w:line="460" w:lineRule="exact"/>
        <w:ind w:firstLine="560"/>
        <w:outlineLvl w:val="2"/>
        <w:rPr>
          <w:rFonts w:hint="eastAsia" w:ascii="宋体" w:hAnsi="宋体" w:cs="宋体"/>
          <w:b/>
          <w:bCs/>
          <w:color w:val="auto"/>
          <w:sz w:val="28"/>
          <w:szCs w:val="28"/>
          <w:highlight w:val="none"/>
        </w:rPr>
      </w:pPr>
      <w:bookmarkStart w:id="49" w:name="_Toc19559"/>
      <w:r>
        <w:rPr>
          <w:rFonts w:hint="eastAsia" w:ascii="宋体" w:hAnsi="宋体" w:cs="宋体"/>
          <w:color w:val="auto"/>
          <w:sz w:val="28"/>
          <w:szCs w:val="28"/>
          <w:highlight w:val="none"/>
        </w:rPr>
        <w:t>5.招标文件的约束力</w:t>
      </w:r>
      <w:bookmarkEnd w:id="49"/>
    </w:p>
    <w:p w14:paraId="72BB96B2">
      <w:pPr>
        <w:spacing w:line="460" w:lineRule="exact"/>
        <w:ind w:firstLine="560"/>
        <w:rPr>
          <w:rFonts w:hint="eastAsia" w:ascii="宋体" w:hAnsi="宋体" w:cs="宋体"/>
          <w:color w:val="auto"/>
          <w:sz w:val="28"/>
          <w:szCs w:val="28"/>
          <w:highlight w:val="none"/>
        </w:rPr>
      </w:pPr>
      <w:r>
        <w:rPr>
          <w:rFonts w:hint="eastAsia" w:ascii="宋体" w:hAnsi="宋体" w:cs="宋体"/>
          <w:bCs/>
          <w:color w:val="auto"/>
          <w:sz w:val="28"/>
          <w:szCs w:val="28"/>
          <w:highlight w:val="none"/>
        </w:rPr>
        <w:t>5.1</w:t>
      </w:r>
      <w:r>
        <w:rPr>
          <w:rFonts w:hint="eastAsia" w:ascii="宋体" w:hAnsi="宋体" w:cs="宋体"/>
          <w:color w:val="auto"/>
          <w:sz w:val="28"/>
          <w:szCs w:val="28"/>
          <w:highlight w:val="none"/>
        </w:rPr>
        <w:t xml:space="preserve"> 投标人一旦参加本项目采购活动，即被认为接受了本招标文件的规定和约束。</w:t>
      </w:r>
    </w:p>
    <w:p w14:paraId="61C1934F">
      <w:pPr>
        <w:spacing w:line="460" w:lineRule="exact"/>
        <w:ind w:firstLine="560"/>
        <w:outlineLvl w:val="2"/>
        <w:rPr>
          <w:rFonts w:hint="eastAsia" w:ascii="宋体" w:hAnsi="宋体" w:cs="宋体"/>
          <w:color w:val="auto"/>
          <w:sz w:val="28"/>
          <w:szCs w:val="28"/>
          <w:highlight w:val="none"/>
        </w:rPr>
      </w:pPr>
      <w:bookmarkStart w:id="50" w:name="_Toc20136"/>
      <w:r>
        <w:rPr>
          <w:rFonts w:hint="eastAsia" w:ascii="宋体" w:hAnsi="宋体" w:cs="宋体"/>
          <w:color w:val="auto"/>
          <w:sz w:val="28"/>
          <w:szCs w:val="28"/>
          <w:highlight w:val="none"/>
        </w:rPr>
        <w:t>6.招标文件的解释</w:t>
      </w:r>
      <w:bookmarkEnd w:id="50"/>
    </w:p>
    <w:p w14:paraId="19DF35D1">
      <w:pPr>
        <w:spacing w:line="460" w:lineRule="exact"/>
        <w:ind w:firstLine="560"/>
        <w:rPr>
          <w:rFonts w:hint="eastAsia" w:ascii="宋体" w:hAnsi="宋体" w:cs="宋体"/>
          <w:color w:val="auto"/>
          <w:sz w:val="28"/>
          <w:szCs w:val="28"/>
          <w:highlight w:val="none"/>
        </w:rPr>
      </w:pPr>
      <w:r>
        <w:rPr>
          <w:rFonts w:hint="eastAsia" w:ascii="宋体" w:hAnsi="宋体" w:cs="宋体"/>
          <w:bCs/>
          <w:color w:val="auto"/>
          <w:sz w:val="28"/>
          <w:szCs w:val="28"/>
          <w:highlight w:val="none"/>
        </w:rPr>
        <w:t>6.1</w:t>
      </w:r>
      <w:r>
        <w:rPr>
          <w:rFonts w:hint="eastAsia" w:ascii="宋体" w:hAnsi="宋体" w:cs="宋体"/>
          <w:color w:val="auto"/>
          <w:sz w:val="28"/>
          <w:szCs w:val="28"/>
          <w:highlight w:val="none"/>
        </w:rPr>
        <w:t>招标文件需求部分（投标人资格要求、项目需求、商务技术评分标准）由</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解释，其他部分由代理机构解释。</w:t>
      </w:r>
    </w:p>
    <w:p w14:paraId="2C16AC2D">
      <w:pPr>
        <w:pStyle w:val="3"/>
        <w:spacing w:before="0" w:after="0" w:line="460" w:lineRule="exact"/>
        <w:ind w:firstLine="562"/>
        <w:rPr>
          <w:rFonts w:hint="eastAsia" w:ascii="宋体" w:hAnsi="宋体" w:eastAsia="宋体" w:cs="宋体"/>
          <w:color w:val="auto"/>
          <w:sz w:val="28"/>
          <w:szCs w:val="28"/>
          <w:highlight w:val="none"/>
        </w:rPr>
      </w:pPr>
      <w:bookmarkStart w:id="51" w:name="_Toc16938525"/>
      <w:bookmarkStart w:id="52" w:name="_Toc513029209"/>
      <w:bookmarkStart w:id="53" w:name="_Toc120614215"/>
      <w:bookmarkStart w:id="54" w:name="_Toc20823281"/>
      <w:bookmarkStart w:id="55" w:name="_Toc21896"/>
      <w:r>
        <w:rPr>
          <w:rFonts w:hint="eastAsia" w:ascii="宋体" w:hAnsi="宋体" w:eastAsia="宋体" w:cs="宋体"/>
          <w:color w:val="auto"/>
          <w:sz w:val="28"/>
          <w:szCs w:val="28"/>
          <w:highlight w:val="none"/>
        </w:rPr>
        <w:t>二、招标文件</w:t>
      </w:r>
      <w:bookmarkEnd w:id="51"/>
      <w:bookmarkEnd w:id="52"/>
      <w:bookmarkEnd w:id="53"/>
      <w:bookmarkEnd w:id="54"/>
      <w:bookmarkEnd w:id="55"/>
    </w:p>
    <w:p w14:paraId="1D1D7848">
      <w:pPr>
        <w:spacing w:line="460" w:lineRule="exact"/>
        <w:ind w:firstLine="560"/>
        <w:outlineLvl w:val="2"/>
        <w:rPr>
          <w:rFonts w:hint="eastAsia" w:ascii="宋体" w:hAnsi="宋体" w:cs="宋体"/>
          <w:b/>
          <w:bCs/>
          <w:color w:val="auto"/>
          <w:sz w:val="28"/>
          <w:szCs w:val="28"/>
          <w:highlight w:val="none"/>
        </w:rPr>
      </w:pPr>
      <w:bookmarkStart w:id="56" w:name="_Toc20823282"/>
      <w:bookmarkStart w:id="57" w:name="_Toc18925"/>
      <w:bookmarkStart w:id="58" w:name="_Toc16938526"/>
      <w:bookmarkStart w:id="59" w:name="_Toc513029210"/>
      <w:r>
        <w:rPr>
          <w:rFonts w:hint="eastAsia" w:ascii="宋体" w:hAnsi="宋体" w:cs="宋体"/>
          <w:color w:val="auto"/>
          <w:sz w:val="28"/>
          <w:szCs w:val="28"/>
          <w:highlight w:val="none"/>
        </w:rPr>
        <w:t>1.招标文件构成</w:t>
      </w:r>
      <w:bookmarkEnd w:id="56"/>
      <w:bookmarkEnd w:id="57"/>
      <w:bookmarkEnd w:id="58"/>
      <w:bookmarkEnd w:id="59"/>
    </w:p>
    <w:p w14:paraId="70CB6F05">
      <w:pPr>
        <w:spacing w:line="460" w:lineRule="exact"/>
        <w:ind w:firstLine="560"/>
        <w:outlineLvl w:val="3"/>
        <w:rPr>
          <w:rFonts w:hint="eastAsia"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招标文件由以下部分组成：</w:t>
      </w:r>
    </w:p>
    <w:p w14:paraId="4CFD0A6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（1）招标邀请</w:t>
      </w:r>
    </w:p>
    <w:p w14:paraId="506DA19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（2）投标须知</w:t>
      </w:r>
    </w:p>
    <w:p w14:paraId="27D3743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（3）项目需求</w:t>
      </w:r>
    </w:p>
    <w:p w14:paraId="1047361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（4）开标和评标</w:t>
      </w:r>
    </w:p>
    <w:p w14:paraId="069A2D1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（5）投标文件组成</w:t>
      </w:r>
    </w:p>
    <w:p w14:paraId="7FDD00A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（6）附件（如有）</w:t>
      </w:r>
    </w:p>
    <w:p w14:paraId="348A009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请仔细检查招标文件是否齐全，如有缺漏请立即与代理机构联系解决。</w:t>
      </w:r>
    </w:p>
    <w:p w14:paraId="15283F95">
      <w:pPr>
        <w:spacing w:line="460" w:lineRule="exact"/>
        <w:ind w:firstLine="560"/>
        <w:rPr>
          <w:rFonts w:hint="eastAsia"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1E807D6">
      <w:pPr>
        <w:spacing w:line="460" w:lineRule="exact"/>
        <w:ind w:firstLine="560"/>
        <w:outlineLvl w:val="2"/>
        <w:rPr>
          <w:rFonts w:hint="eastAsia" w:ascii="宋体" w:hAnsi="宋体" w:cs="宋体"/>
          <w:b/>
          <w:bCs/>
          <w:color w:val="auto"/>
          <w:sz w:val="28"/>
          <w:szCs w:val="28"/>
          <w:highlight w:val="none"/>
        </w:rPr>
      </w:pPr>
      <w:bookmarkStart w:id="60" w:name="_Toc16938527"/>
      <w:bookmarkStart w:id="61" w:name="_Toc462564070"/>
      <w:bookmarkStart w:id="62" w:name="_Toc513029211"/>
      <w:bookmarkStart w:id="63" w:name="_Toc20823283"/>
      <w:bookmarkStart w:id="64" w:name="_Toc31712"/>
      <w:r>
        <w:rPr>
          <w:rFonts w:hint="eastAsia" w:ascii="宋体" w:hAnsi="宋体" w:cs="宋体"/>
          <w:color w:val="auto"/>
          <w:sz w:val="28"/>
          <w:szCs w:val="28"/>
          <w:highlight w:val="none"/>
        </w:rPr>
        <w:t>2.招标文件的澄清</w:t>
      </w:r>
      <w:bookmarkEnd w:id="60"/>
      <w:bookmarkEnd w:id="61"/>
      <w:bookmarkEnd w:id="62"/>
      <w:bookmarkEnd w:id="63"/>
      <w:bookmarkEnd w:id="64"/>
    </w:p>
    <w:p w14:paraId="1A511382">
      <w:pPr>
        <w:spacing w:line="460" w:lineRule="exact"/>
        <w:ind w:firstLine="560"/>
        <w:rPr>
          <w:rFonts w:hint="eastAsia"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任何要求对招标文件进行澄清的投标人，应在投标截止期十日前按招标公告中的通讯地址，以书面形式通知</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有权对发出的招标文件进行必要的澄清或</w:t>
      </w:r>
      <w:r>
        <w:rPr>
          <w:rFonts w:hint="eastAsia" w:ascii="宋体" w:hAnsi="宋体" w:cs="宋体"/>
          <w:color w:val="auto"/>
          <w:sz w:val="28"/>
          <w:szCs w:val="28"/>
          <w:highlight w:val="none"/>
          <w:lang w:eastAsia="zh-CN"/>
        </w:rPr>
        <w:t>修改。</w:t>
      </w:r>
    </w:p>
    <w:p w14:paraId="06C4C1EA">
      <w:pPr>
        <w:spacing w:line="460" w:lineRule="exact"/>
        <w:ind w:firstLine="560"/>
        <w:outlineLvl w:val="3"/>
        <w:rPr>
          <w:rFonts w:hint="eastAsia" w:ascii="宋体" w:hAnsi="宋体" w:cs="宋体"/>
          <w:color w:val="auto"/>
          <w:sz w:val="28"/>
          <w:szCs w:val="28"/>
          <w:highlight w:val="none"/>
        </w:rPr>
      </w:pPr>
      <w:r>
        <w:rPr>
          <w:rFonts w:hint="eastAsia" w:ascii="宋体" w:hAnsi="宋体" w:cs="宋体"/>
          <w:color w:val="auto"/>
          <w:sz w:val="28"/>
          <w:szCs w:val="28"/>
          <w:highlight w:val="none"/>
        </w:rPr>
        <w:t>2.2</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视情组织答疑</w:t>
      </w:r>
      <w:r>
        <w:rPr>
          <w:rFonts w:hint="eastAsia" w:ascii="宋体" w:hAnsi="宋体" w:cs="宋体"/>
          <w:color w:val="auto"/>
          <w:sz w:val="28"/>
          <w:szCs w:val="28"/>
          <w:highlight w:val="none"/>
          <w:lang w:eastAsia="zh-CN"/>
        </w:rPr>
        <w:t>会。</w:t>
      </w:r>
    </w:p>
    <w:p w14:paraId="4BB10F20">
      <w:pPr>
        <w:spacing w:line="460" w:lineRule="exact"/>
        <w:ind w:firstLine="560"/>
        <w:outlineLvl w:val="2"/>
        <w:rPr>
          <w:rFonts w:hint="eastAsia" w:ascii="宋体" w:hAnsi="宋体" w:cs="宋体"/>
          <w:b/>
          <w:bCs/>
          <w:color w:val="auto"/>
          <w:sz w:val="28"/>
          <w:szCs w:val="28"/>
          <w:highlight w:val="none"/>
        </w:rPr>
      </w:pPr>
      <w:bookmarkStart w:id="65" w:name="_Toc31249"/>
      <w:bookmarkStart w:id="66" w:name="_Toc462564071"/>
      <w:bookmarkStart w:id="67" w:name="_Toc513029212"/>
      <w:bookmarkStart w:id="68" w:name="_Toc16938528"/>
      <w:bookmarkStart w:id="69" w:name="_Toc20823284"/>
      <w:r>
        <w:rPr>
          <w:rFonts w:hint="eastAsia" w:ascii="宋体" w:hAnsi="宋体" w:cs="宋体"/>
          <w:color w:val="auto"/>
          <w:sz w:val="28"/>
          <w:szCs w:val="28"/>
          <w:highlight w:val="none"/>
        </w:rPr>
        <w:t>3.招标文件的修改</w:t>
      </w:r>
      <w:bookmarkEnd w:id="65"/>
      <w:bookmarkEnd w:id="66"/>
      <w:bookmarkEnd w:id="67"/>
      <w:bookmarkEnd w:id="68"/>
      <w:bookmarkEnd w:id="69"/>
    </w:p>
    <w:p w14:paraId="316C30EE">
      <w:pPr>
        <w:spacing w:line="460" w:lineRule="exact"/>
        <w:ind w:firstLine="560"/>
        <w:outlineLvl w:val="3"/>
        <w:rPr>
          <w:rFonts w:hint="eastAsia" w:ascii="宋体" w:hAnsi="宋体" w:cs="宋体"/>
          <w:color w:val="auto"/>
          <w:sz w:val="28"/>
          <w:szCs w:val="28"/>
          <w:highlight w:val="none"/>
        </w:rPr>
      </w:pPr>
      <w:r>
        <w:rPr>
          <w:rFonts w:hint="eastAsia" w:ascii="宋体" w:hAnsi="宋体" w:cs="宋体"/>
          <w:bCs/>
          <w:color w:val="auto"/>
          <w:sz w:val="28"/>
          <w:szCs w:val="28"/>
          <w:highlight w:val="none"/>
        </w:rPr>
        <w:t>3.1</w:t>
      </w:r>
      <w:r>
        <w:rPr>
          <w:rFonts w:hint="eastAsia" w:ascii="宋体" w:hAnsi="宋体" w:cs="宋体"/>
          <w:color w:val="auto"/>
          <w:sz w:val="28"/>
          <w:szCs w:val="28"/>
          <w:highlight w:val="none"/>
        </w:rPr>
        <w:t>在投标截止时间前，代理机构可以对招标文件进行修改。</w:t>
      </w:r>
    </w:p>
    <w:p w14:paraId="291769D0">
      <w:pPr>
        <w:spacing w:line="460" w:lineRule="exact"/>
        <w:ind w:firstLine="560"/>
        <w:rPr>
          <w:rFonts w:hint="eastAsia" w:ascii="宋体" w:hAnsi="宋体" w:cs="宋体"/>
          <w:color w:val="auto"/>
          <w:sz w:val="28"/>
          <w:szCs w:val="28"/>
          <w:highlight w:val="none"/>
        </w:rPr>
      </w:pPr>
      <w:r>
        <w:rPr>
          <w:rFonts w:hint="eastAsia" w:ascii="宋体" w:hAnsi="宋体" w:cs="宋体"/>
          <w:bCs/>
          <w:color w:val="auto"/>
          <w:sz w:val="28"/>
          <w:szCs w:val="28"/>
          <w:highlight w:val="none"/>
        </w:rPr>
        <w:t>3.2</w:t>
      </w:r>
      <w:r>
        <w:rPr>
          <w:rFonts w:hint="eastAsia" w:ascii="宋体" w:hAnsi="宋体" w:cs="宋体"/>
          <w:color w:val="auto"/>
          <w:sz w:val="28"/>
          <w:szCs w:val="28"/>
          <w:highlight w:val="none"/>
        </w:rPr>
        <w:t>代理机构有权按照法定的要求推迟投标截止日期和开标日期。</w:t>
      </w:r>
    </w:p>
    <w:p w14:paraId="056C6354">
      <w:pPr>
        <w:spacing w:line="460" w:lineRule="exact"/>
        <w:ind w:firstLine="560"/>
        <w:rPr>
          <w:rFonts w:hint="eastAsia" w:ascii="宋体" w:hAnsi="宋体" w:cs="宋体"/>
          <w:color w:val="auto"/>
          <w:sz w:val="28"/>
          <w:szCs w:val="28"/>
          <w:highlight w:val="none"/>
        </w:rPr>
      </w:pPr>
      <w:r>
        <w:rPr>
          <w:rFonts w:hint="eastAsia" w:ascii="宋体" w:hAnsi="宋体" w:cs="宋体"/>
          <w:bCs/>
          <w:color w:val="auto"/>
          <w:sz w:val="28"/>
          <w:szCs w:val="28"/>
          <w:highlight w:val="none"/>
        </w:rPr>
        <w:t>3.3</w:t>
      </w:r>
      <w:r>
        <w:rPr>
          <w:rFonts w:hint="eastAsia" w:ascii="宋体" w:hAnsi="宋体" w:cs="宋体"/>
          <w:color w:val="auto"/>
          <w:sz w:val="28"/>
          <w:szCs w:val="28"/>
          <w:highlight w:val="none"/>
        </w:rPr>
        <w:t>招标文件的修改将在江苏政府采购网公布，补充文件将作为招标文件的组成部分，并对投标人具有约束力。</w:t>
      </w:r>
    </w:p>
    <w:p w14:paraId="11DEECD1">
      <w:pPr>
        <w:spacing w:line="460" w:lineRule="exact"/>
        <w:ind w:firstLine="482"/>
        <w:rPr>
          <w:rFonts w:hint="eastAsia" w:ascii="宋体" w:hAnsi="宋体" w:cs="宋体"/>
          <w:b/>
          <w:bCs/>
          <w:color w:val="auto"/>
          <w:sz w:val="28"/>
          <w:szCs w:val="28"/>
          <w:highlight w:val="none"/>
          <w:u w:val="single"/>
        </w:rPr>
      </w:pPr>
      <w:bookmarkStart w:id="70" w:name="_Toc120614216"/>
      <w:bookmarkStart w:id="71" w:name="_Toc20823285"/>
      <w:bookmarkStart w:id="72" w:name="_Toc513029213"/>
      <w:bookmarkStart w:id="73" w:name="_Toc16938529"/>
      <w:bookmarkStart w:id="74" w:name="_Toc462564072"/>
      <w:r>
        <w:rPr>
          <w:rFonts w:hint="eastAsia" w:ascii="宋体" w:hAnsi="宋体" w:cs="宋体"/>
          <w:b/>
          <w:bCs/>
          <w:color w:val="auto"/>
          <w:sz w:val="28"/>
          <w:szCs w:val="28"/>
          <w:highlight w:val="none"/>
          <w:u w:val="single"/>
        </w:rPr>
        <w:t>4.在投标文件提交截止日期，</w:t>
      </w:r>
      <w:r>
        <w:rPr>
          <w:rFonts w:hint="eastAsia" w:ascii="宋体" w:hAnsi="宋体" w:cs="宋体"/>
          <w:b/>
          <w:bCs/>
          <w:color w:val="auto"/>
          <w:sz w:val="28"/>
          <w:szCs w:val="28"/>
          <w:highlight w:val="none"/>
          <w:u w:val="single"/>
          <w:lang w:eastAsia="zh-CN"/>
        </w:rPr>
        <w:t>采购人</w:t>
      </w:r>
      <w:r>
        <w:rPr>
          <w:rFonts w:hint="eastAsia" w:ascii="宋体" w:hAnsi="宋体" w:cs="宋体"/>
          <w:b/>
          <w:bCs/>
          <w:color w:val="auto"/>
          <w:sz w:val="28"/>
          <w:szCs w:val="28"/>
          <w:highlight w:val="none"/>
          <w:u w:val="single"/>
        </w:rPr>
        <w:t>对招标文件进行澄清或者修改的，通过“苏采云”系统发布澄清公告或者修改的内容。澄清或者修改的内容以所发布的本项目的“更正（澄清）公告”的形式通知所有获取招标文件的潜在投标人。发布本项目的“更正（澄清）公告”后</w:t>
      </w:r>
      <w:r>
        <w:rPr>
          <w:rFonts w:hint="eastAsia" w:ascii="宋体" w:hAnsi="宋体" w:cs="宋体"/>
          <w:b/>
          <w:bCs/>
          <w:color w:val="auto"/>
          <w:sz w:val="28"/>
          <w:szCs w:val="28"/>
          <w:highlight w:val="none"/>
          <w:u w:val="single"/>
          <w:lang w:eastAsia="zh-CN"/>
        </w:rPr>
        <w:t>采购代理</w:t>
      </w:r>
      <w:r>
        <w:rPr>
          <w:rFonts w:hint="eastAsia" w:ascii="宋体" w:hAnsi="宋体" w:cs="宋体"/>
          <w:b/>
          <w:bCs/>
          <w:color w:val="auto"/>
          <w:sz w:val="28"/>
          <w:szCs w:val="28"/>
          <w:highlight w:val="none"/>
          <w:u w:val="single"/>
        </w:rPr>
        <w:t>机构已尽通知义务。敬请各潜在投标人关注本项目的“更正（澄清）公告”，并通过“苏采云”系统重新下载更正（澄清）后的招标文件（后缀名为“.kedt”），离线编制投标文件，否则，将自行承担相应的风险。</w:t>
      </w:r>
    </w:p>
    <w:p w14:paraId="28A491DC">
      <w:pPr>
        <w:spacing w:line="460" w:lineRule="exact"/>
        <w:ind w:firstLine="482"/>
        <w:rPr>
          <w:rFonts w:hint="eastAsia" w:ascii="宋体" w:hAnsi="宋体" w:cs="宋体"/>
          <w:color w:val="auto"/>
          <w:sz w:val="24"/>
          <w:highlight w:val="none"/>
        </w:rPr>
      </w:pPr>
      <w:r>
        <w:rPr>
          <w:rFonts w:hint="eastAsia" w:ascii="宋体" w:hAnsi="宋体" w:cs="宋体"/>
          <w:color w:val="auto"/>
          <w:sz w:val="28"/>
          <w:szCs w:val="28"/>
          <w:highlight w:val="none"/>
        </w:rPr>
        <w:t>5.投标人对</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提供的招标文件所做出的推论、解释和结论，</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概不负责。投标人由于对招标文件的任何推论和误解以及</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对有关问题的口头解释所造成的后果，均由各潜在投标人自负。</w:t>
      </w:r>
    </w:p>
    <w:p w14:paraId="4977A0CC">
      <w:pPr>
        <w:pStyle w:val="3"/>
        <w:spacing w:before="0" w:after="0" w:line="460" w:lineRule="exact"/>
        <w:ind w:firstLine="562"/>
        <w:rPr>
          <w:rFonts w:hint="eastAsia" w:ascii="宋体" w:hAnsi="宋体" w:eastAsia="宋体" w:cs="宋体"/>
          <w:color w:val="auto"/>
          <w:sz w:val="28"/>
          <w:szCs w:val="28"/>
          <w:highlight w:val="none"/>
        </w:rPr>
      </w:pPr>
      <w:bookmarkStart w:id="75" w:name="_Toc16140"/>
      <w:r>
        <w:rPr>
          <w:rFonts w:hint="eastAsia" w:ascii="宋体" w:hAnsi="宋体" w:eastAsia="宋体" w:cs="宋体"/>
          <w:color w:val="auto"/>
          <w:sz w:val="28"/>
          <w:szCs w:val="28"/>
          <w:highlight w:val="none"/>
        </w:rPr>
        <w:t>三、投标文件的编制</w:t>
      </w:r>
      <w:bookmarkEnd w:id="70"/>
      <w:bookmarkEnd w:id="71"/>
      <w:bookmarkEnd w:id="72"/>
      <w:bookmarkEnd w:id="73"/>
      <w:bookmarkEnd w:id="74"/>
      <w:bookmarkEnd w:id="75"/>
    </w:p>
    <w:p w14:paraId="35F484AF">
      <w:pPr>
        <w:spacing w:line="460" w:lineRule="exact"/>
        <w:ind w:firstLine="560"/>
        <w:outlineLvl w:val="2"/>
        <w:rPr>
          <w:rFonts w:hint="eastAsia" w:ascii="宋体" w:hAnsi="宋体" w:cs="宋体"/>
          <w:bCs/>
          <w:color w:val="auto"/>
          <w:sz w:val="28"/>
          <w:szCs w:val="28"/>
          <w:highlight w:val="none"/>
        </w:rPr>
      </w:pPr>
      <w:bookmarkStart w:id="76" w:name="_Toc20823286"/>
      <w:bookmarkStart w:id="77" w:name="_Toc513029214"/>
      <w:bookmarkStart w:id="78" w:name="_Toc32352"/>
      <w:bookmarkStart w:id="79" w:name="_Toc462564073"/>
      <w:bookmarkStart w:id="80" w:name="_Toc16938530"/>
      <w:r>
        <w:rPr>
          <w:rFonts w:hint="eastAsia" w:ascii="宋体" w:hAnsi="宋体" w:cs="宋体"/>
          <w:color w:val="auto"/>
          <w:sz w:val="28"/>
          <w:szCs w:val="28"/>
          <w:highlight w:val="none"/>
        </w:rPr>
        <w:t>1.投标文件的语言及度量衡单位</w:t>
      </w:r>
      <w:bookmarkEnd w:id="76"/>
      <w:bookmarkEnd w:id="77"/>
      <w:bookmarkEnd w:id="78"/>
      <w:bookmarkEnd w:id="79"/>
      <w:bookmarkEnd w:id="80"/>
    </w:p>
    <w:p w14:paraId="69995FB3">
      <w:pPr>
        <w:spacing w:line="460" w:lineRule="exact"/>
        <w:ind w:firstLine="560"/>
        <w:rPr>
          <w:rFonts w:hint="eastAsia"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投标人提交的投标文件以及投标人与代理机构就有关投标的所有来往通知、函件和文件均应使用</w:t>
      </w:r>
      <w:r>
        <w:rPr>
          <w:rFonts w:hint="eastAsia" w:ascii="宋体" w:hAnsi="宋体" w:cs="宋体"/>
          <w:bCs/>
          <w:color w:val="auto"/>
          <w:sz w:val="28"/>
          <w:szCs w:val="28"/>
          <w:highlight w:val="none"/>
        </w:rPr>
        <w:t>简体中文</w:t>
      </w:r>
      <w:r>
        <w:rPr>
          <w:rFonts w:hint="eastAsia" w:ascii="宋体" w:hAnsi="宋体" w:cs="宋体"/>
          <w:color w:val="auto"/>
          <w:sz w:val="28"/>
          <w:szCs w:val="28"/>
          <w:highlight w:val="none"/>
        </w:rPr>
        <w:t>。</w:t>
      </w:r>
    </w:p>
    <w:p w14:paraId="2B29AF27">
      <w:pPr>
        <w:spacing w:line="460" w:lineRule="exact"/>
        <w:ind w:firstLine="560"/>
        <w:rPr>
          <w:rFonts w:hint="eastAsia"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除技术性能另有规定外，投标文件所使用的度量衡单位，均须采用国家法定计量单位。</w:t>
      </w:r>
    </w:p>
    <w:p w14:paraId="5CB04D9A">
      <w:pPr>
        <w:spacing w:line="460" w:lineRule="exact"/>
        <w:ind w:firstLine="560"/>
        <w:outlineLvl w:val="2"/>
        <w:rPr>
          <w:rFonts w:hint="eastAsia" w:ascii="宋体" w:hAnsi="宋体" w:cs="宋体"/>
          <w:b/>
          <w:bCs/>
          <w:color w:val="auto"/>
          <w:sz w:val="28"/>
          <w:szCs w:val="28"/>
          <w:highlight w:val="none"/>
        </w:rPr>
      </w:pPr>
      <w:bookmarkStart w:id="81" w:name="_Toc16938531"/>
      <w:bookmarkStart w:id="82" w:name="_Toc20823287"/>
      <w:bookmarkStart w:id="83" w:name="_Toc513029215"/>
      <w:bookmarkStart w:id="84" w:name="_Toc28358"/>
      <w:bookmarkStart w:id="85" w:name="_Toc462564074"/>
      <w:r>
        <w:rPr>
          <w:rFonts w:hint="eastAsia" w:ascii="宋体" w:hAnsi="宋体" w:cs="宋体"/>
          <w:color w:val="auto"/>
          <w:sz w:val="28"/>
          <w:szCs w:val="28"/>
          <w:highlight w:val="none"/>
        </w:rPr>
        <w:t>2.投标文件构成</w:t>
      </w:r>
      <w:bookmarkEnd w:id="81"/>
      <w:bookmarkEnd w:id="82"/>
      <w:bookmarkEnd w:id="83"/>
      <w:bookmarkEnd w:id="84"/>
      <w:bookmarkEnd w:id="85"/>
    </w:p>
    <w:p w14:paraId="6C19B589">
      <w:pPr>
        <w:spacing w:line="460" w:lineRule="exact"/>
        <w:ind w:firstLine="560"/>
        <w:rPr>
          <w:rFonts w:hint="eastAsia"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投标人编写的投标文件应包括资格审查证明材料文件、商务技术标文件、价格标文件。投标人按“第五部分 投标文件组成”要求编写投标文件</w:t>
      </w:r>
    </w:p>
    <w:p w14:paraId="4A74E46F">
      <w:pPr>
        <w:spacing w:line="460" w:lineRule="exact"/>
        <w:ind w:firstLine="560"/>
        <w:outlineLvl w:val="2"/>
        <w:rPr>
          <w:rFonts w:hint="eastAsia" w:ascii="宋体" w:hAnsi="宋体" w:cs="宋体"/>
          <w:b/>
          <w:bCs/>
          <w:color w:val="auto"/>
          <w:sz w:val="28"/>
          <w:szCs w:val="28"/>
          <w:highlight w:val="none"/>
        </w:rPr>
      </w:pPr>
      <w:bookmarkStart w:id="86" w:name="_Hlt26670360"/>
      <w:bookmarkEnd w:id="86"/>
      <w:bookmarkStart w:id="87" w:name="_Hlt26954838"/>
      <w:bookmarkEnd w:id="87"/>
      <w:bookmarkStart w:id="88" w:name="_Hlt26668975"/>
      <w:bookmarkEnd w:id="88"/>
      <w:bookmarkStart w:id="89" w:name="_Toc14577360"/>
      <w:bookmarkStart w:id="90" w:name="_Toc18141"/>
      <w:bookmarkStart w:id="91" w:name="_Toc49090511"/>
      <w:r>
        <w:rPr>
          <w:rFonts w:hint="eastAsia" w:ascii="宋体" w:hAnsi="宋体" w:cs="宋体"/>
          <w:color w:val="auto"/>
          <w:sz w:val="28"/>
          <w:szCs w:val="28"/>
          <w:highlight w:val="none"/>
        </w:rPr>
        <w:t>3.投标有效期</w:t>
      </w:r>
      <w:bookmarkEnd w:id="89"/>
      <w:bookmarkEnd w:id="90"/>
      <w:bookmarkEnd w:id="91"/>
    </w:p>
    <w:p w14:paraId="3ECD760A">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3.1投标有效期为代理机构规定的开标之日后</w:t>
      </w:r>
      <w:r>
        <w:rPr>
          <w:rFonts w:hint="eastAsia" w:ascii="宋体" w:hAnsi="宋体" w:cs="宋体"/>
          <w:b/>
          <w:color w:val="auto"/>
          <w:sz w:val="28"/>
          <w:szCs w:val="28"/>
          <w:highlight w:val="none"/>
          <w:u w:val="single"/>
        </w:rPr>
        <w:t>六十（60）天</w:t>
      </w:r>
      <w:r>
        <w:rPr>
          <w:rFonts w:hint="eastAsia" w:ascii="宋体" w:hAnsi="宋体" w:cs="宋体"/>
          <w:bCs/>
          <w:color w:val="auto"/>
          <w:sz w:val="28"/>
          <w:szCs w:val="28"/>
          <w:highlight w:val="none"/>
        </w:rPr>
        <w:t>。投标有效期比规定短的将被视为非响应性投标而予以拒绝。</w:t>
      </w:r>
    </w:p>
    <w:p w14:paraId="14021359">
      <w:pPr>
        <w:spacing w:line="460" w:lineRule="exact"/>
        <w:ind w:firstLine="560"/>
        <w:outlineLvl w:val="2"/>
        <w:rPr>
          <w:rFonts w:hint="eastAsia" w:ascii="宋体" w:hAnsi="宋体" w:cs="宋体"/>
          <w:b/>
          <w:bCs/>
          <w:color w:val="auto"/>
          <w:sz w:val="28"/>
          <w:szCs w:val="28"/>
          <w:highlight w:val="none"/>
        </w:rPr>
      </w:pPr>
      <w:bookmarkStart w:id="92" w:name="_Toc25966"/>
      <w:r>
        <w:rPr>
          <w:rFonts w:hint="eastAsia" w:ascii="宋体" w:hAnsi="宋体" w:cs="宋体"/>
          <w:color w:val="auto"/>
          <w:sz w:val="28"/>
          <w:szCs w:val="28"/>
          <w:highlight w:val="none"/>
        </w:rPr>
        <w:t>4.投标有效期的延长</w:t>
      </w:r>
      <w:bookmarkEnd w:id="92"/>
    </w:p>
    <w:p w14:paraId="41C76710">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auto"/>
          <w:sz w:val="28"/>
          <w:szCs w:val="28"/>
          <w:highlight w:val="none"/>
        </w:rPr>
        <w:t>受投标有效期约束的所有权利与义务均延长至新的有效期</w:t>
      </w:r>
      <w:r>
        <w:rPr>
          <w:rFonts w:hint="eastAsia" w:ascii="宋体" w:hAnsi="宋体" w:cs="宋体"/>
          <w:bCs/>
          <w:color w:val="auto"/>
          <w:sz w:val="28"/>
          <w:szCs w:val="28"/>
          <w:highlight w:val="none"/>
        </w:rPr>
        <w:t>。</w:t>
      </w:r>
    </w:p>
    <w:p w14:paraId="42C52540">
      <w:pPr>
        <w:spacing w:line="460" w:lineRule="exact"/>
        <w:ind w:firstLine="560"/>
        <w:outlineLvl w:val="2"/>
        <w:rPr>
          <w:rFonts w:hint="eastAsia" w:ascii="宋体" w:hAnsi="宋体" w:cs="宋体"/>
          <w:bCs/>
          <w:color w:val="auto"/>
          <w:sz w:val="28"/>
          <w:szCs w:val="28"/>
          <w:highlight w:val="none"/>
        </w:rPr>
      </w:pPr>
      <w:bookmarkStart w:id="93" w:name="_Hlt26954852"/>
      <w:bookmarkEnd w:id="93"/>
      <w:bookmarkStart w:id="94" w:name="_Hlt26954739"/>
      <w:bookmarkEnd w:id="94"/>
      <w:bookmarkStart w:id="95" w:name="_Toc27948"/>
      <w:bookmarkStart w:id="96" w:name="_Toc16938540"/>
      <w:bookmarkStart w:id="97" w:name="_Toc120614217"/>
      <w:bookmarkStart w:id="98" w:name="_Toc20823296"/>
      <w:bookmarkStart w:id="99" w:name="_Toc513029224"/>
      <w:r>
        <w:rPr>
          <w:rFonts w:hint="eastAsia" w:ascii="宋体" w:hAnsi="宋体" w:cs="宋体"/>
          <w:bCs/>
          <w:color w:val="auto"/>
          <w:sz w:val="28"/>
          <w:szCs w:val="28"/>
          <w:highlight w:val="none"/>
        </w:rPr>
        <w:t>5.电子投标文件其他要求</w:t>
      </w:r>
      <w:bookmarkEnd w:id="95"/>
    </w:p>
    <w:p w14:paraId="58E7D85D">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5.1电子招标投标交易平台（即“苏采云”系统）相关要求是本招标文件的组成部分。</w:t>
      </w:r>
    </w:p>
    <w:p w14:paraId="2F2554EF">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5.2投标人应对CA证书妥善保管，如被他人盗用投标，因此带来的结果均由投标人自行承担。</w:t>
      </w:r>
    </w:p>
    <w:p w14:paraId="08DA1118">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5.3投标人应当对招标文件提出的实质性要求和条件作出实质性响应，并在电子投标系统逐条应答。</w:t>
      </w:r>
    </w:p>
    <w:p w14:paraId="5C0947CE">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5.4投标人应对要求提供的资格证明文件（如资质证书、资格证书）、技术资料（如白皮书、彩页、手册、检测报告等）扫描上传至投标系统。 </w:t>
      </w:r>
    </w:p>
    <w:p w14:paraId="09DE2FA7">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6.投标人应当在招标文件要求提交投标文件的截止时间前，将投标文件提交至“苏采云”系统，逾期提交的投标文件，“苏采云”系统将自动拒收。各投标人应在规定时间内凭CA证书进行网上解密。</w:t>
      </w:r>
    </w:p>
    <w:p w14:paraId="061DA231">
      <w:pPr>
        <w:pStyle w:val="3"/>
        <w:spacing w:before="0" w:after="0" w:line="460" w:lineRule="exact"/>
        <w:ind w:firstLine="562"/>
        <w:rPr>
          <w:rFonts w:hint="eastAsia" w:ascii="宋体" w:hAnsi="宋体" w:eastAsia="宋体" w:cs="宋体"/>
          <w:color w:val="auto"/>
          <w:sz w:val="28"/>
          <w:szCs w:val="28"/>
          <w:highlight w:val="none"/>
        </w:rPr>
      </w:pPr>
      <w:bookmarkStart w:id="100" w:name="_Toc25552"/>
      <w:r>
        <w:rPr>
          <w:rFonts w:hint="eastAsia" w:ascii="宋体" w:hAnsi="宋体" w:eastAsia="宋体" w:cs="宋体"/>
          <w:color w:val="auto"/>
          <w:sz w:val="28"/>
          <w:szCs w:val="28"/>
          <w:highlight w:val="none"/>
        </w:rPr>
        <w:t>四、投标文件的递交</w:t>
      </w:r>
      <w:bookmarkEnd w:id="96"/>
      <w:bookmarkEnd w:id="97"/>
      <w:bookmarkEnd w:id="98"/>
      <w:bookmarkEnd w:id="99"/>
      <w:bookmarkEnd w:id="100"/>
    </w:p>
    <w:p w14:paraId="61DFA5F4">
      <w:pPr>
        <w:spacing w:line="460" w:lineRule="exact"/>
        <w:ind w:firstLine="560"/>
        <w:outlineLvl w:val="2"/>
        <w:rPr>
          <w:rFonts w:hint="eastAsia" w:ascii="宋体" w:hAnsi="宋体" w:cs="宋体"/>
          <w:bCs/>
          <w:color w:val="auto"/>
          <w:sz w:val="28"/>
          <w:szCs w:val="28"/>
          <w:highlight w:val="none"/>
        </w:rPr>
      </w:pPr>
      <w:bookmarkStart w:id="101" w:name="_Toc462564084"/>
      <w:bookmarkStart w:id="102" w:name="_Toc513029225"/>
      <w:bookmarkStart w:id="103" w:name="_Toc16938541"/>
      <w:bookmarkStart w:id="104" w:name="_Toc20823297"/>
      <w:bookmarkStart w:id="105" w:name="_Toc28087"/>
      <w:bookmarkStart w:id="106" w:name="_Toc16938545"/>
      <w:bookmarkStart w:id="107" w:name="_Toc513029229"/>
      <w:bookmarkStart w:id="108" w:name="_Toc20823301"/>
      <w:bookmarkStart w:id="109" w:name="_Toc120614218"/>
      <w:r>
        <w:rPr>
          <w:rFonts w:hint="eastAsia" w:ascii="宋体" w:hAnsi="宋体" w:cs="宋体"/>
          <w:bCs/>
          <w:color w:val="auto"/>
          <w:sz w:val="28"/>
          <w:szCs w:val="28"/>
          <w:highlight w:val="none"/>
        </w:rPr>
        <w:t>1.</w:t>
      </w:r>
      <w:bookmarkEnd w:id="101"/>
      <w:bookmarkEnd w:id="102"/>
      <w:bookmarkEnd w:id="103"/>
      <w:bookmarkEnd w:id="104"/>
      <w:r>
        <w:rPr>
          <w:rFonts w:hint="eastAsia" w:ascii="宋体" w:hAnsi="宋体" w:cs="宋体"/>
          <w:bCs/>
          <w:color w:val="auto"/>
          <w:sz w:val="28"/>
          <w:szCs w:val="28"/>
          <w:highlight w:val="none"/>
        </w:rPr>
        <w:t>投标文件的提交</w:t>
      </w:r>
      <w:bookmarkEnd w:id="105"/>
    </w:p>
    <w:p w14:paraId="6F92E4FF">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1.1线上提交与接收地点：投标人应当通过“苏采云”系统提交数据电文形式的投标文件（即电子投标），“苏采云”系统自动接收。</w:t>
      </w:r>
    </w:p>
    <w:p w14:paraId="7378C411">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p>
    <w:p w14:paraId="0F0CFAD9">
      <w:pPr>
        <w:spacing w:line="460" w:lineRule="exact"/>
        <w:ind w:firstLine="560"/>
        <w:outlineLvl w:val="2"/>
        <w:rPr>
          <w:rFonts w:hint="eastAsia" w:ascii="宋体" w:hAnsi="宋体" w:cs="宋体"/>
          <w:bCs/>
          <w:color w:val="auto"/>
          <w:sz w:val="28"/>
          <w:szCs w:val="28"/>
          <w:highlight w:val="none"/>
        </w:rPr>
      </w:pPr>
      <w:bookmarkStart w:id="110" w:name="_Toc60"/>
      <w:r>
        <w:rPr>
          <w:rFonts w:hint="eastAsia" w:ascii="宋体" w:hAnsi="宋体" w:cs="宋体"/>
          <w:bCs/>
          <w:color w:val="auto"/>
          <w:sz w:val="28"/>
          <w:szCs w:val="28"/>
          <w:highlight w:val="none"/>
        </w:rPr>
        <w:t>2.提交投标文件截止日期</w:t>
      </w:r>
      <w:bookmarkEnd w:id="110"/>
    </w:p>
    <w:p w14:paraId="4BF208B6">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2.1投标人上传电子投标文件的时间不得迟于公开招标公告中规定的投标文件提交截止时间。</w:t>
      </w:r>
    </w:p>
    <w:p w14:paraId="17667ACB">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投标人应充分考虑到网络环境、网络带宽等风险因素，如因投标人自身原因造成的电子投标文件上传不成功由投标人自行承担全部责任。</w:t>
      </w:r>
    </w:p>
    <w:p w14:paraId="713F4BFE">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2.2</w:t>
      </w:r>
      <w:r>
        <w:rPr>
          <w:rFonts w:hint="eastAsia" w:ascii="宋体" w:hAnsi="宋体" w:cs="宋体"/>
          <w:bCs/>
          <w:color w:val="auto"/>
          <w:sz w:val="28"/>
          <w:szCs w:val="28"/>
          <w:highlight w:val="none"/>
          <w:lang w:eastAsia="zh-CN"/>
        </w:rPr>
        <w:t>采购人</w:t>
      </w:r>
      <w:r>
        <w:rPr>
          <w:rFonts w:hint="eastAsia" w:ascii="宋体" w:hAnsi="宋体" w:cs="宋体"/>
          <w:bCs/>
          <w:color w:val="auto"/>
          <w:sz w:val="28"/>
          <w:szCs w:val="28"/>
          <w:highlight w:val="none"/>
        </w:rPr>
        <w:t>或</w:t>
      </w:r>
      <w:r>
        <w:rPr>
          <w:rFonts w:hint="eastAsia" w:ascii="宋体" w:hAnsi="宋体" w:cs="宋体"/>
          <w:bCs/>
          <w:color w:val="auto"/>
          <w:sz w:val="28"/>
          <w:szCs w:val="28"/>
          <w:highlight w:val="none"/>
          <w:lang w:eastAsia="zh-CN"/>
        </w:rPr>
        <w:t>采购代理</w:t>
      </w:r>
      <w:r>
        <w:rPr>
          <w:rFonts w:hint="eastAsia" w:ascii="宋体" w:hAnsi="宋体" w:cs="宋体"/>
          <w:bCs/>
          <w:color w:val="auto"/>
          <w:sz w:val="28"/>
          <w:szCs w:val="28"/>
          <w:highlight w:val="none"/>
        </w:rPr>
        <w:t>机构可以按照规定，通过修改投标文件酌情延长投标文件提交截止日期，在此情况下，投标人的所有权利和义务以及投标人受制的截止日期均应以延长后新的截止日期为准。</w:t>
      </w:r>
    </w:p>
    <w:p w14:paraId="2FF75AA4">
      <w:pPr>
        <w:spacing w:line="460" w:lineRule="exact"/>
        <w:ind w:firstLine="560"/>
        <w:outlineLvl w:val="2"/>
        <w:rPr>
          <w:rFonts w:hint="eastAsia" w:ascii="宋体" w:hAnsi="宋体" w:cs="宋体"/>
          <w:bCs/>
          <w:color w:val="auto"/>
          <w:sz w:val="28"/>
          <w:szCs w:val="28"/>
          <w:highlight w:val="none"/>
        </w:rPr>
      </w:pPr>
      <w:bookmarkStart w:id="111" w:name="_Toc2805"/>
      <w:r>
        <w:rPr>
          <w:rFonts w:hint="eastAsia" w:ascii="宋体" w:hAnsi="宋体" w:cs="宋体"/>
          <w:bCs/>
          <w:color w:val="auto"/>
          <w:sz w:val="28"/>
          <w:szCs w:val="28"/>
          <w:highlight w:val="none"/>
        </w:rPr>
        <w:t>3.投标文件的密封（加密）要求：</w:t>
      </w:r>
      <w:bookmarkEnd w:id="111"/>
    </w:p>
    <w:p w14:paraId="51484F23">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3.1投标人应当按照招标文件和“苏采云”系统的要求编制并加密投标文件。本项目投标人须通过“苏采云”系统提供的政府采购客户端工具（使用“CA数字证书”）对其数据电文形式的投标文件加密。</w:t>
      </w:r>
    </w:p>
    <w:p w14:paraId="0A092D44">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3.2投标人须通过“苏采云”系统提供的政府采购客户端工具（使用“CA数字证书”）加盖电子签章。</w:t>
      </w:r>
    </w:p>
    <w:p w14:paraId="3A24CD05">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说明：投标人应在用CA数字证书以及自备的能够登录“苏采云”系统的电脑，在达到开标时间后，使用CA数字证书解密各自投标文件。</w:t>
      </w:r>
    </w:p>
    <w:p w14:paraId="652DD3C3">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3.3投标人未按规定加密的投标文件，“苏采云”系统将拒收并提示。</w:t>
      </w:r>
    </w:p>
    <w:p w14:paraId="6C0C65E3">
      <w:pPr>
        <w:spacing w:line="460" w:lineRule="exact"/>
        <w:ind w:firstLine="560"/>
        <w:outlineLvl w:val="2"/>
        <w:rPr>
          <w:rFonts w:hint="eastAsia" w:ascii="宋体" w:hAnsi="宋体" w:cs="宋体"/>
          <w:bCs/>
          <w:color w:val="auto"/>
          <w:sz w:val="28"/>
          <w:szCs w:val="28"/>
          <w:highlight w:val="none"/>
        </w:rPr>
      </w:pPr>
      <w:bookmarkStart w:id="112" w:name="_Toc27425"/>
      <w:r>
        <w:rPr>
          <w:rFonts w:hint="eastAsia" w:ascii="宋体" w:hAnsi="宋体" w:cs="宋体"/>
          <w:bCs/>
          <w:color w:val="auto"/>
          <w:sz w:val="28"/>
          <w:szCs w:val="28"/>
          <w:highlight w:val="none"/>
        </w:rPr>
        <w:t>4.投标文件的拒收</w:t>
      </w:r>
      <w:bookmarkEnd w:id="112"/>
    </w:p>
    <w:p w14:paraId="47E70D99">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4.1</w:t>
      </w:r>
      <w:r>
        <w:rPr>
          <w:rFonts w:hint="eastAsia" w:ascii="宋体" w:hAnsi="宋体" w:cs="宋体"/>
          <w:bCs/>
          <w:color w:val="auto"/>
          <w:sz w:val="28"/>
          <w:szCs w:val="28"/>
          <w:highlight w:val="none"/>
          <w:lang w:eastAsia="zh-CN"/>
        </w:rPr>
        <w:t>采购代理</w:t>
      </w:r>
      <w:r>
        <w:rPr>
          <w:rFonts w:hint="eastAsia" w:ascii="宋体" w:hAnsi="宋体" w:cs="宋体"/>
          <w:bCs/>
          <w:color w:val="auto"/>
          <w:sz w:val="28"/>
          <w:szCs w:val="28"/>
          <w:highlight w:val="none"/>
        </w:rPr>
        <w:t>机构拒绝接收在其规定的投标文件提交截止时间后上传的任何投标文件。</w:t>
      </w:r>
    </w:p>
    <w:p w14:paraId="533F7A94">
      <w:pPr>
        <w:spacing w:line="460" w:lineRule="exact"/>
        <w:ind w:firstLine="560"/>
        <w:outlineLvl w:val="2"/>
        <w:rPr>
          <w:rFonts w:hint="eastAsia" w:ascii="宋体" w:hAnsi="宋体" w:cs="宋体"/>
          <w:bCs/>
          <w:color w:val="auto"/>
          <w:sz w:val="28"/>
          <w:szCs w:val="28"/>
          <w:highlight w:val="none"/>
        </w:rPr>
      </w:pPr>
      <w:bookmarkStart w:id="113" w:name="_Toc13316"/>
      <w:r>
        <w:rPr>
          <w:rFonts w:hint="eastAsia" w:ascii="宋体" w:hAnsi="宋体" w:cs="宋体"/>
          <w:bCs/>
          <w:color w:val="auto"/>
          <w:sz w:val="28"/>
          <w:szCs w:val="28"/>
          <w:highlight w:val="none"/>
        </w:rPr>
        <w:t>5.投标文件的撤回和修改</w:t>
      </w:r>
      <w:bookmarkEnd w:id="113"/>
    </w:p>
    <w:p w14:paraId="177D84E4">
      <w:pPr>
        <w:spacing w:line="460" w:lineRule="exact"/>
        <w:ind w:firstLine="560"/>
        <w:outlineLvl w:val="3"/>
        <w:rPr>
          <w:rFonts w:hint="eastAsia" w:ascii="宋体" w:hAnsi="宋体" w:cs="宋体"/>
          <w:bCs/>
          <w:color w:val="auto"/>
          <w:sz w:val="28"/>
          <w:szCs w:val="28"/>
          <w:highlight w:val="none"/>
        </w:rPr>
      </w:pPr>
      <w:r>
        <w:rPr>
          <w:rFonts w:hint="eastAsia" w:ascii="宋体" w:hAnsi="宋体" w:cs="宋体"/>
          <w:bCs/>
          <w:color w:val="auto"/>
          <w:sz w:val="28"/>
          <w:szCs w:val="28"/>
          <w:highlight w:val="none"/>
        </w:rPr>
        <w:t>5.1投标文件的撤回</w:t>
      </w:r>
    </w:p>
    <w:p w14:paraId="1F32B9CE">
      <w:pPr>
        <w:spacing w:line="460" w:lineRule="exact"/>
        <w:ind w:firstLine="560"/>
        <w:outlineLvl w:val="4"/>
        <w:rPr>
          <w:rFonts w:hint="eastAsia" w:ascii="宋体" w:hAnsi="宋体" w:cs="宋体"/>
          <w:bCs/>
          <w:color w:val="auto"/>
          <w:sz w:val="28"/>
          <w:szCs w:val="28"/>
          <w:highlight w:val="none"/>
        </w:rPr>
      </w:pPr>
      <w:r>
        <w:rPr>
          <w:rFonts w:hint="eastAsia" w:ascii="宋体" w:hAnsi="宋体" w:cs="宋体"/>
          <w:bCs/>
          <w:color w:val="auto"/>
          <w:sz w:val="28"/>
          <w:szCs w:val="28"/>
          <w:highlight w:val="none"/>
        </w:rPr>
        <w:t>5.1.1电子投标文件的撤回</w:t>
      </w:r>
    </w:p>
    <w:p w14:paraId="55748C8C">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投标人可在投标文件提交截止时间前，撤回其电子投标文件，具体操作方法见“苏采云”系统供应商操作手册。</w:t>
      </w:r>
    </w:p>
    <w:p w14:paraId="4702B7F8">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5.1.2投标人撤回电子投标文件，则认为其不再参与本项目投标活动。</w:t>
      </w:r>
    </w:p>
    <w:p w14:paraId="13E7E7BF">
      <w:pPr>
        <w:spacing w:line="460" w:lineRule="exact"/>
        <w:ind w:firstLine="560"/>
        <w:outlineLvl w:val="3"/>
        <w:rPr>
          <w:rFonts w:hint="eastAsia" w:ascii="宋体" w:hAnsi="宋体" w:cs="宋体"/>
          <w:bCs/>
          <w:color w:val="auto"/>
          <w:sz w:val="28"/>
          <w:szCs w:val="28"/>
          <w:highlight w:val="none"/>
        </w:rPr>
      </w:pPr>
      <w:r>
        <w:rPr>
          <w:rFonts w:hint="eastAsia" w:ascii="宋体" w:hAnsi="宋体" w:cs="宋体"/>
          <w:bCs/>
          <w:color w:val="auto"/>
          <w:sz w:val="28"/>
          <w:szCs w:val="28"/>
          <w:highlight w:val="none"/>
        </w:rPr>
        <w:t>5.2投标文件的修改</w:t>
      </w:r>
    </w:p>
    <w:p w14:paraId="68975E0C">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投标人可在投标文件提交截止时间前，对其电子投标文件进行修改。具体操作方法见“苏采云”系统供应商操作手册。</w:t>
      </w:r>
    </w:p>
    <w:p w14:paraId="49548EBE">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5.3在投标文件提交截止时间之后，投标人不得对其电子投标文件作任何修改。</w:t>
      </w:r>
    </w:p>
    <w:p w14:paraId="44CC6A8B">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5.4在投标文件提交截止时间至招标文件中规定的投标有效期满之间的这段时间内，投标人不得撤回其投标文件。</w:t>
      </w:r>
    </w:p>
    <w:p w14:paraId="50C5557B">
      <w:pPr>
        <w:pStyle w:val="3"/>
        <w:spacing w:before="0" w:after="0" w:line="460" w:lineRule="exact"/>
        <w:ind w:firstLine="562"/>
        <w:rPr>
          <w:rFonts w:hint="eastAsia" w:ascii="宋体" w:hAnsi="宋体" w:eastAsia="宋体" w:cs="宋体"/>
          <w:color w:val="auto"/>
          <w:sz w:val="28"/>
          <w:szCs w:val="28"/>
          <w:highlight w:val="none"/>
        </w:rPr>
      </w:pPr>
      <w:bookmarkStart w:id="114" w:name="_Toc7634"/>
      <w:r>
        <w:rPr>
          <w:rFonts w:hint="eastAsia" w:ascii="宋体" w:hAnsi="宋体" w:eastAsia="宋体" w:cs="宋体"/>
          <w:color w:val="auto"/>
          <w:sz w:val="28"/>
          <w:szCs w:val="28"/>
          <w:highlight w:val="none"/>
        </w:rPr>
        <w:t>五、开标与评标</w:t>
      </w:r>
      <w:bookmarkEnd w:id="106"/>
      <w:bookmarkEnd w:id="107"/>
      <w:bookmarkEnd w:id="108"/>
      <w:bookmarkEnd w:id="109"/>
      <w:bookmarkEnd w:id="114"/>
    </w:p>
    <w:p w14:paraId="14D76299">
      <w:pPr>
        <w:spacing w:line="460" w:lineRule="exact"/>
        <w:ind w:firstLine="360"/>
        <w:outlineLvl w:val="2"/>
        <w:rPr>
          <w:rFonts w:hint="eastAsia" w:ascii="宋体" w:hAnsi="宋体" w:cs="宋体"/>
          <w:bCs/>
          <w:color w:val="auto"/>
          <w:sz w:val="28"/>
          <w:szCs w:val="28"/>
          <w:highlight w:val="none"/>
        </w:rPr>
      </w:pPr>
      <w:bookmarkStart w:id="115" w:name="_Toc20724"/>
      <w:bookmarkStart w:id="116" w:name="_Toc513029231"/>
      <w:bookmarkStart w:id="117" w:name="_Toc20823303"/>
      <w:bookmarkStart w:id="118" w:name="_Toc16938547"/>
      <w:r>
        <w:rPr>
          <w:rFonts w:hint="eastAsia" w:ascii="宋体" w:hAnsi="宋体" w:cs="宋体"/>
          <w:bCs/>
          <w:color w:val="auto"/>
          <w:sz w:val="28"/>
          <w:szCs w:val="28"/>
          <w:highlight w:val="none"/>
        </w:rPr>
        <w:t>1.开标</w:t>
      </w:r>
      <w:bookmarkEnd w:id="115"/>
    </w:p>
    <w:p w14:paraId="1D748E6D">
      <w:pPr>
        <w:spacing w:line="460" w:lineRule="exact"/>
        <w:ind w:firstLine="482"/>
        <w:rPr>
          <w:rFonts w:hint="eastAsia" w:ascii="宋体" w:hAnsi="宋体" w:cs="宋体"/>
          <w:b/>
          <w:color w:val="auto"/>
          <w:sz w:val="28"/>
          <w:szCs w:val="28"/>
          <w:highlight w:val="none"/>
        </w:rPr>
      </w:pPr>
      <w:r>
        <w:rPr>
          <w:rFonts w:hint="eastAsia" w:ascii="宋体" w:hAnsi="宋体" w:cs="宋体"/>
          <w:b/>
          <w:color w:val="auto"/>
          <w:sz w:val="28"/>
          <w:szCs w:val="28"/>
          <w:highlight w:val="none"/>
        </w:rPr>
        <w:t>1.1开标当天各投标人及时登录不见面开标大厅，响应文件提交截止时间后，</w:t>
      </w:r>
      <w:r>
        <w:rPr>
          <w:rFonts w:hint="eastAsia" w:ascii="宋体" w:hAnsi="宋体" w:cs="宋体"/>
          <w:b/>
          <w:color w:val="auto"/>
          <w:sz w:val="28"/>
          <w:szCs w:val="28"/>
          <w:highlight w:val="none"/>
          <w:lang w:eastAsia="zh-CN"/>
        </w:rPr>
        <w:t>采购代理</w:t>
      </w:r>
      <w:r>
        <w:rPr>
          <w:rFonts w:hint="eastAsia" w:ascii="宋体" w:hAnsi="宋体" w:cs="宋体"/>
          <w:b/>
          <w:color w:val="auto"/>
          <w:sz w:val="28"/>
          <w:szCs w:val="28"/>
          <w:highlight w:val="none"/>
        </w:rPr>
        <w:t>机构将在系统内公布投标人名单，然后通过开标会议区发出响应文件解密的指令，投标人按规定时间自行实施远程解密，投标人解密限定在开标后</w:t>
      </w:r>
      <w:r>
        <w:rPr>
          <w:rFonts w:hint="eastAsia" w:ascii="宋体" w:hAnsi="宋体" w:cs="宋体"/>
          <w:b/>
          <w:color w:val="auto"/>
          <w:sz w:val="28"/>
          <w:szCs w:val="28"/>
          <w:highlight w:val="none"/>
          <w:u w:val="single"/>
        </w:rPr>
        <w:t>30分钟之内</w:t>
      </w:r>
      <w:r>
        <w:rPr>
          <w:rFonts w:hint="eastAsia" w:ascii="宋体" w:hAnsi="宋体" w:cs="宋体"/>
          <w:b/>
          <w:color w:val="auto"/>
          <w:sz w:val="28"/>
          <w:szCs w:val="28"/>
          <w:highlight w:val="none"/>
        </w:rPr>
        <w:t>完成。</w:t>
      </w:r>
    </w:p>
    <w:p w14:paraId="74DD46F6">
      <w:pPr>
        <w:spacing w:line="460" w:lineRule="exact"/>
        <w:ind w:firstLine="482"/>
        <w:rPr>
          <w:rFonts w:hint="eastAsia" w:ascii="宋体" w:hAnsi="宋体" w:cs="宋体"/>
          <w:b/>
          <w:color w:val="auto"/>
          <w:sz w:val="28"/>
          <w:szCs w:val="28"/>
          <w:highlight w:val="none"/>
        </w:rPr>
      </w:pPr>
      <w:r>
        <w:rPr>
          <w:rFonts w:hint="eastAsia" w:ascii="宋体" w:hAnsi="宋体" w:cs="宋体"/>
          <w:b/>
          <w:color w:val="auto"/>
          <w:sz w:val="28"/>
          <w:szCs w:val="28"/>
          <w:highlight w:val="none"/>
          <w:u w:val="single"/>
        </w:rPr>
        <w:t>1.2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color w:val="auto"/>
          <w:sz w:val="28"/>
          <w:szCs w:val="28"/>
          <w:highlight w:val="none"/>
        </w:rPr>
        <w:t>因</w:t>
      </w:r>
      <w:r>
        <w:rPr>
          <w:rFonts w:hint="eastAsia" w:ascii="宋体" w:hAnsi="宋体" w:cs="宋体"/>
          <w:b/>
          <w:color w:val="auto"/>
          <w:sz w:val="28"/>
          <w:szCs w:val="28"/>
          <w:highlight w:val="none"/>
          <w:lang w:eastAsia="zh-CN"/>
        </w:rPr>
        <w:t>采购人</w:t>
      </w:r>
      <w:r>
        <w:rPr>
          <w:rFonts w:hint="eastAsia" w:ascii="宋体" w:hAnsi="宋体" w:cs="宋体"/>
          <w:b/>
          <w:color w:val="auto"/>
          <w:sz w:val="28"/>
          <w:szCs w:val="28"/>
          <w:highlight w:val="none"/>
        </w:rPr>
        <w:t>（或</w:t>
      </w:r>
      <w:r>
        <w:rPr>
          <w:rFonts w:hint="eastAsia" w:ascii="宋体" w:hAnsi="宋体" w:cs="宋体"/>
          <w:b/>
          <w:color w:val="auto"/>
          <w:sz w:val="28"/>
          <w:szCs w:val="28"/>
          <w:highlight w:val="none"/>
          <w:lang w:eastAsia="zh-CN"/>
        </w:rPr>
        <w:t>采购代理</w:t>
      </w:r>
      <w:r>
        <w:rPr>
          <w:rFonts w:hint="eastAsia" w:ascii="宋体" w:hAnsi="宋体" w:cs="宋体"/>
          <w:b/>
          <w:color w:val="auto"/>
          <w:sz w:val="28"/>
          <w:szCs w:val="28"/>
          <w:highlight w:val="none"/>
        </w:rPr>
        <w:t>机构）原因或网上招投标平台发生故障，导致无法按时完成投标文件解密或开、评标工作无法进行的，可根据实际情况相应延迟解密时间或调整开、评标时间。</w:t>
      </w:r>
    </w:p>
    <w:p w14:paraId="5445F8C8">
      <w:pPr>
        <w:spacing w:line="460" w:lineRule="exact"/>
        <w:ind w:firstLine="480"/>
        <w:rPr>
          <w:rFonts w:hint="eastAsia" w:ascii="宋体" w:hAnsi="宋体" w:cs="宋体"/>
          <w:color w:val="auto"/>
          <w:sz w:val="28"/>
          <w:szCs w:val="28"/>
          <w:highlight w:val="none"/>
        </w:rPr>
      </w:pPr>
      <w:r>
        <w:rPr>
          <w:rFonts w:hint="eastAsia" w:ascii="宋体" w:hAnsi="宋体" w:cs="宋体"/>
          <w:bCs/>
          <w:color w:val="auto"/>
          <w:sz w:val="28"/>
          <w:szCs w:val="28"/>
          <w:highlight w:val="none"/>
        </w:rPr>
        <w:t>1.3</w:t>
      </w:r>
      <w:r>
        <w:rPr>
          <w:rFonts w:hint="eastAsia" w:ascii="宋体" w:hAnsi="宋体" w:cs="宋体"/>
          <w:color w:val="auto"/>
          <w:sz w:val="28"/>
          <w:szCs w:val="28"/>
          <w:highlight w:val="none"/>
        </w:rPr>
        <w:t>开标仪式由</w:t>
      </w:r>
      <w:r>
        <w:rPr>
          <w:rFonts w:hint="eastAsia" w:ascii="宋体" w:hAnsi="宋体" w:cs="宋体"/>
          <w:bCs/>
          <w:color w:val="auto"/>
          <w:sz w:val="28"/>
          <w:szCs w:val="28"/>
          <w:highlight w:val="none"/>
          <w:lang w:eastAsia="zh-CN"/>
        </w:rPr>
        <w:t>采购代理</w:t>
      </w:r>
      <w:r>
        <w:rPr>
          <w:rFonts w:hint="eastAsia" w:ascii="宋体" w:hAnsi="宋体" w:cs="宋体"/>
          <w:bCs/>
          <w:color w:val="auto"/>
          <w:sz w:val="28"/>
          <w:szCs w:val="28"/>
          <w:highlight w:val="none"/>
        </w:rPr>
        <w:t>机构</w:t>
      </w:r>
      <w:r>
        <w:rPr>
          <w:rFonts w:hint="eastAsia" w:ascii="宋体" w:hAnsi="宋体" w:cs="宋体"/>
          <w:color w:val="auto"/>
          <w:sz w:val="28"/>
          <w:szCs w:val="28"/>
          <w:highlight w:val="none"/>
        </w:rPr>
        <w:t>组织。苏采云系统将自动对项目进行开标，并宣布各投标人名称和投标价格。</w:t>
      </w:r>
    </w:p>
    <w:p w14:paraId="5982A503">
      <w:pPr>
        <w:spacing w:line="460" w:lineRule="exact"/>
        <w:ind w:firstLine="480"/>
        <w:rPr>
          <w:rFonts w:hint="eastAsia" w:ascii="宋体" w:hAnsi="宋体" w:cs="宋体"/>
          <w:color w:val="auto"/>
          <w:sz w:val="28"/>
          <w:szCs w:val="28"/>
          <w:highlight w:val="none"/>
        </w:rPr>
      </w:pPr>
      <w:r>
        <w:rPr>
          <w:rFonts w:hint="eastAsia" w:ascii="宋体" w:hAnsi="宋体" w:cs="宋体"/>
          <w:bCs/>
          <w:color w:val="auto"/>
          <w:sz w:val="28"/>
          <w:szCs w:val="28"/>
          <w:highlight w:val="none"/>
        </w:rPr>
        <w:t>1.4投标人在开标过程中涉及到的投标文件解密、开标结果确认等工作，应按照“苏采云”系统供应商操作手册规定执行。</w:t>
      </w:r>
    </w:p>
    <w:p w14:paraId="79389FB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1.5投标人如果对开标过程和开标记录有疑义，应当根据</w:t>
      </w:r>
      <w:r>
        <w:rPr>
          <w:rFonts w:hint="eastAsia" w:ascii="宋体" w:hAnsi="宋体" w:cs="宋体"/>
          <w:bCs/>
          <w:color w:val="auto"/>
          <w:sz w:val="28"/>
          <w:szCs w:val="28"/>
          <w:highlight w:val="none"/>
        </w:rPr>
        <w:t>“苏采云”系统供应商操作手册</w:t>
      </w:r>
      <w:r>
        <w:rPr>
          <w:rFonts w:hint="eastAsia" w:ascii="宋体" w:hAnsi="宋体" w:cs="宋体"/>
          <w:color w:val="auto"/>
          <w:sz w:val="28"/>
          <w:szCs w:val="28"/>
          <w:highlight w:val="none"/>
        </w:rPr>
        <w:t>规定提出，如苏采云系统中《开标记录表》宣布后5分钟内未提出的，视同认可开标结果。</w:t>
      </w:r>
      <w:bookmarkEnd w:id="116"/>
      <w:bookmarkEnd w:id="117"/>
      <w:bookmarkEnd w:id="118"/>
    </w:p>
    <w:p w14:paraId="279BB812">
      <w:pPr>
        <w:spacing w:line="460" w:lineRule="exact"/>
        <w:ind w:firstLine="480"/>
        <w:outlineLvl w:val="2"/>
        <w:rPr>
          <w:rFonts w:hint="eastAsia" w:ascii="宋体" w:hAnsi="宋体" w:cs="宋体"/>
          <w:bCs/>
          <w:color w:val="auto"/>
          <w:sz w:val="28"/>
          <w:szCs w:val="28"/>
          <w:highlight w:val="none"/>
        </w:rPr>
      </w:pPr>
      <w:bookmarkStart w:id="119" w:name="_Toc27677"/>
      <w:r>
        <w:rPr>
          <w:rFonts w:hint="eastAsia" w:ascii="宋体" w:hAnsi="宋体" w:cs="宋体"/>
          <w:bCs/>
          <w:color w:val="auto"/>
          <w:sz w:val="28"/>
          <w:szCs w:val="28"/>
          <w:highlight w:val="none"/>
        </w:rPr>
        <w:t>2.评标委员会</w:t>
      </w:r>
      <w:bookmarkEnd w:id="119"/>
    </w:p>
    <w:p w14:paraId="1491231E">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2.1开标后，</w:t>
      </w:r>
      <w:r>
        <w:rPr>
          <w:rFonts w:hint="eastAsia" w:ascii="宋体" w:hAnsi="宋体" w:cs="宋体"/>
          <w:bCs/>
          <w:color w:val="auto"/>
          <w:sz w:val="28"/>
          <w:szCs w:val="28"/>
          <w:highlight w:val="none"/>
          <w:lang w:eastAsia="zh-CN"/>
        </w:rPr>
        <w:t>采购代理</w:t>
      </w:r>
      <w:r>
        <w:rPr>
          <w:rFonts w:hint="eastAsia" w:ascii="宋体" w:hAnsi="宋体" w:cs="宋体"/>
          <w:bCs/>
          <w:color w:val="auto"/>
          <w:sz w:val="28"/>
          <w:szCs w:val="28"/>
          <w:highlight w:val="none"/>
        </w:rPr>
        <w:t>机构将立即组织评标委员会（以下简称评委会）进行评审。</w:t>
      </w:r>
    </w:p>
    <w:p w14:paraId="74426817">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2.2评委会由</w:t>
      </w:r>
      <w:r>
        <w:rPr>
          <w:rFonts w:hint="eastAsia" w:ascii="宋体" w:hAnsi="宋体" w:cs="宋体"/>
          <w:bCs/>
          <w:color w:val="auto"/>
          <w:sz w:val="28"/>
          <w:szCs w:val="28"/>
          <w:highlight w:val="none"/>
          <w:lang w:eastAsia="zh-CN"/>
        </w:rPr>
        <w:t>采购人</w:t>
      </w:r>
      <w:r>
        <w:rPr>
          <w:rFonts w:hint="eastAsia" w:ascii="宋体" w:hAnsi="宋体" w:cs="宋体"/>
          <w:bCs/>
          <w:color w:val="auto"/>
          <w:sz w:val="28"/>
          <w:szCs w:val="28"/>
          <w:highlight w:val="none"/>
        </w:rPr>
        <w:t>代表和有关技术、经济等方面的专家组成，且人员构成符合政府采购有关规定。</w:t>
      </w:r>
    </w:p>
    <w:p w14:paraId="5DA87949">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2.3评标委员会独立工作，负责评审所有投标文件并确定中标候选人。</w:t>
      </w:r>
    </w:p>
    <w:p w14:paraId="7F6D5ADA">
      <w:pPr>
        <w:spacing w:line="460" w:lineRule="exact"/>
        <w:ind w:firstLine="480"/>
        <w:outlineLvl w:val="2"/>
        <w:rPr>
          <w:rFonts w:hint="eastAsia" w:ascii="宋体" w:hAnsi="宋体" w:cs="宋体"/>
          <w:bCs/>
          <w:color w:val="auto"/>
          <w:sz w:val="28"/>
          <w:szCs w:val="28"/>
          <w:highlight w:val="none"/>
        </w:rPr>
      </w:pPr>
      <w:bookmarkStart w:id="120" w:name="_Toc10859"/>
      <w:r>
        <w:rPr>
          <w:rFonts w:hint="eastAsia" w:ascii="宋体" w:hAnsi="宋体" w:cs="宋体"/>
          <w:bCs/>
          <w:color w:val="auto"/>
          <w:sz w:val="28"/>
          <w:szCs w:val="28"/>
          <w:highlight w:val="none"/>
        </w:rPr>
        <w:t>3.评审过程的保密与公正</w:t>
      </w:r>
      <w:bookmarkEnd w:id="120"/>
    </w:p>
    <w:p w14:paraId="53B79FED">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3.1评标委员会、</w:t>
      </w:r>
      <w:r>
        <w:rPr>
          <w:rFonts w:hint="eastAsia" w:ascii="宋体" w:hAnsi="宋体" w:cs="宋体"/>
          <w:bCs/>
          <w:color w:val="auto"/>
          <w:sz w:val="28"/>
          <w:szCs w:val="28"/>
          <w:highlight w:val="none"/>
          <w:lang w:eastAsia="zh-CN"/>
        </w:rPr>
        <w:t>采购人</w:t>
      </w:r>
      <w:r>
        <w:rPr>
          <w:rFonts w:hint="eastAsia" w:ascii="宋体" w:hAnsi="宋体" w:cs="宋体"/>
          <w:bCs/>
          <w:color w:val="auto"/>
          <w:sz w:val="28"/>
          <w:szCs w:val="28"/>
          <w:highlight w:val="none"/>
        </w:rPr>
        <w:t>或</w:t>
      </w:r>
      <w:r>
        <w:rPr>
          <w:rFonts w:hint="eastAsia" w:ascii="宋体" w:hAnsi="宋体" w:cs="宋体"/>
          <w:bCs/>
          <w:color w:val="auto"/>
          <w:sz w:val="28"/>
          <w:szCs w:val="28"/>
          <w:highlight w:val="none"/>
          <w:lang w:eastAsia="zh-CN"/>
        </w:rPr>
        <w:t>采购代理</w:t>
      </w:r>
      <w:r>
        <w:rPr>
          <w:rFonts w:hint="eastAsia" w:ascii="宋体" w:hAnsi="宋体" w:cs="宋体"/>
          <w:bCs/>
          <w:color w:val="auto"/>
          <w:sz w:val="28"/>
          <w:szCs w:val="28"/>
          <w:highlight w:val="none"/>
        </w:rPr>
        <w:t>机构、相关监督人员等与评审工作有关的人员，对评审情况以及在评审过程中获悉的国家秘密、商业秘密负有保密责任。</w:t>
      </w:r>
    </w:p>
    <w:p w14:paraId="1203BDFD">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3.2在评审过程中，投标人不得以任何行为影响评审过程，否则其投标文件将被作为无效投标文件。</w:t>
      </w:r>
    </w:p>
    <w:p w14:paraId="09E30B3A">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3.3评标委员会成员应当按照客观、公正、审慎的原则，根据招标文件规定的评审程序、评审方法和评审标准进行独立评审。未实质性响应招标文件的投标文件按无效投标处理，评标委员会应当告知提交投标文件的投标人。</w:t>
      </w:r>
    </w:p>
    <w:p w14:paraId="410CB73F">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3.4凡是与审查、澄清、评价和比较投标的有关资料以及授标建议等，</w:t>
      </w:r>
      <w:r>
        <w:rPr>
          <w:rFonts w:hint="eastAsia" w:ascii="宋体" w:hAnsi="宋体" w:cs="宋体"/>
          <w:bCs/>
          <w:color w:val="auto"/>
          <w:sz w:val="28"/>
          <w:szCs w:val="28"/>
          <w:highlight w:val="none"/>
          <w:lang w:eastAsia="zh-CN"/>
        </w:rPr>
        <w:t>采购人</w:t>
      </w:r>
      <w:r>
        <w:rPr>
          <w:rFonts w:hint="eastAsia" w:ascii="宋体" w:hAnsi="宋体" w:cs="宋体"/>
          <w:bCs/>
          <w:color w:val="auto"/>
          <w:sz w:val="28"/>
          <w:szCs w:val="28"/>
          <w:highlight w:val="none"/>
        </w:rPr>
        <w:t>、评标委员会、</w:t>
      </w:r>
      <w:r>
        <w:rPr>
          <w:rFonts w:hint="eastAsia" w:ascii="宋体" w:hAnsi="宋体" w:cs="宋体"/>
          <w:bCs/>
          <w:color w:val="auto"/>
          <w:sz w:val="28"/>
          <w:szCs w:val="28"/>
          <w:highlight w:val="none"/>
          <w:lang w:eastAsia="zh-CN"/>
        </w:rPr>
        <w:t>采购代理</w:t>
      </w:r>
      <w:r>
        <w:rPr>
          <w:rFonts w:hint="eastAsia" w:ascii="宋体" w:hAnsi="宋体" w:cs="宋体"/>
          <w:bCs/>
          <w:color w:val="auto"/>
          <w:sz w:val="28"/>
          <w:szCs w:val="28"/>
          <w:highlight w:val="none"/>
        </w:rPr>
        <w:t>机构均不得向投标人或与评标无关的其他人员透露。</w:t>
      </w:r>
    </w:p>
    <w:p w14:paraId="30B45B64">
      <w:pPr>
        <w:spacing w:line="460" w:lineRule="exact"/>
        <w:ind w:firstLine="480"/>
        <w:outlineLvl w:val="3"/>
        <w:rPr>
          <w:rFonts w:hint="eastAsia" w:ascii="宋体" w:hAnsi="宋体" w:cs="宋体"/>
          <w:bCs/>
          <w:color w:val="auto"/>
          <w:sz w:val="28"/>
          <w:szCs w:val="28"/>
          <w:highlight w:val="none"/>
        </w:rPr>
      </w:pPr>
      <w:r>
        <w:rPr>
          <w:rFonts w:hint="eastAsia" w:ascii="宋体" w:hAnsi="宋体" w:cs="宋体"/>
          <w:bCs/>
          <w:color w:val="auto"/>
          <w:sz w:val="28"/>
          <w:szCs w:val="28"/>
          <w:highlight w:val="none"/>
        </w:rPr>
        <w:t>3.5在评审期间，</w:t>
      </w:r>
      <w:r>
        <w:rPr>
          <w:rFonts w:hint="eastAsia" w:ascii="宋体" w:hAnsi="宋体" w:cs="宋体"/>
          <w:bCs/>
          <w:color w:val="auto"/>
          <w:sz w:val="28"/>
          <w:szCs w:val="28"/>
          <w:highlight w:val="none"/>
          <w:lang w:eastAsia="zh-CN"/>
        </w:rPr>
        <w:t>采购代理</w:t>
      </w:r>
      <w:r>
        <w:rPr>
          <w:rFonts w:hint="eastAsia" w:ascii="宋体" w:hAnsi="宋体" w:cs="宋体"/>
          <w:bCs/>
          <w:color w:val="auto"/>
          <w:sz w:val="28"/>
          <w:szCs w:val="28"/>
          <w:highlight w:val="none"/>
        </w:rPr>
        <w:t>机构将设专门人员与投标人联系。</w:t>
      </w:r>
    </w:p>
    <w:p w14:paraId="5205C16A">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3.6</w:t>
      </w:r>
      <w:r>
        <w:rPr>
          <w:rFonts w:hint="eastAsia" w:ascii="宋体" w:hAnsi="宋体" w:cs="宋体"/>
          <w:bCs/>
          <w:color w:val="auto"/>
          <w:sz w:val="28"/>
          <w:szCs w:val="28"/>
          <w:highlight w:val="none"/>
          <w:lang w:eastAsia="zh-CN"/>
        </w:rPr>
        <w:t>采购人</w:t>
      </w:r>
      <w:r>
        <w:rPr>
          <w:rFonts w:hint="eastAsia" w:ascii="宋体" w:hAnsi="宋体" w:cs="宋体"/>
          <w:bCs/>
          <w:color w:val="auto"/>
          <w:sz w:val="28"/>
          <w:szCs w:val="28"/>
          <w:highlight w:val="none"/>
        </w:rPr>
        <w:t>、</w:t>
      </w:r>
      <w:r>
        <w:rPr>
          <w:rFonts w:hint="eastAsia" w:ascii="宋体" w:hAnsi="宋体" w:cs="宋体"/>
          <w:bCs/>
          <w:color w:val="auto"/>
          <w:sz w:val="28"/>
          <w:szCs w:val="28"/>
          <w:highlight w:val="none"/>
          <w:lang w:eastAsia="zh-CN"/>
        </w:rPr>
        <w:t>采购代理</w:t>
      </w:r>
      <w:r>
        <w:rPr>
          <w:rFonts w:hint="eastAsia" w:ascii="宋体" w:hAnsi="宋体" w:cs="宋体"/>
          <w:bCs/>
          <w:color w:val="auto"/>
          <w:sz w:val="28"/>
          <w:szCs w:val="28"/>
          <w:highlight w:val="none"/>
        </w:rPr>
        <w:t>机构和评标委员会不向未中标的投标人解释未中标原因，也不公布评审过程中的相关细节。</w:t>
      </w:r>
    </w:p>
    <w:p w14:paraId="0C00F518">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3.7 采用综合评分法的项目，未中标的投标人可于中标结果公告期限届满之日起通过苏采云系统查看自己的评审得分及排序情况。</w:t>
      </w:r>
    </w:p>
    <w:p w14:paraId="58D782E2">
      <w:pPr>
        <w:spacing w:line="460" w:lineRule="exact"/>
        <w:ind w:firstLine="480"/>
        <w:outlineLvl w:val="2"/>
        <w:rPr>
          <w:rFonts w:hint="eastAsia" w:ascii="宋体" w:hAnsi="宋体" w:cs="宋体"/>
          <w:bCs/>
          <w:color w:val="auto"/>
          <w:sz w:val="28"/>
          <w:szCs w:val="28"/>
          <w:highlight w:val="none"/>
        </w:rPr>
      </w:pPr>
      <w:bookmarkStart w:id="121" w:name="_Toc30673"/>
      <w:r>
        <w:rPr>
          <w:rFonts w:hint="eastAsia" w:ascii="宋体" w:hAnsi="宋体" w:cs="宋体"/>
          <w:bCs/>
          <w:color w:val="auto"/>
          <w:sz w:val="28"/>
          <w:szCs w:val="28"/>
          <w:highlight w:val="none"/>
        </w:rPr>
        <w:t>4.投标文件的澄清</w:t>
      </w:r>
      <w:bookmarkEnd w:id="121"/>
    </w:p>
    <w:p w14:paraId="60328DCB">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p>
    <w:p w14:paraId="62271286">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p>
    <w:p w14:paraId="5CC43EDD">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4.3 接到评标委员会澄清、说明和更正要求的投标人如未按规定做出澄清、说明和更正，其风险由投标人自行承担。</w:t>
      </w:r>
    </w:p>
    <w:p w14:paraId="50DC58C9">
      <w:pPr>
        <w:spacing w:line="460" w:lineRule="exact"/>
        <w:ind w:firstLine="480"/>
        <w:outlineLvl w:val="2"/>
        <w:rPr>
          <w:rFonts w:hint="eastAsia" w:ascii="宋体" w:hAnsi="宋体" w:cs="宋体"/>
          <w:bCs/>
          <w:color w:val="auto"/>
          <w:sz w:val="28"/>
          <w:szCs w:val="28"/>
          <w:highlight w:val="none"/>
        </w:rPr>
      </w:pPr>
      <w:bookmarkStart w:id="122" w:name="_Toc3995"/>
      <w:r>
        <w:rPr>
          <w:rFonts w:hint="eastAsia" w:ascii="宋体" w:hAnsi="宋体" w:cs="宋体"/>
          <w:bCs/>
          <w:color w:val="auto"/>
          <w:sz w:val="28"/>
          <w:szCs w:val="28"/>
          <w:highlight w:val="none"/>
        </w:rPr>
        <w:t>5.对投标文件的审查</w:t>
      </w:r>
      <w:bookmarkEnd w:id="122"/>
    </w:p>
    <w:p w14:paraId="5AD44EBF">
      <w:pPr>
        <w:spacing w:line="460" w:lineRule="exact"/>
        <w:ind w:firstLine="480"/>
        <w:outlineLvl w:val="3"/>
        <w:rPr>
          <w:rFonts w:hint="eastAsia" w:ascii="宋体" w:hAnsi="宋体" w:cs="宋体"/>
          <w:bCs/>
          <w:color w:val="auto"/>
          <w:sz w:val="28"/>
          <w:szCs w:val="28"/>
          <w:highlight w:val="none"/>
        </w:rPr>
      </w:pPr>
      <w:r>
        <w:rPr>
          <w:rFonts w:hint="eastAsia" w:ascii="宋体" w:hAnsi="宋体" w:cs="宋体"/>
          <w:bCs/>
          <w:color w:val="auto"/>
          <w:sz w:val="28"/>
          <w:szCs w:val="28"/>
          <w:highlight w:val="none"/>
        </w:rPr>
        <w:t>5.1投标文件初审分为资格性审查和符合性审查。</w:t>
      </w:r>
    </w:p>
    <w:p w14:paraId="07CA6858">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5.1.1资格性检查：依据法律法规和招标文件的规定，由</w:t>
      </w:r>
      <w:r>
        <w:rPr>
          <w:rFonts w:hint="eastAsia" w:ascii="宋体" w:hAnsi="宋体" w:cs="宋体"/>
          <w:bCs/>
          <w:color w:val="auto"/>
          <w:sz w:val="28"/>
          <w:szCs w:val="28"/>
          <w:highlight w:val="none"/>
          <w:lang w:eastAsia="zh-CN"/>
        </w:rPr>
        <w:t>采购人</w:t>
      </w:r>
      <w:r>
        <w:rPr>
          <w:rFonts w:hint="eastAsia" w:ascii="宋体" w:hAnsi="宋体" w:cs="宋体"/>
          <w:bCs/>
          <w:color w:val="auto"/>
          <w:sz w:val="28"/>
          <w:szCs w:val="28"/>
          <w:highlight w:val="none"/>
        </w:rPr>
        <w:t>对投标文件中的资格证明文件进行审查。资格审查的结论，</w:t>
      </w:r>
      <w:r>
        <w:rPr>
          <w:rFonts w:hint="eastAsia" w:ascii="宋体" w:hAnsi="宋体" w:cs="宋体"/>
          <w:bCs/>
          <w:color w:val="auto"/>
          <w:sz w:val="28"/>
          <w:szCs w:val="28"/>
          <w:highlight w:val="none"/>
          <w:lang w:eastAsia="zh-CN"/>
        </w:rPr>
        <w:t>采购人</w:t>
      </w:r>
      <w:r>
        <w:rPr>
          <w:rFonts w:hint="eastAsia" w:ascii="宋体" w:hAnsi="宋体" w:cs="宋体"/>
          <w:bCs/>
          <w:color w:val="auto"/>
          <w:sz w:val="28"/>
          <w:szCs w:val="28"/>
          <w:highlight w:val="none"/>
        </w:rPr>
        <w:t>以书面形式向评委会进行反馈。</w:t>
      </w:r>
    </w:p>
    <w:p w14:paraId="7FCAB916">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5.1.2</w:t>
      </w:r>
      <w:r>
        <w:rPr>
          <w:rFonts w:hint="eastAsia" w:ascii="宋体" w:hAnsi="宋体" w:cs="宋体"/>
          <w:bCs/>
          <w:color w:val="auto"/>
          <w:sz w:val="28"/>
          <w:szCs w:val="28"/>
          <w:highlight w:val="none"/>
          <w:lang w:eastAsia="zh-CN"/>
        </w:rPr>
        <w:t>采购人</w:t>
      </w:r>
      <w:r>
        <w:rPr>
          <w:rFonts w:hint="eastAsia" w:ascii="宋体" w:hAnsi="宋体" w:cs="宋体"/>
          <w:bCs/>
          <w:color w:val="auto"/>
          <w:sz w:val="28"/>
          <w:szCs w:val="28"/>
          <w:highlight w:val="none"/>
        </w:rPr>
        <w:t>在进行资格性审查的同时，将在“信用中国”网站（www.creditchina.gov.cn）查询投标人的信用记录，以确定投标人是否具备投标资格,查询结果留存并归档。</w:t>
      </w:r>
    </w:p>
    <w:p w14:paraId="46550676">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5.1.3接受联合体的项目，两个以上的自然人、法人或者其他组织组成一个联合体，以一个投标人的身份共同参加政府采购活动的,联合体成员中任何一方存在不良信用记录的，视同联合体存在不良信用记录。</w:t>
      </w:r>
    </w:p>
    <w:p w14:paraId="7F7A1FEE">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5.1.4符合性审查：依据招标文件的规定，由评标委员会从投标文件的有效性、完整性和对招标文件的响应程度进行审查，以确定是否对招标文件的实质性要求作出响应。</w:t>
      </w:r>
    </w:p>
    <w:p w14:paraId="783E05AE">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5.1.5未通过资格审查或符合性审查的投标人，</w:t>
      </w:r>
      <w:r>
        <w:rPr>
          <w:rFonts w:hint="eastAsia" w:ascii="宋体" w:hAnsi="宋体" w:cs="宋体"/>
          <w:bCs/>
          <w:color w:val="auto"/>
          <w:sz w:val="28"/>
          <w:szCs w:val="28"/>
          <w:highlight w:val="none"/>
          <w:lang w:eastAsia="zh-CN"/>
        </w:rPr>
        <w:t>采购代理</w:t>
      </w:r>
      <w:r>
        <w:rPr>
          <w:rFonts w:hint="eastAsia" w:ascii="宋体" w:hAnsi="宋体" w:cs="宋体"/>
          <w:bCs/>
          <w:color w:val="auto"/>
          <w:sz w:val="28"/>
          <w:szCs w:val="28"/>
          <w:highlight w:val="none"/>
        </w:rPr>
        <w:t>机构将在苏采云系统中告知未通过资格审查或符合性审查的原因，评审结束后，</w:t>
      </w:r>
      <w:r>
        <w:rPr>
          <w:rFonts w:hint="eastAsia" w:ascii="宋体" w:hAnsi="宋体" w:cs="宋体"/>
          <w:bCs/>
          <w:color w:val="auto"/>
          <w:sz w:val="28"/>
          <w:szCs w:val="28"/>
          <w:highlight w:val="none"/>
          <w:lang w:eastAsia="zh-CN"/>
        </w:rPr>
        <w:t>采购代理</w:t>
      </w:r>
      <w:r>
        <w:rPr>
          <w:rFonts w:hint="eastAsia" w:ascii="宋体" w:hAnsi="宋体" w:cs="宋体"/>
          <w:bCs/>
          <w:color w:val="auto"/>
          <w:sz w:val="28"/>
          <w:szCs w:val="28"/>
          <w:highlight w:val="none"/>
        </w:rPr>
        <w:t>机构将不再告知未通过资格审查或符合性审查的原因。</w:t>
      </w:r>
    </w:p>
    <w:p w14:paraId="780157B7">
      <w:pPr>
        <w:spacing w:line="50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5.2异常低价审查</w:t>
      </w:r>
    </w:p>
    <w:p w14:paraId="7AA036FB">
      <w:pPr>
        <w:spacing w:line="50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（1）政府采购评审中出现下列情形之一的，评审委员会应当启动异常低价投标（响应）审查程序</w:t>
      </w:r>
      <w:r>
        <w:rPr>
          <w:rFonts w:hint="eastAsia" w:ascii="宋体" w:hAnsi="宋体" w:cs="宋体"/>
          <w:bCs/>
          <w:color w:val="auto"/>
          <w:sz w:val="28"/>
          <w:szCs w:val="28"/>
          <w:highlight w:val="none"/>
          <w:lang w:eastAsia="zh-CN"/>
        </w:rPr>
        <w:t>（</w:t>
      </w:r>
      <w:r>
        <w:rPr>
          <w:rFonts w:hint="eastAsia" w:ascii="宋体" w:hAnsi="宋体" w:cs="宋体"/>
          <w:bCs/>
          <w:color w:val="auto"/>
          <w:sz w:val="28"/>
          <w:szCs w:val="28"/>
          <w:highlight w:val="none"/>
        </w:rPr>
        <w:t>本条所指报价均为投标人原始总报价，不包含中小企业、本国产品价格扣除后的评审价</w:t>
      </w:r>
      <w:r>
        <w:rPr>
          <w:rFonts w:hint="eastAsia" w:ascii="宋体" w:hAnsi="宋体" w:cs="宋体"/>
          <w:bCs/>
          <w:color w:val="auto"/>
          <w:sz w:val="28"/>
          <w:szCs w:val="28"/>
          <w:highlight w:val="none"/>
          <w:lang w:eastAsia="zh-CN"/>
        </w:rPr>
        <w:t>）</w:t>
      </w:r>
      <w:r>
        <w:rPr>
          <w:rFonts w:hint="eastAsia" w:ascii="宋体" w:hAnsi="宋体" w:cs="宋体"/>
          <w:bCs/>
          <w:color w:val="auto"/>
          <w:sz w:val="28"/>
          <w:szCs w:val="28"/>
          <w:highlight w:val="none"/>
        </w:rPr>
        <w:t>：</w:t>
      </w:r>
    </w:p>
    <w:p w14:paraId="2016A6F5">
      <w:pPr>
        <w:spacing w:line="50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①投标（响应）报价低于全部通过符合性审查供应商投标（响应）报价平均值50%的，即投标（响应）报价&lt;全部通过符合性审查供应商投标（响应）报价平均值×50%； </w:t>
      </w:r>
    </w:p>
    <w:p w14:paraId="7735FAA1">
      <w:pPr>
        <w:spacing w:line="50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②投标（响应）报价低于通过符合性审查的次低报价供应商投标（响应）报价50%的，即投标（响应）报价&lt;通过符合性审查的次低报价供应商投标（响应）报价×50%； </w:t>
      </w:r>
    </w:p>
    <w:p w14:paraId="7EEB5B96">
      <w:pPr>
        <w:spacing w:line="50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③投标（响应）报价低于采购项目最高限价45%的，即投标（响应）报价&lt;采购项目最高限价×45%； </w:t>
      </w:r>
    </w:p>
    <w:p w14:paraId="149B2281">
      <w:pPr>
        <w:spacing w:line="50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④评审委员会基于专业判断，认为供应商报价过低，有可能影响产品质量或者不能诚信履约的其他情形。 </w:t>
      </w:r>
    </w:p>
    <w:p w14:paraId="5CFA8AC2">
      <w:pPr>
        <w:spacing w:line="50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2）评审委员会启动异常低价投标(响应)审查后，属于上述情形的，应当要求相关供应商在评审现场30分钟内对投标（响应）价格作出解释，提供项目具体成本测算等与报价合理性相关的书面说明及必要的证明材料，包括但不限于原材料成本、人工成本、制造费用等。其中，属于第③项情形，投标人已随投标（响应）文件一并提交相关书面说明及必要的证明材料的，在评审现场可不再重复提交。</w:t>
      </w:r>
    </w:p>
    <w:p w14:paraId="2401E32A">
      <w:pPr>
        <w:spacing w:line="50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4946183">
      <w:pPr>
        <w:spacing w:line="50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4）采购人、采购代理机构应当为评审小组在评审现场及时获取同类项目中标（中标）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p>
    <w:p w14:paraId="5775BC27">
      <w:pPr>
        <w:spacing w:line="50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（5）异常低价投标审查的启动原因、审查意见和审查结果应当在评审报告中记录，并随供应商提供的相关书面说明及证明材料，以及评审小组有关互联网浏览、查询历史一并归档。</w:t>
      </w:r>
    </w:p>
    <w:p w14:paraId="484ED411">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5.3在详细评审之前，评标委员会将首先审查每份投标文件是否实质性响应了招标文件的要求。实质性响应的投标文件应该是与招标文件要求的全部条款、条件和规格相符，没有重大负偏离或保留。</w:t>
      </w:r>
    </w:p>
    <w:p w14:paraId="1095386C">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p>
    <w:p w14:paraId="7EB0AAE2">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5.4如果投标文件实质上没有响应招标文件的要求，评标委员会将予以拒绝，投标人不得通过修改或撤销不合要求的偏离或保留而使其投标文件成为实质性响应的文件。</w:t>
      </w:r>
    </w:p>
    <w:p w14:paraId="7ACF5C8F">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5.5评标委员会将对确定为实质性响应的文件进行进一步审核，看其是否有计算上或累加上的算术错误，修正错误的原则如下：</w:t>
      </w:r>
    </w:p>
    <w:p w14:paraId="0AF09A9E">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（1）投标文件中开标一览表内容与投标文件中相应内容不一致的，以开标一览表为准。</w:t>
      </w:r>
    </w:p>
    <w:p w14:paraId="175B808F">
      <w:pPr>
        <w:spacing w:line="460" w:lineRule="exact"/>
        <w:ind w:firstLine="480"/>
        <w:outlineLvl w:val="4"/>
        <w:rPr>
          <w:rFonts w:hint="eastAsia" w:ascii="宋体" w:hAnsi="宋体" w:cs="宋体"/>
          <w:bCs/>
          <w:color w:val="auto"/>
          <w:sz w:val="28"/>
          <w:szCs w:val="28"/>
          <w:highlight w:val="none"/>
        </w:rPr>
      </w:pPr>
      <w:r>
        <w:rPr>
          <w:rFonts w:hint="eastAsia" w:ascii="宋体" w:hAnsi="宋体" w:cs="宋体"/>
          <w:bCs/>
          <w:color w:val="auto"/>
          <w:sz w:val="28"/>
          <w:szCs w:val="28"/>
          <w:highlight w:val="none"/>
        </w:rPr>
        <w:t>（2）大写金额和小写金额不一致的，以大写金额为准。</w:t>
      </w:r>
    </w:p>
    <w:p w14:paraId="3D18DFCE">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（3）单价金额小数点或者百分比有明显错位的，以开标一览表的总价为准，并修改单价。</w:t>
      </w:r>
    </w:p>
    <w:p w14:paraId="05A3ED53">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（4）总价金额与按单价汇总金额不一致的，以单价金额计算结果为准。</w:t>
      </w:r>
    </w:p>
    <w:p w14:paraId="14EB1372">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同时出现两种以上错误的，按照前款规定的顺序修正。</w:t>
      </w:r>
    </w:p>
    <w:p w14:paraId="7098DF84">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5.6评标委员会将按上述修正错误的方法调整投标文件中的报价，通过“苏采云系统”告知投标人，调整后的价格应对投标人具有约束力。如果投标人不接受修正后的价格，则其投标文件将被拒绝。</w:t>
      </w:r>
    </w:p>
    <w:p w14:paraId="1C88A629">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5.7评标委员会将允许修正投标文件中不构成重大偏离的、微小的、非正规的、不一致的或不规则的地方，但这些修改不能影响任何投标人相应的名次排列。</w:t>
      </w:r>
    </w:p>
    <w:p w14:paraId="413C8406">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5.8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2AF53757">
      <w:pPr>
        <w:spacing w:line="460" w:lineRule="exact"/>
        <w:ind w:firstLine="480"/>
        <w:rPr>
          <w:rFonts w:hint="eastAsia" w:ascii="宋体" w:hAnsi="宋体" w:cs="宋体"/>
          <w:b/>
          <w:color w:val="auto"/>
          <w:sz w:val="28"/>
          <w:szCs w:val="28"/>
          <w:highlight w:val="none"/>
        </w:rPr>
      </w:pPr>
      <w:r>
        <w:rPr>
          <w:rFonts w:hint="eastAsia" w:ascii="宋体" w:hAnsi="宋体" w:cs="宋体"/>
          <w:b/>
          <w:color w:val="auto"/>
          <w:sz w:val="28"/>
          <w:szCs w:val="28"/>
          <w:highlight w:val="none"/>
        </w:rPr>
        <w:t>5.9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4D384AF5">
      <w:pPr>
        <w:spacing w:line="460" w:lineRule="exact"/>
        <w:ind w:firstLine="480"/>
        <w:rPr>
          <w:rFonts w:hint="eastAsia" w:ascii="宋体" w:hAnsi="宋体" w:cs="宋体"/>
          <w:b/>
          <w:color w:val="auto"/>
          <w:sz w:val="28"/>
          <w:szCs w:val="28"/>
          <w:highlight w:val="none"/>
        </w:rPr>
      </w:pPr>
      <w:r>
        <w:rPr>
          <w:rFonts w:hint="eastAsia" w:ascii="宋体" w:hAnsi="宋体" w:cs="宋体"/>
          <w:b/>
          <w:color w:val="auto"/>
          <w:sz w:val="28"/>
          <w:szCs w:val="28"/>
          <w:highlight w:val="none"/>
        </w:rPr>
        <w:t>5.10非单一产品采购项目，招标文件中将载明其中的核心产品。多家投标人提供的核心产品品牌相同的，按前两款规定处理。</w:t>
      </w:r>
    </w:p>
    <w:p w14:paraId="43A9EBBA">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5.11 投标人在开、评标全过程中应保持通讯畅通，及时登录苏采云系统查阅、答复相关信息，并安排专人与</w:t>
      </w:r>
      <w:r>
        <w:rPr>
          <w:rFonts w:hint="eastAsia" w:ascii="宋体" w:hAnsi="宋体" w:cs="宋体"/>
          <w:bCs/>
          <w:color w:val="auto"/>
          <w:sz w:val="28"/>
          <w:szCs w:val="28"/>
          <w:highlight w:val="none"/>
          <w:lang w:eastAsia="zh-CN"/>
        </w:rPr>
        <w:t>采购人</w:t>
      </w:r>
      <w:r>
        <w:rPr>
          <w:rFonts w:hint="eastAsia" w:ascii="宋体" w:hAnsi="宋体" w:cs="宋体"/>
          <w:bCs/>
          <w:color w:val="auto"/>
          <w:sz w:val="28"/>
          <w:szCs w:val="28"/>
          <w:highlight w:val="none"/>
        </w:rPr>
        <w:t>或</w:t>
      </w:r>
      <w:r>
        <w:rPr>
          <w:rFonts w:hint="eastAsia" w:ascii="宋体" w:hAnsi="宋体" w:cs="宋体"/>
          <w:bCs/>
          <w:color w:val="auto"/>
          <w:sz w:val="28"/>
          <w:szCs w:val="28"/>
          <w:highlight w:val="none"/>
          <w:lang w:eastAsia="zh-CN"/>
        </w:rPr>
        <w:t>采购代理</w:t>
      </w:r>
      <w:r>
        <w:rPr>
          <w:rFonts w:hint="eastAsia" w:ascii="宋体" w:hAnsi="宋体" w:cs="宋体"/>
          <w:bCs/>
          <w:color w:val="auto"/>
          <w:sz w:val="28"/>
          <w:szCs w:val="28"/>
          <w:highlight w:val="none"/>
        </w:rPr>
        <w:t>机构及评标委员会联系。</w:t>
      </w:r>
    </w:p>
    <w:p w14:paraId="08CC122B">
      <w:pPr>
        <w:spacing w:line="460" w:lineRule="exact"/>
        <w:ind w:firstLine="480"/>
        <w:outlineLvl w:val="2"/>
        <w:rPr>
          <w:rFonts w:hint="eastAsia" w:ascii="宋体" w:hAnsi="宋体" w:cs="宋体"/>
          <w:bCs/>
          <w:color w:val="auto"/>
          <w:sz w:val="28"/>
          <w:szCs w:val="28"/>
          <w:highlight w:val="none"/>
        </w:rPr>
      </w:pPr>
      <w:bookmarkStart w:id="123" w:name="_Toc15738"/>
      <w:r>
        <w:rPr>
          <w:rFonts w:hint="eastAsia" w:ascii="宋体" w:hAnsi="宋体" w:cs="宋体"/>
          <w:bCs/>
          <w:color w:val="auto"/>
          <w:sz w:val="28"/>
          <w:szCs w:val="28"/>
          <w:highlight w:val="none"/>
        </w:rPr>
        <w:t>6.投标文件线上格式要求</w:t>
      </w:r>
      <w:bookmarkEnd w:id="123"/>
    </w:p>
    <w:p w14:paraId="14805B09">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6.1投标人应当通过“苏采云”系统提交数据电文形式的投标文件（即电子投标）。</w:t>
      </w:r>
    </w:p>
    <w:p w14:paraId="667F5311">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 通过“苏采云”系统提交政府采购客户端工具导出加密的投标文件（后缀名为zip）。投标文件不得超过150M！</w:t>
      </w:r>
    </w:p>
    <w:p w14:paraId="0300E35D">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6.3本项目采用线上投标，即投标人投标文件从政府采购客户端工具制作通过“苏采云”系统提交，未提供线上投标文件的，投标无效。</w:t>
      </w:r>
    </w:p>
    <w:p w14:paraId="16354175">
      <w:pPr>
        <w:spacing w:line="460" w:lineRule="exact"/>
        <w:ind w:firstLine="560"/>
        <w:outlineLvl w:val="2"/>
        <w:rPr>
          <w:rFonts w:hint="eastAsia" w:ascii="宋体" w:hAnsi="宋体" w:cs="宋体"/>
          <w:b/>
          <w:bCs/>
          <w:color w:val="auto"/>
          <w:sz w:val="28"/>
          <w:szCs w:val="28"/>
          <w:highlight w:val="none"/>
        </w:rPr>
      </w:pPr>
      <w:bookmarkStart w:id="124" w:name="_Toc13461"/>
      <w:r>
        <w:rPr>
          <w:rFonts w:hint="eastAsia" w:ascii="宋体" w:hAnsi="宋体" w:cs="宋体"/>
          <w:color w:val="auto"/>
          <w:sz w:val="28"/>
          <w:szCs w:val="28"/>
          <w:highlight w:val="none"/>
        </w:rPr>
        <w:t>7.无效投标条款和废标条款</w:t>
      </w:r>
      <w:bookmarkEnd w:id="124"/>
    </w:p>
    <w:p w14:paraId="27DD3937">
      <w:pPr>
        <w:spacing w:line="460" w:lineRule="exact"/>
        <w:ind w:firstLine="560"/>
        <w:rPr>
          <w:rFonts w:hint="eastAsia" w:ascii="宋体" w:hAnsi="宋体" w:cs="宋体"/>
          <w:bCs/>
          <w:color w:val="auto"/>
          <w:sz w:val="28"/>
          <w:szCs w:val="28"/>
          <w:highlight w:val="none"/>
        </w:rPr>
      </w:pPr>
      <w:bookmarkStart w:id="125" w:name="_Toc20823307"/>
      <w:bookmarkStart w:id="126" w:name="_Toc513029235"/>
      <w:bookmarkStart w:id="127" w:name="_Toc16938551"/>
      <w:r>
        <w:rPr>
          <w:rFonts w:hint="eastAsia" w:ascii="宋体" w:hAnsi="宋体" w:cs="宋体"/>
          <w:bCs/>
          <w:color w:val="auto"/>
          <w:sz w:val="28"/>
          <w:szCs w:val="28"/>
          <w:highlight w:val="none"/>
        </w:rPr>
        <w:t>7.1.1 同一投标人提交两个（含两个）以上不同的投标报价的。</w:t>
      </w:r>
    </w:p>
    <w:p w14:paraId="18795913">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7.1.2投标人不具备招标文件中规定资格要求的。</w:t>
      </w:r>
    </w:p>
    <w:p w14:paraId="7D603867">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7.1.3投标人的报价超过了采购预算或最高限价的。</w:t>
      </w:r>
    </w:p>
    <w:p w14:paraId="6EDEA3BB">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7.1.4未通过符合性检查的。</w:t>
      </w:r>
    </w:p>
    <w:p w14:paraId="3BA1627B">
      <w:pPr>
        <w:spacing w:line="460" w:lineRule="exact"/>
        <w:ind w:firstLine="560"/>
        <w:rPr>
          <w:rFonts w:hint="eastAsia" w:ascii="宋体" w:hAnsi="宋体" w:cs="宋体"/>
          <w:bCs/>
          <w:i/>
          <w:color w:val="auto"/>
          <w:sz w:val="28"/>
          <w:szCs w:val="28"/>
          <w:highlight w:val="none"/>
          <w:u w:val="single"/>
        </w:rPr>
      </w:pPr>
      <w:r>
        <w:rPr>
          <w:rFonts w:hint="eastAsia" w:ascii="宋体" w:hAnsi="宋体" w:cs="宋体"/>
          <w:bCs/>
          <w:color w:val="auto"/>
          <w:sz w:val="28"/>
          <w:szCs w:val="28"/>
          <w:highlight w:val="none"/>
        </w:rPr>
        <w:t>7.1.5不符合招标文件中规定的其他实质性要求和条件的。</w:t>
      </w:r>
    </w:p>
    <w:p w14:paraId="6D3CEB67">
      <w:pPr>
        <w:spacing w:line="460" w:lineRule="exact"/>
        <w:ind w:firstLine="560"/>
        <w:rPr>
          <w:rFonts w:hint="eastAsia" w:ascii="宋体" w:hAnsi="宋体" w:cs="宋体"/>
          <w:bCs/>
          <w:i/>
          <w:color w:val="auto"/>
          <w:sz w:val="28"/>
          <w:szCs w:val="28"/>
          <w:highlight w:val="none"/>
          <w:u w:val="single"/>
        </w:rPr>
      </w:pPr>
      <w:r>
        <w:rPr>
          <w:rFonts w:hint="eastAsia" w:ascii="宋体" w:hAnsi="宋体" w:cs="宋体"/>
          <w:bCs/>
          <w:color w:val="auto"/>
          <w:sz w:val="28"/>
          <w:szCs w:val="28"/>
          <w:highlight w:val="none"/>
        </w:rPr>
        <w:t>7.1.6投标人被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0C470A8">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7.1.7投标文件含有</w:t>
      </w:r>
      <w:r>
        <w:rPr>
          <w:rFonts w:hint="eastAsia" w:ascii="宋体" w:hAnsi="宋体" w:cs="宋体"/>
          <w:bCs/>
          <w:color w:val="auto"/>
          <w:sz w:val="28"/>
          <w:szCs w:val="28"/>
          <w:highlight w:val="none"/>
          <w:lang w:eastAsia="zh-CN"/>
        </w:rPr>
        <w:t>采购人</w:t>
      </w:r>
      <w:r>
        <w:rPr>
          <w:rFonts w:hint="eastAsia" w:ascii="宋体" w:hAnsi="宋体" w:cs="宋体"/>
          <w:bCs/>
          <w:color w:val="auto"/>
          <w:sz w:val="28"/>
          <w:szCs w:val="28"/>
          <w:highlight w:val="none"/>
        </w:rPr>
        <w:t>不能接受的附加条件的 。</w:t>
      </w:r>
    </w:p>
    <w:p w14:paraId="1A3F9114">
      <w:pPr>
        <w:spacing w:line="460" w:lineRule="exact"/>
        <w:ind w:firstLine="560"/>
        <w:outlineLvl w:val="4"/>
        <w:rPr>
          <w:rFonts w:hint="eastAsia" w:ascii="宋体" w:hAnsi="宋体" w:cs="宋体"/>
          <w:bCs/>
          <w:color w:val="auto"/>
          <w:sz w:val="28"/>
          <w:szCs w:val="28"/>
          <w:highlight w:val="none"/>
        </w:rPr>
      </w:pPr>
      <w:r>
        <w:rPr>
          <w:rFonts w:hint="eastAsia" w:ascii="宋体" w:hAnsi="宋体" w:cs="宋体"/>
          <w:bCs/>
          <w:color w:val="auto"/>
          <w:sz w:val="28"/>
          <w:szCs w:val="28"/>
          <w:highlight w:val="none"/>
        </w:rPr>
        <w:t>7.1.8 启动异常低价响应审查后，供应商不提供书面说明、证明材料，或者提供的书面说明、证明材料不能证明其报价合理性的。</w:t>
      </w:r>
    </w:p>
    <w:p w14:paraId="4C4FCAAA">
      <w:pPr>
        <w:spacing w:line="460" w:lineRule="exact"/>
        <w:ind w:firstLine="560"/>
        <w:rPr>
          <w:rFonts w:hint="eastAsia" w:ascii="宋体" w:hAnsi="宋体" w:cs="宋体"/>
          <w:b/>
          <w:color w:val="auto"/>
          <w:sz w:val="28"/>
          <w:szCs w:val="28"/>
          <w:highlight w:val="none"/>
        </w:rPr>
      </w:pPr>
      <w:r>
        <w:rPr>
          <w:rFonts w:hint="eastAsia" w:ascii="宋体" w:hAnsi="宋体" w:cs="宋体"/>
          <w:bCs/>
          <w:color w:val="auto"/>
          <w:sz w:val="28"/>
          <w:szCs w:val="28"/>
          <w:highlight w:val="none"/>
        </w:rPr>
        <w:t>7.1.9本项目采购产品被财政部、国家发改委、生态环境部等列入“节能产品品目清单</w:t>
      </w:r>
      <w:r>
        <w:rPr>
          <w:rFonts w:hint="eastAsia" w:ascii="宋体" w:hAnsi="宋体" w:cs="宋体"/>
          <w:bCs/>
          <w:color w:val="auto"/>
          <w:sz w:val="28"/>
          <w:szCs w:val="28"/>
          <w:highlight w:val="none"/>
          <w:lang w:eastAsia="zh-CN"/>
        </w:rPr>
        <w:t>”“</w:t>
      </w:r>
      <w:r>
        <w:rPr>
          <w:rFonts w:hint="eastAsia" w:ascii="宋体" w:hAnsi="宋体" w:cs="宋体"/>
          <w:bCs/>
          <w:color w:val="auto"/>
          <w:sz w:val="28"/>
          <w:szCs w:val="28"/>
          <w:highlight w:val="none"/>
        </w:rPr>
        <w:t>环境标志产品品目清单”强制采购范围，而投标人所投标产品不在强制采购范围内的（所投产品如属于政府强制采购节能产品品目清单范围内，响应文件中必须提供国家确定的认证机构出具的、处于有效期之内的该节能产品认证证书图片）</w:t>
      </w:r>
      <w:r>
        <w:rPr>
          <w:rFonts w:hint="eastAsia" w:ascii="宋体" w:hAnsi="宋体" w:cs="宋体"/>
          <w:b/>
          <w:color w:val="auto"/>
          <w:sz w:val="28"/>
          <w:szCs w:val="28"/>
          <w:highlight w:val="none"/>
        </w:rPr>
        <w:t>。</w:t>
      </w:r>
    </w:p>
    <w:p w14:paraId="47EA0F9C">
      <w:pPr>
        <w:spacing w:line="460" w:lineRule="exact"/>
        <w:ind w:firstLine="560"/>
        <w:outlineLvl w:val="4"/>
        <w:rPr>
          <w:rFonts w:hint="eastAsia" w:ascii="宋体" w:hAnsi="宋体" w:cs="宋体"/>
          <w:bCs/>
          <w:color w:val="auto"/>
          <w:sz w:val="28"/>
          <w:szCs w:val="28"/>
          <w:highlight w:val="none"/>
        </w:rPr>
      </w:pPr>
      <w:r>
        <w:rPr>
          <w:rFonts w:hint="eastAsia" w:ascii="宋体" w:hAnsi="宋体" w:cs="宋体"/>
          <w:bCs/>
          <w:color w:val="auto"/>
          <w:sz w:val="28"/>
          <w:szCs w:val="28"/>
          <w:highlight w:val="none"/>
        </w:rPr>
        <w:t>7.1.10投标文件未按照招标文件要求加盖CA电子公章的。</w:t>
      </w:r>
    </w:p>
    <w:p w14:paraId="196A0F38">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7.1.11投标人的商务技术部分得分相差悬殊，评标委员会认为得分畸低者（投标人商务技术得分低于商务技术总分50%的）没有实质性响应的。</w:t>
      </w:r>
    </w:p>
    <w:p w14:paraId="100CA85B">
      <w:pPr>
        <w:pStyle w:val="321"/>
        <w:ind w:left="0" w:firstLine="560"/>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7.1.12不同的投标人响应文件MAC地址、标书制作工具客户端识别码一致的。</w:t>
      </w:r>
    </w:p>
    <w:p w14:paraId="49582F06">
      <w:pPr>
        <w:spacing w:line="460" w:lineRule="exact"/>
        <w:ind w:firstLine="560"/>
        <w:rPr>
          <w:rFonts w:hint="eastAsia"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7.1.13</w:t>
      </w:r>
      <w:r>
        <w:rPr>
          <w:rFonts w:hint="eastAsia" w:ascii="宋体" w:hAnsi="宋体" w:cs="宋体"/>
          <w:bCs/>
          <w:color w:val="auto"/>
          <w:sz w:val="28"/>
          <w:szCs w:val="28"/>
          <w:highlight w:val="none"/>
        </w:rPr>
        <w:t>本项目投标人之间被通过“天眼查</w:t>
      </w:r>
      <w:r>
        <w:rPr>
          <w:rFonts w:hint="eastAsia" w:ascii="宋体" w:hAnsi="宋体" w:cs="宋体"/>
          <w:bCs/>
          <w:color w:val="auto"/>
          <w:sz w:val="28"/>
          <w:szCs w:val="28"/>
          <w:highlight w:val="none"/>
          <w:lang w:eastAsia="zh-CN"/>
        </w:rPr>
        <w:t>”或“企</w:t>
      </w:r>
      <w:r>
        <w:rPr>
          <w:rFonts w:hint="eastAsia" w:ascii="宋体" w:hAnsi="宋体" w:cs="宋体"/>
          <w:bCs/>
          <w:color w:val="auto"/>
          <w:sz w:val="28"/>
          <w:szCs w:val="28"/>
          <w:highlight w:val="none"/>
        </w:rPr>
        <w:t>查查”查询确认有关联性的</w:t>
      </w:r>
      <w:r>
        <w:rPr>
          <w:rFonts w:hint="eastAsia" w:ascii="宋体" w:hAnsi="宋体" w:cs="宋体"/>
          <w:bCs/>
          <w:color w:val="auto"/>
          <w:sz w:val="28"/>
          <w:szCs w:val="28"/>
          <w:highlight w:val="none"/>
          <w:lang w:eastAsia="zh-CN"/>
        </w:rPr>
        <w:t>。</w:t>
      </w:r>
    </w:p>
    <w:p w14:paraId="2D7B444A">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7.1.1</w:t>
      </w:r>
      <w:r>
        <w:rPr>
          <w:rFonts w:hint="eastAsia" w:ascii="宋体" w:hAnsi="宋体" w:cs="宋体"/>
          <w:bCs/>
          <w:color w:val="auto"/>
          <w:sz w:val="28"/>
          <w:szCs w:val="28"/>
          <w:highlight w:val="none"/>
          <w:lang w:val="en-US" w:eastAsia="zh-CN"/>
        </w:rPr>
        <w:t>4</w:t>
      </w:r>
      <w:r>
        <w:rPr>
          <w:rFonts w:hint="eastAsia" w:ascii="宋体" w:hAnsi="宋体" w:cs="宋体"/>
          <w:bCs/>
          <w:color w:val="auto"/>
          <w:sz w:val="28"/>
          <w:szCs w:val="28"/>
          <w:highlight w:val="none"/>
        </w:rPr>
        <w:t>其他法律、法规及本招标文件规定的属无效投标的情形。</w:t>
      </w:r>
    </w:p>
    <w:p w14:paraId="571241C8">
      <w:pPr>
        <w:spacing w:line="460" w:lineRule="exact"/>
        <w:ind w:firstLine="560"/>
        <w:outlineLvl w:val="3"/>
        <w:rPr>
          <w:rFonts w:hint="eastAsia" w:ascii="宋体" w:hAnsi="宋体" w:cs="宋体"/>
          <w:bCs/>
          <w:color w:val="auto"/>
          <w:sz w:val="28"/>
          <w:szCs w:val="28"/>
          <w:highlight w:val="none"/>
        </w:rPr>
      </w:pPr>
      <w:r>
        <w:rPr>
          <w:rFonts w:hint="eastAsia" w:ascii="宋体" w:hAnsi="宋体" w:cs="宋体"/>
          <w:bCs/>
          <w:color w:val="auto"/>
          <w:sz w:val="28"/>
          <w:szCs w:val="28"/>
          <w:highlight w:val="none"/>
        </w:rPr>
        <w:t>7.2废标条款：</w:t>
      </w:r>
    </w:p>
    <w:p w14:paraId="4BAE3C42">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7.2.1符合专业条件的投标人或者对招标文件作实质响应的投标人不足三家的。</w:t>
      </w:r>
    </w:p>
    <w:p w14:paraId="56287FB8">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7.2.2出现影响采购公正的违法、违规行为的。</w:t>
      </w:r>
    </w:p>
    <w:p w14:paraId="2AD0ED55">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7.2.3因重大变故，采购任务取消的。</w:t>
      </w:r>
    </w:p>
    <w:p w14:paraId="42147623">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7.2.4评标委员会认定招标文件存在歧义、重大缺陷导致评审工作无法进行。</w:t>
      </w:r>
    </w:p>
    <w:p w14:paraId="52685BAC">
      <w:pPr>
        <w:spacing w:line="460" w:lineRule="exact"/>
        <w:ind w:firstLine="560"/>
        <w:outlineLvl w:val="4"/>
        <w:rPr>
          <w:rFonts w:hint="eastAsia" w:ascii="宋体" w:hAnsi="宋体" w:cs="宋体"/>
          <w:bCs/>
          <w:color w:val="auto"/>
          <w:sz w:val="28"/>
          <w:szCs w:val="28"/>
          <w:highlight w:val="none"/>
        </w:rPr>
      </w:pPr>
      <w:r>
        <w:rPr>
          <w:rFonts w:hint="eastAsia" w:ascii="宋体" w:hAnsi="宋体" w:cs="宋体"/>
          <w:bCs/>
          <w:color w:val="auto"/>
          <w:sz w:val="28"/>
          <w:szCs w:val="28"/>
          <w:highlight w:val="none"/>
        </w:rPr>
        <w:t>7.2.5 因苏采云系统故障原因造成开标不成功的。</w:t>
      </w:r>
    </w:p>
    <w:p w14:paraId="694B563A">
      <w:pPr>
        <w:spacing w:line="460" w:lineRule="exact"/>
        <w:ind w:firstLine="560"/>
        <w:outlineLvl w:val="3"/>
        <w:rPr>
          <w:rFonts w:hint="eastAsia" w:ascii="宋体" w:hAnsi="宋体" w:cs="宋体"/>
          <w:bCs/>
          <w:color w:val="auto"/>
          <w:sz w:val="28"/>
          <w:szCs w:val="28"/>
          <w:highlight w:val="none"/>
        </w:rPr>
      </w:pPr>
      <w:r>
        <w:rPr>
          <w:rFonts w:hint="eastAsia" w:ascii="宋体" w:hAnsi="宋体" w:cs="宋体"/>
          <w:bCs/>
          <w:color w:val="auto"/>
          <w:sz w:val="28"/>
          <w:szCs w:val="28"/>
          <w:highlight w:val="none"/>
        </w:rPr>
        <w:t>7.3 投标截止时间结束后参加投标的投标人不足三家的处理：</w:t>
      </w:r>
    </w:p>
    <w:p w14:paraId="28FE8335">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7.3.1如出现投标截止时间结束后参加投标的投标人或者在评标期间对招标文件做出实质响应的投标人不足三家情况，按政府采购相关规定执行。</w:t>
      </w:r>
      <w:bookmarkEnd w:id="125"/>
      <w:bookmarkEnd w:id="126"/>
      <w:bookmarkEnd w:id="127"/>
    </w:p>
    <w:p w14:paraId="67E61D1A">
      <w:pPr>
        <w:pStyle w:val="3"/>
        <w:spacing w:before="0" w:after="0" w:line="460" w:lineRule="exact"/>
        <w:ind w:firstLine="562"/>
        <w:rPr>
          <w:rFonts w:hint="eastAsia" w:ascii="宋体" w:hAnsi="宋体" w:eastAsia="宋体" w:cs="宋体"/>
          <w:color w:val="auto"/>
          <w:sz w:val="28"/>
          <w:szCs w:val="28"/>
          <w:highlight w:val="none"/>
        </w:rPr>
      </w:pPr>
      <w:bookmarkStart w:id="128" w:name="_Toc27597"/>
      <w:bookmarkStart w:id="129" w:name="_Toc120614219"/>
      <w:r>
        <w:rPr>
          <w:rFonts w:hint="eastAsia" w:ascii="宋体" w:hAnsi="宋体" w:eastAsia="宋体" w:cs="宋体"/>
          <w:color w:val="auto"/>
          <w:sz w:val="28"/>
          <w:szCs w:val="28"/>
          <w:highlight w:val="none"/>
        </w:rPr>
        <w:t>六、定标</w:t>
      </w:r>
      <w:bookmarkEnd w:id="128"/>
      <w:bookmarkEnd w:id="129"/>
    </w:p>
    <w:p w14:paraId="2CCD6BC8">
      <w:pPr>
        <w:spacing w:line="460" w:lineRule="exact"/>
        <w:ind w:firstLine="560"/>
        <w:outlineLvl w:val="2"/>
        <w:rPr>
          <w:rFonts w:hint="eastAsia" w:ascii="宋体" w:hAnsi="宋体" w:cs="宋体"/>
          <w:b/>
          <w:color w:val="auto"/>
          <w:sz w:val="28"/>
          <w:szCs w:val="28"/>
          <w:highlight w:val="none"/>
        </w:rPr>
      </w:pPr>
      <w:bookmarkStart w:id="130" w:name="_Toc16938554"/>
      <w:bookmarkStart w:id="131" w:name="_Toc20823310"/>
      <w:bookmarkStart w:id="132" w:name="_Toc21628"/>
      <w:r>
        <w:rPr>
          <w:rFonts w:hint="eastAsia" w:ascii="宋体" w:hAnsi="宋体" w:cs="宋体"/>
          <w:color w:val="auto"/>
          <w:sz w:val="28"/>
          <w:szCs w:val="28"/>
          <w:highlight w:val="none"/>
        </w:rPr>
        <w:t>1.确定</w:t>
      </w:r>
      <w:bookmarkEnd w:id="130"/>
      <w:bookmarkEnd w:id="131"/>
      <w:r>
        <w:rPr>
          <w:rFonts w:hint="eastAsia" w:ascii="宋体" w:hAnsi="宋体" w:cs="宋体"/>
          <w:color w:val="auto"/>
          <w:sz w:val="28"/>
          <w:szCs w:val="28"/>
          <w:highlight w:val="none"/>
        </w:rPr>
        <w:t>中标单位</w:t>
      </w:r>
      <w:bookmarkEnd w:id="132"/>
    </w:p>
    <w:p w14:paraId="7C70F07F">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1.1中标候选人的选取原则和数量见招标文件第四部分规定。 </w:t>
      </w:r>
    </w:p>
    <w:p w14:paraId="30698E45">
      <w:pPr>
        <w:spacing w:line="46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bCs/>
          <w:color w:val="auto"/>
          <w:sz w:val="28"/>
          <w:szCs w:val="28"/>
          <w:highlight w:val="none"/>
          <w:lang w:eastAsia="zh-CN"/>
        </w:rPr>
        <w:t>采购人</w:t>
      </w:r>
      <w:r>
        <w:rPr>
          <w:rFonts w:hint="eastAsia" w:ascii="宋体" w:hAnsi="宋体" w:cs="宋体"/>
          <w:bCs/>
          <w:color w:val="auto"/>
          <w:sz w:val="28"/>
          <w:szCs w:val="28"/>
          <w:highlight w:val="none"/>
        </w:rPr>
        <w:t>授权评委会在中标候选人中直接确定中标人。</w:t>
      </w:r>
    </w:p>
    <w:p w14:paraId="535AF2DC">
      <w:pPr>
        <w:spacing w:line="460" w:lineRule="exact"/>
        <w:ind w:firstLine="560"/>
        <w:rPr>
          <w:rFonts w:hint="eastAsia" w:ascii="宋体" w:hAnsi="宋体" w:cs="宋体"/>
          <w:color w:val="auto"/>
          <w:sz w:val="28"/>
          <w:szCs w:val="28"/>
          <w:highlight w:val="none"/>
        </w:rPr>
      </w:pPr>
      <w:r>
        <w:rPr>
          <w:rFonts w:hint="eastAsia" w:ascii="宋体" w:hAnsi="宋体" w:cs="宋体"/>
          <w:bCs/>
          <w:color w:val="auto"/>
          <w:sz w:val="28"/>
          <w:szCs w:val="28"/>
          <w:highlight w:val="none"/>
        </w:rPr>
        <w:t>1.3</w:t>
      </w:r>
      <w:r>
        <w:rPr>
          <w:rFonts w:hint="eastAsia" w:ascii="宋体" w:hAnsi="宋体" w:cs="宋体"/>
          <w:color w:val="auto"/>
          <w:sz w:val="28"/>
          <w:szCs w:val="28"/>
          <w:highlight w:val="none"/>
        </w:rPr>
        <w:t>代理机构将在“江苏政府采购网”发布中标公告，公告期限为1个工作日。</w:t>
      </w:r>
    </w:p>
    <w:p w14:paraId="574A5D61">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1.4若有充分证据证明，中标人出现下列情况之一的，一经查实，将被取消中标资格：</w:t>
      </w:r>
    </w:p>
    <w:p w14:paraId="299B240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1.4.1提供虚假材料谋取中标的。</w:t>
      </w:r>
    </w:p>
    <w:p w14:paraId="78FF2A4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1.4.2向</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、代理机构行贿或者提供其他不正当利益的。</w:t>
      </w:r>
    </w:p>
    <w:p w14:paraId="7A898402">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1.4.3恶意竞争，投标总报价明显低于其自身合理成本且又无法提供证明的。</w:t>
      </w:r>
    </w:p>
    <w:p w14:paraId="17CA869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1.4.4属于本文件规定的无效条件，但在评标过程中又未被评委会发现的。</w:t>
      </w:r>
    </w:p>
    <w:p w14:paraId="6111265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1.4.5与</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或者其他投标人恶意串通的。</w:t>
      </w:r>
    </w:p>
    <w:p w14:paraId="32C0676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1.4.6采取不正当手段诋毁、排挤其他投标人的。</w:t>
      </w:r>
    </w:p>
    <w:p w14:paraId="589F4BB6">
      <w:pPr>
        <w:spacing w:line="460" w:lineRule="exact"/>
        <w:ind w:firstLine="560"/>
        <w:outlineLvl w:val="3"/>
        <w:rPr>
          <w:rFonts w:hint="eastAsia" w:ascii="宋体" w:hAnsi="宋体" w:cs="宋体"/>
          <w:color w:val="auto"/>
          <w:sz w:val="28"/>
          <w:szCs w:val="28"/>
          <w:highlight w:val="none"/>
        </w:rPr>
      </w:pPr>
      <w:bookmarkStart w:id="133" w:name="_Toc200451960"/>
      <w:r>
        <w:rPr>
          <w:rFonts w:hint="eastAsia" w:ascii="宋体" w:hAnsi="宋体" w:cs="宋体"/>
          <w:color w:val="auto"/>
          <w:sz w:val="28"/>
          <w:szCs w:val="28"/>
          <w:highlight w:val="none"/>
        </w:rPr>
        <w:t>1.5.有下列情形之一的，视为投标人串通投标，投标无效：</w:t>
      </w:r>
    </w:p>
    <w:p w14:paraId="4F8CC5A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1.5.1不同投标人的投标文件由同一单位或者个人编制；</w:t>
      </w:r>
    </w:p>
    <w:p w14:paraId="1956092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1.5.2不同投标人委托同一单位或者个人办理投标事宜；</w:t>
      </w:r>
    </w:p>
    <w:p w14:paraId="78CFA4A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1.5.3不同投标人的投标文件载明的项目管理成员或者联系人员为同一人；</w:t>
      </w:r>
    </w:p>
    <w:p w14:paraId="012C9BD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1.5.4不同投标人的投标文件异常一致或者投标报价呈规律性差异；</w:t>
      </w:r>
    </w:p>
    <w:p w14:paraId="222716C8">
      <w:pPr>
        <w:spacing w:line="460" w:lineRule="exact"/>
        <w:ind w:firstLine="560"/>
        <w:outlineLvl w:val="2"/>
        <w:rPr>
          <w:rFonts w:hint="eastAsia" w:ascii="宋体" w:hAnsi="宋体" w:cs="宋体"/>
          <w:b/>
          <w:color w:val="auto"/>
          <w:sz w:val="28"/>
          <w:szCs w:val="28"/>
          <w:highlight w:val="none"/>
        </w:rPr>
      </w:pPr>
      <w:bookmarkStart w:id="134" w:name="_Toc922"/>
      <w:r>
        <w:rPr>
          <w:rFonts w:hint="eastAsia" w:ascii="宋体" w:hAnsi="宋体" w:cs="宋体"/>
          <w:color w:val="auto"/>
          <w:sz w:val="28"/>
          <w:szCs w:val="28"/>
          <w:highlight w:val="none"/>
        </w:rPr>
        <w:t>2.质疑处理</w:t>
      </w:r>
      <w:bookmarkEnd w:id="133"/>
      <w:bookmarkEnd w:id="134"/>
    </w:p>
    <w:p w14:paraId="3B775ED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2.1 提出质疑的投标人应当是参与所质疑项目采购活动的投标人。潜在投标人依法获取其可质疑的招标文件的，可以对招标文件提出质疑。</w:t>
      </w:r>
    </w:p>
    <w:p w14:paraId="2C12B40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2.2投标人认为招标文件、采购过程和采购结果使自己的权益受到损害的，可以在知道或应知其权益受到损害之日起七个工作日内，以书面形式向代理机构或</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提出质疑。上述应知其权益受到损害之日，是指：</w:t>
      </w:r>
    </w:p>
    <w:p w14:paraId="6C92F1AE">
      <w:pPr>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2.2.1对可以质疑的招标文件提出质疑的，为收到招标文件之日或者招标文件公告期限届满之日；</w:t>
      </w:r>
    </w:p>
    <w:p w14:paraId="66063996">
      <w:pPr>
        <w:spacing w:line="460" w:lineRule="exact"/>
        <w:ind w:firstLine="562"/>
        <w:outlineLvl w:val="3"/>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2.2.2对采购过程提出质疑的，为各采购程序环节结束之日；</w:t>
      </w:r>
    </w:p>
    <w:p w14:paraId="12B7AB1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2.2.3对中标或者成交结果提出质疑的，为中标或者成交结果公告期限届满之日。</w:t>
      </w:r>
    </w:p>
    <w:p w14:paraId="62D554C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投标人应当在法定质疑期内一次性提出针对同一采购程序环节的质疑。</w:t>
      </w:r>
    </w:p>
    <w:p w14:paraId="682D403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2.3质疑函必须按照本招标文件中《质疑函范本》要求的格式和内容进行填写。</w:t>
      </w:r>
    </w:p>
    <w:p w14:paraId="33DB90F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2.4对招标方式、招标文件中项目需求、投标人资格条件、评标方法和评标标准、资格审查结果等应当由</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答复的质疑，请向</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提出，由</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负责答复。投标人对其他事项的质疑，请向代理机构提出，由</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或代理机构负责答复。</w:t>
      </w:r>
    </w:p>
    <w:p w14:paraId="3CCF029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投标人提起质疑采取书面形式，可以现场送达，也可以邮寄。</w:t>
      </w:r>
    </w:p>
    <w:p w14:paraId="4AAA68F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及代理机构质疑接收人及联系方式，见招标文件第一部分。</w:t>
      </w:r>
    </w:p>
    <w:p w14:paraId="2B0E8177">
      <w:pPr>
        <w:spacing w:line="460" w:lineRule="exact"/>
        <w:ind w:firstLine="560"/>
        <w:outlineLvl w:val="4"/>
        <w:rPr>
          <w:rFonts w:hint="eastAsia" w:ascii="宋体" w:hAnsi="宋体" w:cs="宋体"/>
          <w:color w:val="auto"/>
          <w:sz w:val="28"/>
          <w:szCs w:val="28"/>
          <w:highlight w:val="none"/>
        </w:rPr>
      </w:pPr>
      <w:r>
        <w:rPr>
          <w:rFonts w:hint="eastAsia" w:ascii="宋体" w:hAnsi="宋体" w:cs="宋体"/>
          <w:color w:val="auto"/>
          <w:sz w:val="28"/>
          <w:szCs w:val="28"/>
          <w:highlight w:val="none"/>
        </w:rPr>
        <w:t>2.5 以下情形的质疑不予受理</w:t>
      </w:r>
    </w:p>
    <w:p w14:paraId="3DA1D64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2.5.1内容不符合《政府采购质疑和投诉办法》第十二条规定的质疑。</w:t>
      </w:r>
    </w:p>
    <w:p w14:paraId="62BC3E79">
      <w:pPr>
        <w:spacing w:line="460" w:lineRule="exact"/>
        <w:ind w:firstLine="560"/>
        <w:outlineLvl w:val="3"/>
        <w:rPr>
          <w:rFonts w:hint="eastAsia" w:ascii="宋体" w:hAnsi="宋体" w:cs="宋体"/>
          <w:color w:val="auto"/>
          <w:sz w:val="28"/>
          <w:szCs w:val="28"/>
          <w:highlight w:val="none"/>
        </w:rPr>
      </w:pPr>
      <w:r>
        <w:rPr>
          <w:rFonts w:hint="eastAsia" w:ascii="宋体" w:hAnsi="宋体" w:cs="宋体"/>
          <w:color w:val="auto"/>
          <w:sz w:val="28"/>
          <w:szCs w:val="28"/>
          <w:highlight w:val="none"/>
        </w:rPr>
        <w:t>2.5.2 超出政府采购法定期限的质疑。</w:t>
      </w:r>
    </w:p>
    <w:p w14:paraId="7698544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2.5.3未参加投标活动的投标人或在投标活动中自身权益未受到损害的投标人所提出的质疑。</w:t>
      </w:r>
    </w:p>
    <w:p w14:paraId="2C67968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2.6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p>
    <w:p w14:paraId="0753797C">
      <w:pPr>
        <w:spacing w:line="460" w:lineRule="exact"/>
        <w:ind w:firstLine="560"/>
        <w:outlineLvl w:val="2"/>
        <w:rPr>
          <w:rFonts w:hint="eastAsia" w:ascii="宋体" w:hAnsi="宋体" w:cs="宋体"/>
          <w:b/>
          <w:color w:val="auto"/>
          <w:sz w:val="28"/>
          <w:szCs w:val="28"/>
          <w:highlight w:val="none"/>
        </w:rPr>
      </w:pPr>
      <w:bookmarkStart w:id="135" w:name="_Toc15921"/>
      <w:r>
        <w:rPr>
          <w:rFonts w:hint="eastAsia" w:ascii="宋体" w:hAnsi="宋体" w:cs="宋体"/>
          <w:color w:val="auto"/>
          <w:sz w:val="28"/>
          <w:szCs w:val="28"/>
          <w:highlight w:val="none"/>
        </w:rPr>
        <w:t>3.中标通知书</w:t>
      </w:r>
      <w:bookmarkEnd w:id="135"/>
    </w:p>
    <w:p w14:paraId="0833F75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3.l中标结果确定后，</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或者</w:t>
      </w:r>
      <w:r>
        <w:rPr>
          <w:rFonts w:hint="eastAsia" w:ascii="宋体" w:hAnsi="宋体" w:cs="宋体"/>
          <w:color w:val="auto"/>
          <w:sz w:val="28"/>
          <w:szCs w:val="28"/>
          <w:highlight w:val="none"/>
          <w:lang w:eastAsia="zh-CN"/>
        </w:rPr>
        <w:t>采购代理</w:t>
      </w:r>
      <w:r>
        <w:rPr>
          <w:rFonts w:hint="eastAsia" w:ascii="宋体" w:hAnsi="宋体" w:cs="宋体"/>
          <w:color w:val="auto"/>
          <w:sz w:val="28"/>
          <w:szCs w:val="28"/>
          <w:highlight w:val="none"/>
        </w:rPr>
        <w:t>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0B2557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3.2中标通知书将是合同的一个组成部分。对</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和中标人均具有法律效力。中标通知书发出后，</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改变中标结果的，或者中标人放弃中标项目的，应当依法承担法律责任。</w:t>
      </w:r>
      <w:bookmarkStart w:id="136" w:name="_Toc20823308"/>
      <w:bookmarkStart w:id="137" w:name="_Toc16938552"/>
      <w:bookmarkStart w:id="138" w:name="_Toc513029236"/>
      <w:bookmarkStart w:id="139" w:name="_Toc120614220"/>
    </w:p>
    <w:p w14:paraId="56339D1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特别说明：中标人在下载中标通知书后须提供</w:t>
      </w:r>
      <w:r>
        <w:rPr>
          <w:rFonts w:hint="eastAsia" w:ascii="宋体" w:hAnsi="宋体" w:cs="宋体"/>
          <w:color w:val="auto"/>
          <w:sz w:val="28"/>
          <w:szCs w:val="28"/>
          <w:highlight w:val="none"/>
          <w:u w:val="single"/>
        </w:rPr>
        <w:t>4套</w:t>
      </w:r>
      <w:r>
        <w:rPr>
          <w:rFonts w:hint="eastAsia" w:ascii="宋体" w:hAnsi="宋体" w:cs="宋体"/>
          <w:color w:val="auto"/>
          <w:sz w:val="28"/>
          <w:szCs w:val="28"/>
          <w:highlight w:val="none"/>
        </w:rPr>
        <w:t>加盖红章的系统内打印的纸质响应文件给</w:t>
      </w:r>
      <w:r>
        <w:rPr>
          <w:rFonts w:hint="eastAsia" w:ascii="宋体" w:hAnsi="宋体" w:cs="宋体"/>
          <w:color w:val="auto"/>
          <w:sz w:val="28"/>
          <w:szCs w:val="28"/>
          <w:highlight w:val="none"/>
          <w:lang w:eastAsia="zh-CN"/>
        </w:rPr>
        <w:t>采购代理</w:t>
      </w:r>
      <w:r>
        <w:rPr>
          <w:rFonts w:hint="eastAsia" w:ascii="宋体" w:hAnsi="宋体" w:cs="宋体"/>
          <w:color w:val="auto"/>
          <w:sz w:val="28"/>
          <w:szCs w:val="28"/>
          <w:highlight w:val="none"/>
        </w:rPr>
        <w:t>机构。</w:t>
      </w:r>
    </w:p>
    <w:p w14:paraId="5B32F083">
      <w:pPr>
        <w:pStyle w:val="3"/>
        <w:spacing w:before="0" w:after="0" w:line="420" w:lineRule="exact"/>
        <w:ind w:firstLine="562"/>
        <w:rPr>
          <w:rFonts w:hint="eastAsia" w:ascii="宋体" w:hAnsi="宋体" w:eastAsia="宋体" w:cs="宋体"/>
          <w:color w:val="auto"/>
          <w:sz w:val="28"/>
          <w:szCs w:val="28"/>
          <w:highlight w:val="none"/>
        </w:rPr>
      </w:pPr>
      <w:bookmarkStart w:id="140" w:name="_Toc27718"/>
      <w:r>
        <w:rPr>
          <w:rFonts w:hint="eastAsia" w:ascii="宋体" w:hAnsi="宋体" w:eastAsia="宋体" w:cs="宋体"/>
          <w:color w:val="auto"/>
          <w:sz w:val="28"/>
          <w:szCs w:val="28"/>
          <w:highlight w:val="none"/>
        </w:rPr>
        <w:t>七、授予合同</w:t>
      </w:r>
      <w:bookmarkEnd w:id="136"/>
      <w:bookmarkEnd w:id="137"/>
      <w:bookmarkEnd w:id="138"/>
      <w:bookmarkEnd w:id="139"/>
      <w:bookmarkEnd w:id="140"/>
    </w:p>
    <w:p w14:paraId="68902B87">
      <w:pPr>
        <w:keepNext/>
        <w:spacing w:line="420" w:lineRule="exact"/>
        <w:ind w:firstLine="560"/>
        <w:outlineLvl w:val="2"/>
        <w:rPr>
          <w:rFonts w:hint="eastAsia" w:ascii="宋体" w:hAnsi="宋体" w:cs="宋体"/>
          <w:b/>
          <w:color w:val="auto"/>
          <w:sz w:val="28"/>
          <w:szCs w:val="28"/>
          <w:highlight w:val="none"/>
        </w:rPr>
      </w:pPr>
      <w:bookmarkStart w:id="141" w:name="_Toc26471"/>
      <w:r>
        <w:rPr>
          <w:rFonts w:hint="eastAsia" w:ascii="宋体" w:hAnsi="宋体" w:cs="宋体"/>
          <w:color w:val="auto"/>
          <w:sz w:val="28"/>
          <w:szCs w:val="28"/>
          <w:highlight w:val="none"/>
        </w:rPr>
        <w:t>1.签订合同</w:t>
      </w:r>
      <w:bookmarkEnd w:id="141"/>
    </w:p>
    <w:p w14:paraId="5F359C8E">
      <w:pPr>
        <w:spacing w:line="420" w:lineRule="exact"/>
        <w:ind w:firstLine="560"/>
        <w:rPr>
          <w:rFonts w:hint="eastAsia" w:ascii="宋体" w:hAnsi="宋体" w:cs="宋体"/>
          <w:color w:val="auto"/>
          <w:sz w:val="28"/>
          <w:szCs w:val="28"/>
          <w:highlight w:val="none"/>
        </w:rPr>
      </w:pPr>
      <w:r>
        <w:rPr>
          <w:rFonts w:hint="eastAsia" w:ascii="宋体" w:hAnsi="宋体" w:cs="宋体"/>
          <w:bCs/>
          <w:color w:val="auto"/>
          <w:sz w:val="28"/>
          <w:szCs w:val="28"/>
          <w:highlight w:val="none"/>
        </w:rPr>
        <w:t>1</w:t>
      </w:r>
      <w:r>
        <w:rPr>
          <w:rFonts w:hint="eastAsia" w:ascii="宋体" w:hAnsi="宋体" w:cs="宋体"/>
          <w:color w:val="auto"/>
          <w:sz w:val="28"/>
          <w:szCs w:val="28"/>
          <w:highlight w:val="none"/>
        </w:rPr>
        <w:t>.l中标人应当在中标通知书发出之日起三十日内，按照招标文件确定的事项与</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签订政府采购合同。</w:t>
      </w:r>
    </w:p>
    <w:p w14:paraId="13908BB7">
      <w:pPr>
        <w:spacing w:line="420" w:lineRule="exact"/>
        <w:ind w:firstLine="42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签订合同时需做好提交各类声明函、承诺函、业绩证明、资质、职称证书等相应原件的核查准备；核查后发现虚假或违背承诺的，依照相关法律法规规定处理。</w:t>
      </w:r>
    </w:p>
    <w:p w14:paraId="5D4C9416">
      <w:pPr>
        <w:spacing w:line="42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1.2招标文件、中标人的响应文件及开标过程中有关澄清、承诺文件均应作为合同附件。</w:t>
      </w:r>
    </w:p>
    <w:p w14:paraId="0992187B">
      <w:pPr>
        <w:spacing w:line="42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1.3签订合同后，中标人不得将货物及其他相关服务进行转包。未经</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同意，中标人也不得采用分包的形式履行合同，否则</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有权终止合同，中标人的履约保证金将不予退还。政府采购合同分包履行的，中标人就采购项目和分包项目向</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负责，分包投标人就分包项目承担责任。转包或分包造成</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损失的，中标人应承担相应赔偿责任。</w:t>
      </w:r>
    </w:p>
    <w:p w14:paraId="0B74200C">
      <w:pPr>
        <w:keepNext/>
        <w:spacing w:line="420" w:lineRule="exact"/>
        <w:ind w:firstLine="560"/>
        <w:outlineLvl w:val="2"/>
        <w:rPr>
          <w:rFonts w:hint="eastAsia" w:ascii="宋体" w:hAnsi="宋体" w:cs="宋体"/>
          <w:b/>
          <w:color w:val="auto"/>
          <w:sz w:val="28"/>
          <w:szCs w:val="28"/>
          <w:highlight w:val="none"/>
        </w:rPr>
      </w:pPr>
      <w:bookmarkStart w:id="142" w:name="_Toc18712"/>
      <w:r>
        <w:rPr>
          <w:rFonts w:hint="eastAsia" w:ascii="宋体" w:hAnsi="宋体" w:cs="宋体"/>
          <w:color w:val="auto"/>
          <w:sz w:val="28"/>
          <w:szCs w:val="28"/>
          <w:highlight w:val="none"/>
        </w:rPr>
        <w:t>2.货物和服务的追加、减少和添购。</w:t>
      </w:r>
      <w:bookmarkEnd w:id="142"/>
    </w:p>
    <w:p w14:paraId="19FA1AB7">
      <w:pPr>
        <w:spacing w:line="42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2.1政府采购合同履行中，</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需追加与合同标的相同的货物和服务的，在不改变合同其他条款的前提下，可以与中标人协商签订补充合同，但所有补充合同的采购金额不超过原合同金额10%。</w:t>
      </w:r>
    </w:p>
    <w:p w14:paraId="6A2C6FEC">
      <w:pPr>
        <w:spacing w:line="42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2.2采购结束后，</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若由于各种客观原因，必须对采购项目所牵涉的货物和服务进行适当的减少时，在双方协商一致的前提下，可以按照采购时的价格水平做相应的调减，并据此签订补充合同。</w:t>
      </w:r>
    </w:p>
    <w:p w14:paraId="14D2507E">
      <w:pPr>
        <w:spacing w:line="420" w:lineRule="exact"/>
        <w:ind w:firstLine="560"/>
        <w:outlineLvl w:val="2"/>
        <w:rPr>
          <w:rFonts w:hint="eastAsia" w:ascii="宋体" w:hAnsi="宋体" w:cs="宋体"/>
          <w:color w:val="auto"/>
          <w:sz w:val="28"/>
          <w:szCs w:val="28"/>
          <w:highlight w:val="none"/>
        </w:rPr>
      </w:pPr>
      <w:bookmarkStart w:id="143" w:name="_Toc16700"/>
      <w:r>
        <w:rPr>
          <w:rFonts w:hint="eastAsia" w:ascii="宋体" w:hAnsi="宋体" w:cs="宋体"/>
          <w:color w:val="auto"/>
          <w:sz w:val="28"/>
          <w:szCs w:val="28"/>
          <w:highlight w:val="none"/>
        </w:rPr>
        <w:t>3.政府采购履约保证资金、合同信用融资扶持政策</w:t>
      </w:r>
      <w:bookmarkEnd w:id="143"/>
    </w:p>
    <w:p w14:paraId="7F014536">
      <w:pPr>
        <w:spacing w:line="42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根据《关于深入开展南通市政府采购线上合同信用融资工作的通知》（通财购〔2022〕68号），对政府采购中标人提出“政采贷”融资申请的，</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p>
    <w:p w14:paraId="0C452433">
      <w:pPr>
        <w:keepNext/>
        <w:keepLines/>
        <w:spacing w:line="420" w:lineRule="exact"/>
        <w:ind w:firstLine="562"/>
        <w:outlineLvl w:val="1"/>
        <w:rPr>
          <w:rFonts w:hint="eastAsia" w:ascii="宋体" w:hAnsi="宋体" w:cs="宋体"/>
          <w:b/>
          <w:bCs/>
          <w:color w:val="auto"/>
          <w:sz w:val="28"/>
          <w:szCs w:val="28"/>
          <w:highlight w:val="none"/>
        </w:rPr>
      </w:pPr>
      <w:bookmarkStart w:id="144" w:name="_Toc32218"/>
      <w:r>
        <w:rPr>
          <w:rFonts w:hint="eastAsia" w:ascii="宋体" w:hAnsi="宋体" w:cs="宋体"/>
          <w:b/>
          <w:bCs/>
          <w:color w:val="auto"/>
          <w:sz w:val="28"/>
          <w:szCs w:val="28"/>
          <w:highlight w:val="none"/>
        </w:rPr>
        <w:t>八、电子招标投标交易平台</w:t>
      </w:r>
      <w:bookmarkEnd w:id="144"/>
    </w:p>
    <w:p w14:paraId="09EF7C7E">
      <w:pPr>
        <w:spacing w:line="42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电子招标投标交易平台（即“苏采云”系统，网址：http://jszfcg.jsczt.cn/）相关要求是本招标文件的组成部分。</w:t>
      </w:r>
    </w:p>
    <w:p w14:paraId="65B1618D">
      <w:pPr>
        <w:spacing w:line="460" w:lineRule="exact"/>
        <w:jc w:val="center"/>
        <w:outlineLvl w:val="0"/>
        <w:rPr>
          <w:rFonts w:hint="eastAsia" w:ascii="宋体" w:hAnsi="宋体" w:cs="宋体"/>
          <w:bCs/>
          <w:color w:val="auto"/>
          <w:sz w:val="36"/>
          <w:szCs w:val="36"/>
          <w:highlight w:val="none"/>
        </w:rPr>
      </w:pPr>
      <w:r>
        <w:rPr>
          <w:rFonts w:hint="eastAsia" w:ascii="宋体" w:hAnsi="宋体" w:cs="宋体"/>
          <w:bCs/>
          <w:color w:val="auto"/>
          <w:sz w:val="36"/>
          <w:szCs w:val="36"/>
          <w:highlight w:val="none"/>
        </w:rPr>
        <w:br w:type="page" w:clear="all"/>
      </w:r>
      <w:bookmarkStart w:id="145" w:name="_Toc8914"/>
      <w:bookmarkStart w:id="146" w:name="_Toc21690"/>
      <w:r>
        <w:rPr>
          <w:rFonts w:hint="eastAsia" w:ascii="宋体" w:hAnsi="宋体" w:cs="宋体"/>
          <w:bCs/>
          <w:color w:val="auto"/>
          <w:sz w:val="36"/>
          <w:szCs w:val="36"/>
          <w:highlight w:val="none"/>
        </w:rPr>
        <w:t>第三部分  项目需求</w:t>
      </w:r>
      <w:bookmarkEnd w:id="145"/>
      <w:bookmarkEnd w:id="146"/>
    </w:p>
    <w:p w14:paraId="6F0D06D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投标人在制作投标文件时仔细研究项目需求说明。项目需求包括技术要求和商务要求:技术要求是指对采购标的功能和质量要求，或者服务内容和标准等;商务要求是指取得采购标的的时间、地点、财务和服务要求，包括交付（实施）的时间（期限）和地点（范围），付款条件（进度和方法），售后服务，保险等。</w:t>
      </w:r>
      <w:bookmarkEnd w:id="4"/>
      <w:bookmarkEnd w:id="5"/>
      <w:bookmarkEnd w:id="6"/>
    </w:p>
    <w:p w14:paraId="5499F277">
      <w:pPr>
        <w:spacing w:line="460" w:lineRule="exact"/>
        <w:ind w:firstLine="562"/>
        <w:rPr>
          <w:b/>
          <w:bCs/>
          <w:color w:val="auto"/>
          <w:highlight w:val="none"/>
        </w:rPr>
      </w:pPr>
      <w:r>
        <w:rPr>
          <w:rFonts w:hint="eastAsia" w:ascii="宋体" w:hAnsi="宋体" w:cs="宋体"/>
          <w:b/>
          <w:bCs/>
          <w:color w:val="auto"/>
          <w:sz w:val="28"/>
          <w:szCs w:val="28"/>
          <w:highlight w:val="none"/>
        </w:rPr>
        <w:t>一、项目属性：货物类项目。</w:t>
      </w:r>
    </w:p>
    <w:p w14:paraId="7201092A">
      <w:pPr>
        <w:pStyle w:val="233"/>
        <w:spacing w:before="120" w:after="120"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二、采购清单</w:t>
      </w:r>
    </w:p>
    <w:tbl>
      <w:tblPr>
        <w:tblStyle w:val="49"/>
        <w:tblW w:w="5096" w:type="pct"/>
        <w:tblInd w:w="0" w:type="dxa"/>
        <w:tblLayout w:type="autofit"/>
        <w:tblCellMar>
          <w:top w:w="0" w:type="dxa"/>
          <w:left w:w="108" w:type="dxa"/>
          <w:bottom w:w="0" w:type="dxa"/>
          <w:right w:w="108" w:type="dxa"/>
        </w:tblCellMar>
      </w:tblPr>
      <w:tblGrid>
        <w:gridCol w:w="596"/>
        <w:gridCol w:w="1890"/>
        <w:gridCol w:w="830"/>
        <w:gridCol w:w="712"/>
        <w:gridCol w:w="1499"/>
        <w:gridCol w:w="1103"/>
        <w:gridCol w:w="977"/>
        <w:gridCol w:w="1080"/>
      </w:tblGrid>
      <w:tr w14:paraId="1393FA3F">
        <w:tblPrEx>
          <w:tblCellMar>
            <w:top w:w="0" w:type="dxa"/>
            <w:left w:w="108" w:type="dxa"/>
            <w:bottom w:w="0" w:type="dxa"/>
            <w:right w:w="108" w:type="dxa"/>
          </w:tblCellMar>
        </w:tblPrEx>
        <w:trPr>
          <w:trHeight w:val="286" w:hRule="atLeast"/>
        </w:trPr>
        <w:tc>
          <w:tcPr>
            <w:tcW w:w="3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E76359">
            <w:pPr>
              <w:widowControl/>
              <w:jc w:val="center"/>
              <w:rPr>
                <w:rFonts w:ascii="宋体" w:hAnsi="宋体" w:cs="宋体"/>
                <w:color w:val="auto"/>
                <w:sz w:val="24"/>
                <w:highlight w:val="none"/>
              </w:rPr>
            </w:pPr>
            <w:r>
              <w:rPr>
                <w:rFonts w:hint="eastAsia" w:ascii="宋体" w:hAnsi="宋体" w:cs="宋体"/>
                <w:color w:val="auto"/>
                <w:sz w:val="24"/>
                <w:highlight w:val="none"/>
                <w:lang w:bidi="ar"/>
              </w:rPr>
              <w:t>序号</w:t>
            </w:r>
          </w:p>
        </w:tc>
        <w:tc>
          <w:tcPr>
            <w:tcW w:w="108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189E17">
            <w:pPr>
              <w:widowControl/>
              <w:jc w:val="center"/>
              <w:rPr>
                <w:rFonts w:ascii="宋体" w:hAnsi="宋体" w:cs="宋体"/>
                <w:color w:val="auto"/>
                <w:sz w:val="24"/>
                <w:highlight w:val="none"/>
              </w:rPr>
            </w:pPr>
            <w:r>
              <w:rPr>
                <w:rFonts w:hint="eastAsia" w:ascii="宋体" w:hAnsi="宋体" w:cs="宋体"/>
                <w:color w:val="auto"/>
                <w:sz w:val="24"/>
                <w:highlight w:val="none"/>
                <w:lang w:bidi="ar"/>
              </w:rPr>
              <w:t>设备名称</w:t>
            </w:r>
          </w:p>
        </w:tc>
        <w:tc>
          <w:tcPr>
            <w:tcW w:w="47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8804EA">
            <w:pPr>
              <w:widowControl/>
              <w:jc w:val="center"/>
              <w:rPr>
                <w:rFonts w:ascii="宋体" w:hAnsi="宋体" w:cs="宋体"/>
                <w:color w:val="auto"/>
                <w:sz w:val="24"/>
                <w:highlight w:val="none"/>
              </w:rPr>
            </w:pPr>
            <w:r>
              <w:rPr>
                <w:rFonts w:hint="eastAsia" w:ascii="宋体" w:hAnsi="宋体" w:cs="宋体"/>
                <w:color w:val="auto"/>
                <w:sz w:val="24"/>
                <w:highlight w:val="none"/>
                <w:lang w:bidi="ar"/>
              </w:rPr>
              <w:t>数量</w:t>
            </w:r>
          </w:p>
        </w:tc>
        <w:tc>
          <w:tcPr>
            <w:tcW w:w="4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628247">
            <w:pPr>
              <w:widowControl/>
              <w:jc w:val="center"/>
              <w:rPr>
                <w:rFonts w:ascii="宋体" w:hAnsi="宋体" w:cs="宋体"/>
                <w:color w:val="auto"/>
                <w:sz w:val="24"/>
                <w:highlight w:val="none"/>
              </w:rPr>
            </w:pPr>
            <w:r>
              <w:rPr>
                <w:rFonts w:hint="eastAsia" w:ascii="宋体" w:hAnsi="宋体" w:cs="宋体"/>
                <w:color w:val="auto"/>
                <w:sz w:val="24"/>
                <w:highlight w:val="none"/>
                <w:lang w:bidi="ar"/>
              </w:rPr>
              <w:t>单位</w:t>
            </w:r>
          </w:p>
        </w:tc>
        <w:tc>
          <w:tcPr>
            <w:tcW w:w="86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66EEA2">
            <w:pPr>
              <w:widowControl/>
              <w:jc w:val="center"/>
              <w:rPr>
                <w:rFonts w:ascii="宋体" w:hAnsi="宋体" w:cs="宋体"/>
                <w:color w:val="auto"/>
                <w:sz w:val="24"/>
                <w:highlight w:val="none"/>
                <w:lang w:bidi="ar"/>
              </w:rPr>
            </w:pPr>
            <w:r>
              <w:rPr>
                <w:rFonts w:hint="eastAsia" w:ascii="宋体" w:hAnsi="宋体" w:cs="宋体"/>
                <w:b/>
                <w:color w:val="auto"/>
                <w:sz w:val="24"/>
                <w:highlight w:val="none"/>
              </w:rPr>
              <w:t>对应中小企业划分标准所属行业</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5840C7">
            <w:pPr>
              <w:spacing w:line="460" w:lineRule="exact"/>
              <w:jc w:val="center"/>
              <w:rPr>
                <w:rFonts w:ascii="宋体" w:hAnsi="宋体" w:cs="宋体"/>
                <w:b/>
                <w:color w:val="auto"/>
                <w:sz w:val="24"/>
                <w:highlight w:val="none"/>
              </w:rPr>
            </w:pPr>
            <w:r>
              <w:rPr>
                <w:rFonts w:hint="eastAsia" w:ascii="宋体" w:hAnsi="宋体" w:cs="宋体"/>
                <w:b/>
                <w:color w:val="auto"/>
                <w:sz w:val="24"/>
                <w:highlight w:val="none"/>
              </w:rPr>
              <w:t>是否主要标的</w:t>
            </w:r>
          </w:p>
        </w:tc>
        <w:tc>
          <w:tcPr>
            <w:tcW w:w="5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F68F0A">
            <w:pPr>
              <w:spacing w:line="460" w:lineRule="exact"/>
              <w:jc w:val="center"/>
              <w:rPr>
                <w:rFonts w:ascii="宋体" w:hAnsi="宋体" w:cs="宋体"/>
                <w:b/>
                <w:color w:val="auto"/>
                <w:sz w:val="24"/>
                <w:highlight w:val="none"/>
              </w:rPr>
            </w:pPr>
            <w:r>
              <w:rPr>
                <w:rFonts w:hint="eastAsia" w:ascii="宋体" w:hAnsi="宋体" w:cs="宋体"/>
                <w:b/>
                <w:color w:val="auto"/>
                <w:sz w:val="24"/>
                <w:highlight w:val="none"/>
              </w:rPr>
              <w:t>是否核心产品</w:t>
            </w:r>
          </w:p>
        </w:tc>
        <w:tc>
          <w:tcPr>
            <w:tcW w:w="62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155EEA">
            <w:pPr>
              <w:spacing w:line="460" w:lineRule="exact"/>
              <w:jc w:val="center"/>
              <w:rPr>
                <w:rFonts w:ascii="宋体" w:hAnsi="宋体" w:cs="宋体"/>
                <w:b/>
                <w:color w:val="auto"/>
                <w:sz w:val="24"/>
                <w:highlight w:val="none"/>
              </w:rPr>
            </w:pPr>
            <w:r>
              <w:rPr>
                <w:rFonts w:hint="eastAsia" w:ascii="宋体" w:hAnsi="宋体" w:cs="宋体"/>
                <w:b/>
                <w:color w:val="auto"/>
                <w:sz w:val="24"/>
                <w:highlight w:val="none"/>
              </w:rPr>
              <w:t>是否强制节能</w:t>
            </w:r>
          </w:p>
        </w:tc>
      </w:tr>
      <w:tr w14:paraId="0FA3F6B4">
        <w:tblPrEx>
          <w:tblCellMar>
            <w:top w:w="0" w:type="dxa"/>
            <w:left w:w="108" w:type="dxa"/>
            <w:bottom w:w="0" w:type="dxa"/>
            <w:right w:w="108" w:type="dxa"/>
          </w:tblCellMar>
        </w:tblPrEx>
        <w:trPr>
          <w:trHeight w:val="286"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2AC9B3">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w:t>
            </w:r>
          </w:p>
        </w:tc>
        <w:tc>
          <w:tcPr>
            <w:tcW w:w="18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16C759">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小型教室黑板</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F4DA78">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13</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8D9700">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套</w:t>
            </w:r>
          </w:p>
        </w:tc>
        <w:tc>
          <w:tcPr>
            <w:tcW w:w="86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9D32EF">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工业</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992DAC">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5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F831E7">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62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8ED142">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r>
      <w:tr w14:paraId="1C3A3E53">
        <w:tblPrEx>
          <w:tblCellMar>
            <w:top w:w="0" w:type="dxa"/>
            <w:left w:w="108" w:type="dxa"/>
            <w:bottom w:w="0" w:type="dxa"/>
            <w:right w:w="108" w:type="dxa"/>
          </w:tblCellMar>
        </w:tblPrEx>
        <w:trPr>
          <w:trHeight w:val="9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A5CD08">
            <w:pPr>
              <w:widowControl/>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w:t>
            </w:r>
          </w:p>
        </w:tc>
        <w:tc>
          <w:tcPr>
            <w:tcW w:w="18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841299">
            <w:pPr>
              <w:widowControl/>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中、大型教室黑板</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54304F">
            <w:pPr>
              <w:widowControl/>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29</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615111">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套</w:t>
            </w:r>
          </w:p>
        </w:tc>
        <w:tc>
          <w:tcPr>
            <w:tcW w:w="86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685E17">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工业</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7A9AEE">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5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2CD942">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62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E30EA6">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r>
      <w:tr w14:paraId="79BCC6E2">
        <w:tblPrEx>
          <w:tblCellMar>
            <w:top w:w="0" w:type="dxa"/>
            <w:left w:w="108" w:type="dxa"/>
            <w:bottom w:w="0" w:type="dxa"/>
            <w:right w:w="108" w:type="dxa"/>
          </w:tblCellMar>
        </w:tblPrEx>
        <w:trPr>
          <w:trHeight w:val="286"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C6C320">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3</w:t>
            </w:r>
          </w:p>
        </w:tc>
        <w:tc>
          <w:tcPr>
            <w:tcW w:w="18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4866F2">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阶梯教室上下推拉黑板</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90091D">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3</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77A56C">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套</w:t>
            </w:r>
          </w:p>
        </w:tc>
        <w:tc>
          <w:tcPr>
            <w:tcW w:w="86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501944">
            <w:pPr>
              <w:widowControl/>
              <w:jc w:val="center"/>
              <w:rPr>
                <w:rFonts w:ascii="宋体" w:hAnsi="宋体" w:cs="宋体"/>
                <w:color w:val="auto"/>
                <w:sz w:val="24"/>
                <w:highlight w:val="none"/>
              </w:rPr>
            </w:pPr>
            <w:r>
              <w:rPr>
                <w:rFonts w:hint="eastAsia" w:ascii="宋体" w:hAnsi="宋体" w:cs="宋体"/>
                <w:color w:val="auto"/>
                <w:sz w:val="24"/>
                <w:highlight w:val="none"/>
                <w:lang w:bidi="ar"/>
              </w:rPr>
              <w:t>工业</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2EBCB5">
            <w:pPr>
              <w:widowControl/>
              <w:jc w:val="center"/>
              <w:rPr>
                <w:rFonts w:ascii="宋体" w:hAnsi="宋体" w:cs="宋体"/>
                <w:color w:val="auto"/>
                <w:sz w:val="24"/>
                <w:highlight w:val="none"/>
              </w:rPr>
            </w:pPr>
            <w:r>
              <w:rPr>
                <w:rFonts w:hint="eastAsia" w:ascii="宋体" w:hAnsi="宋体" w:cs="宋体"/>
                <w:color w:val="auto"/>
                <w:sz w:val="24"/>
                <w:highlight w:val="none"/>
                <w:lang w:bidi="ar"/>
              </w:rPr>
              <w:t>否</w:t>
            </w:r>
          </w:p>
        </w:tc>
        <w:tc>
          <w:tcPr>
            <w:tcW w:w="5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388263">
            <w:pPr>
              <w:widowControl/>
              <w:jc w:val="center"/>
              <w:rPr>
                <w:rFonts w:ascii="宋体" w:hAnsi="宋体" w:cs="宋体"/>
                <w:color w:val="auto"/>
                <w:sz w:val="24"/>
                <w:highlight w:val="none"/>
              </w:rPr>
            </w:pPr>
            <w:r>
              <w:rPr>
                <w:rFonts w:hint="eastAsia" w:ascii="宋体" w:hAnsi="宋体" w:cs="宋体"/>
                <w:color w:val="auto"/>
                <w:sz w:val="24"/>
                <w:highlight w:val="none"/>
                <w:lang w:bidi="ar"/>
              </w:rPr>
              <w:t>否</w:t>
            </w:r>
          </w:p>
        </w:tc>
        <w:tc>
          <w:tcPr>
            <w:tcW w:w="62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88182B">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r>
      <w:tr w14:paraId="05CB745E">
        <w:tblPrEx>
          <w:tblCellMar>
            <w:top w:w="0" w:type="dxa"/>
            <w:left w:w="108" w:type="dxa"/>
            <w:bottom w:w="0" w:type="dxa"/>
            <w:right w:w="108" w:type="dxa"/>
          </w:tblCellMar>
        </w:tblPrEx>
        <w:trPr>
          <w:trHeight w:val="286"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8ADFA7">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4</w:t>
            </w:r>
          </w:p>
        </w:tc>
        <w:tc>
          <w:tcPr>
            <w:tcW w:w="18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F8C0D0">
            <w:pPr>
              <w:widowControl/>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120寸幕布</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072C79">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35</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075C06">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幅</w:t>
            </w:r>
          </w:p>
        </w:tc>
        <w:tc>
          <w:tcPr>
            <w:tcW w:w="86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AE991A">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工业</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C27E6B">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5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34CD28">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62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8E7270">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r>
      <w:tr w14:paraId="70C974FE">
        <w:tblPrEx>
          <w:tblCellMar>
            <w:top w:w="0" w:type="dxa"/>
            <w:left w:w="108" w:type="dxa"/>
            <w:bottom w:w="0" w:type="dxa"/>
            <w:right w:w="108" w:type="dxa"/>
          </w:tblCellMar>
        </w:tblPrEx>
        <w:trPr>
          <w:trHeight w:val="286"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A00216">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5</w:t>
            </w:r>
          </w:p>
        </w:tc>
        <w:tc>
          <w:tcPr>
            <w:tcW w:w="18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A970E1">
            <w:pPr>
              <w:widowControl/>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150寸幕布</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51548B">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3</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0C1514">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幅</w:t>
            </w:r>
          </w:p>
        </w:tc>
        <w:tc>
          <w:tcPr>
            <w:tcW w:w="86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8BDB86">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工业</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AEC70F">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5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0D74ED">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62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C8A6EC">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r>
      <w:tr w14:paraId="1E330D7E">
        <w:tblPrEx>
          <w:tblCellMar>
            <w:top w:w="0" w:type="dxa"/>
            <w:left w:w="108" w:type="dxa"/>
            <w:bottom w:w="0" w:type="dxa"/>
            <w:right w:w="108" w:type="dxa"/>
          </w:tblCellMar>
        </w:tblPrEx>
        <w:trPr>
          <w:trHeight w:val="286"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81EA27">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6</w:t>
            </w:r>
          </w:p>
        </w:tc>
        <w:tc>
          <w:tcPr>
            <w:tcW w:w="18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DCF998">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讲台控制面板</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105B0A">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45</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6E0B71">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台</w:t>
            </w:r>
          </w:p>
        </w:tc>
        <w:tc>
          <w:tcPr>
            <w:tcW w:w="86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EFBAD8">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工业</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68A731">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5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1703C3">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62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BA1AF9">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r>
      <w:tr w14:paraId="56F0F80C">
        <w:tblPrEx>
          <w:tblCellMar>
            <w:top w:w="0" w:type="dxa"/>
            <w:left w:w="108" w:type="dxa"/>
            <w:bottom w:w="0" w:type="dxa"/>
            <w:right w:w="108" w:type="dxa"/>
          </w:tblCellMar>
        </w:tblPrEx>
        <w:trPr>
          <w:trHeight w:val="286"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16E68E">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7</w:t>
            </w:r>
          </w:p>
        </w:tc>
        <w:tc>
          <w:tcPr>
            <w:tcW w:w="18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2D1548">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智能升降讲台</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D6EFA5">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45</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069920">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张</w:t>
            </w:r>
          </w:p>
        </w:tc>
        <w:tc>
          <w:tcPr>
            <w:tcW w:w="86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81631B">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工业</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73CF00">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5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71C317">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62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5DEB1A">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r>
      <w:tr w14:paraId="283EA48C">
        <w:tblPrEx>
          <w:tblCellMar>
            <w:top w:w="0" w:type="dxa"/>
            <w:left w:w="108" w:type="dxa"/>
            <w:bottom w:w="0" w:type="dxa"/>
            <w:right w:w="108" w:type="dxa"/>
          </w:tblCellMar>
        </w:tblPrEx>
        <w:trPr>
          <w:trHeight w:val="286"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40F848">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8</w:t>
            </w:r>
          </w:p>
        </w:tc>
        <w:tc>
          <w:tcPr>
            <w:tcW w:w="18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E7B41B">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中控主机</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30DEA3">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45</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00DD68">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台</w:t>
            </w:r>
          </w:p>
        </w:tc>
        <w:tc>
          <w:tcPr>
            <w:tcW w:w="86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E32C72">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工业</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30E42C">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5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A2AAE6">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62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3922CF">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r>
      <w:tr w14:paraId="4CB96DB0">
        <w:tblPrEx>
          <w:tblCellMar>
            <w:top w:w="0" w:type="dxa"/>
            <w:left w:w="108" w:type="dxa"/>
            <w:bottom w:w="0" w:type="dxa"/>
            <w:right w:w="108" w:type="dxa"/>
          </w:tblCellMar>
        </w:tblPrEx>
        <w:trPr>
          <w:trHeight w:val="286"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145977">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9</w:t>
            </w:r>
          </w:p>
        </w:tc>
        <w:tc>
          <w:tcPr>
            <w:tcW w:w="18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312F49">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智联矩阵</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FF77C8">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45</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7C82F6">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台</w:t>
            </w:r>
          </w:p>
        </w:tc>
        <w:tc>
          <w:tcPr>
            <w:tcW w:w="86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5FF9DE">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工业</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42DEBF">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5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85B23F">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62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CCB8B3">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r>
      <w:tr w14:paraId="29D596C8">
        <w:tblPrEx>
          <w:tblCellMar>
            <w:top w:w="0" w:type="dxa"/>
            <w:left w:w="108" w:type="dxa"/>
            <w:bottom w:w="0" w:type="dxa"/>
            <w:right w:w="108" w:type="dxa"/>
          </w:tblCellMar>
        </w:tblPrEx>
        <w:trPr>
          <w:trHeight w:val="286"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2553F7">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10</w:t>
            </w:r>
          </w:p>
        </w:tc>
        <w:tc>
          <w:tcPr>
            <w:tcW w:w="18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E308F2">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中控管理平台</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55D162">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DA0AC5">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套</w:t>
            </w:r>
          </w:p>
        </w:tc>
        <w:tc>
          <w:tcPr>
            <w:tcW w:w="86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64C863">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软件和信息技术服务业</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F2CD1F">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5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927497">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62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7C7713">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r>
      <w:tr w14:paraId="0B122003">
        <w:tblPrEx>
          <w:tblCellMar>
            <w:top w:w="0" w:type="dxa"/>
            <w:left w:w="108" w:type="dxa"/>
            <w:bottom w:w="0" w:type="dxa"/>
            <w:right w:w="108" w:type="dxa"/>
          </w:tblCellMar>
        </w:tblPrEx>
        <w:trPr>
          <w:trHeight w:val="286"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06B84A">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11</w:t>
            </w:r>
          </w:p>
        </w:tc>
        <w:tc>
          <w:tcPr>
            <w:tcW w:w="18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B62F00">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智能音频主机</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45321E">
            <w:pPr>
              <w:widowControl/>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bidi="ar"/>
              </w:rPr>
              <w:t>45</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DF9B96">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台</w:t>
            </w:r>
          </w:p>
        </w:tc>
        <w:tc>
          <w:tcPr>
            <w:tcW w:w="86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1B80D6">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工业</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05B047">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5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82555C">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62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4C09D9">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r>
      <w:tr w14:paraId="2FAA0984">
        <w:tblPrEx>
          <w:tblCellMar>
            <w:top w:w="0" w:type="dxa"/>
            <w:left w:w="108" w:type="dxa"/>
            <w:bottom w:w="0" w:type="dxa"/>
            <w:right w:w="108" w:type="dxa"/>
          </w:tblCellMar>
        </w:tblPrEx>
        <w:trPr>
          <w:trHeight w:val="286"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8AF277">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12</w:t>
            </w:r>
          </w:p>
        </w:tc>
        <w:tc>
          <w:tcPr>
            <w:tcW w:w="18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90AE60">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扩声音箱</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560284">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58</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0DBB13">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对</w:t>
            </w:r>
          </w:p>
        </w:tc>
        <w:tc>
          <w:tcPr>
            <w:tcW w:w="86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AAF7F3">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工业</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209855">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5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C0331A">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62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B9BA68">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r>
      <w:tr w14:paraId="39EE2C3E">
        <w:tblPrEx>
          <w:tblCellMar>
            <w:top w:w="0" w:type="dxa"/>
            <w:left w:w="108" w:type="dxa"/>
            <w:bottom w:w="0" w:type="dxa"/>
            <w:right w:w="108" w:type="dxa"/>
          </w:tblCellMar>
        </w:tblPrEx>
        <w:trPr>
          <w:trHeight w:val="286"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53A1E8">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13</w:t>
            </w:r>
          </w:p>
        </w:tc>
        <w:tc>
          <w:tcPr>
            <w:tcW w:w="18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F3700C">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拾音麦克风</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F692A3">
            <w:pPr>
              <w:widowControl/>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w:t>
            </w:r>
            <w:r>
              <w:rPr>
                <w:rFonts w:hint="eastAsia" w:ascii="宋体" w:hAnsi="宋体" w:cs="宋体"/>
                <w:color w:val="auto"/>
                <w:sz w:val="24"/>
                <w:highlight w:val="none"/>
                <w:lang w:val="en-US" w:eastAsia="zh-CN"/>
              </w:rPr>
              <w:t>8</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6B95DF">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只</w:t>
            </w:r>
          </w:p>
        </w:tc>
        <w:tc>
          <w:tcPr>
            <w:tcW w:w="86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F2A529">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工业</w:t>
            </w:r>
          </w:p>
        </w:tc>
        <w:tc>
          <w:tcPr>
            <w:tcW w:w="11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730451">
            <w:pPr>
              <w:widowControl/>
              <w:jc w:val="center"/>
              <w:rPr>
                <w:rFonts w:ascii="宋体" w:hAnsi="宋体" w:cs="宋体"/>
                <w:b/>
                <w:bCs/>
                <w:color w:val="auto"/>
                <w:sz w:val="24"/>
                <w:highlight w:val="none"/>
                <w:lang w:bidi="ar"/>
              </w:rPr>
            </w:pPr>
            <w:r>
              <w:rPr>
                <w:rFonts w:hint="eastAsia" w:ascii="宋体" w:hAnsi="宋体" w:cs="宋体"/>
                <w:color w:val="auto"/>
                <w:sz w:val="24"/>
                <w:highlight w:val="none"/>
                <w:lang w:bidi="ar"/>
              </w:rPr>
              <w:t>否</w:t>
            </w:r>
          </w:p>
        </w:tc>
        <w:tc>
          <w:tcPr>
            <w:tcW w:w="9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658C52">
            <w:pPr>
              <w:widowControl/>
              <w:jc w:val="center"/>
              <w:rPr>
                <w:rFonts w:ascii="宋体" w:hAnsi="宋体" w:cs="宋体"/>
                <w:b/>
                <w:bCs/>
                <w:color w:val="auto"/>
                <w:sz w:val="24"/>
                <w:highlight w:val="none"/>
                <w:lang w:bidi="ar"/>
              </w:rPr>
            </w:pPr>
            <w:r>
              <w:rPr>
                <w:rFonts w:hint="eastAsia" w:ascii="宋体" w:hAnsi="宋体" w:cs="宋体"/>
                <w:color w:val="auto"/>
                <w:sz w:val="24"/>
                <w:highlight w:val="none"/>
                <w:lang w:bidi="ar"/>
              </w:rPr>
              <w:t>否</w:t>
            </w:r>
          </w:p>
        </w:tc>
        <w:tc>
          <w:tcPr>
            <w:tcW w:w="62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E75B9B">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r>
      <w:tr w14:paraId="7607E6C8">
        <w:tblPrEx>
          <w:tblCellMar>
            <w:top w:w="0" w:type="dxa"/>
            <w:left w:w="108" w:type="dxa"/>
            <w:bottom w:w="0" w:type="dxa"/>
            <w:right w:w="108" w:type="dxa"/>
          </w:tblCellMar>
        </w:tblPrEx>
        <w:trPr>
          <w:trHeight w:val="286"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F2D4DB">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14</w:t>
            </w:r>
          </w:p>
        </w:tc>
        <w:tc>
          <w:tcPr>
            <w:tcW w:w="18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BB1760">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多功能无线麦克风套装</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1353F2">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45</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1533F9">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套</w:t>
            </w:r>
          </w:p>
        </w:tc>
        <w:tc>
          <w:tcPr>
            <w:tcW w:w="86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49C60D">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工业</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1AC00F">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5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E02C3B">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62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99DBE2">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r>
      <w:tr w14:paraId="0867DD8D">
        <w:tblPrEx>
          <w:tblCellMar>
            <w:top w:w="0" w:type="dxa"/>
            <w:left w:w="108" w:type="dxa"/>
            <w:bottom w:w="0" w:type="dxa"/>
            <w:right w:w="108" w:type="dxa"/>
          </w:tblCellMar>
        </w:tblPrEx>
        <w:trPr>
          <w:trHeight w:val="564"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E3F203">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15</w:t>
            </w:r>
          </w:p>
        </w:tc>
        <w:tc>
          <w:tcPr>
            <w:tcW w:w="18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4CEC64">
            <w:pPr>
              <w:widowControl/>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AI分析智能主机</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62AE6C">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45</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BCCB1C">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台</w:t>
            </w:r>
          </w:p>
        </w:tc>
        <w:tc>
          <w:tcPr>
            <w:tcW w:w="86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5EEBCC">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工业</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6E5D1A">
            <w:pPr>
              <w:widowControl/>
              <w:jc w:val="center"/>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是</w:t>
            </w:r>
          </w:p>
        </w:tc>
        <w:tc>
          <w:tcPr>
            <w:tcW w:w="5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316242">
            <w:pPr>
              <w:widowControl/>
              <w:jc w:val="center"/>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是</w:t>
            </w:r>
          </w:p>
        </w:tc>
        <w:tc>
          <w:tcPr>
            <w:tcW w:w="62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0D5E54">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r>
      <w:tr w14:paraId="59447151">
        <w:tblPrEx>
          <w:tblCellMar>
            <w:top w:w="0" w:type="dxa"/>
            <w:left w:w="108" w:type="dxa"/>
            <w:bottom w:w="0" w:type="dxa"/>
            <w:right w:w="108" w:type="dxa"/>
          </w:tblCellMar>
        </w:tblPrEx>
        <w:trPr>
          <w:trHeight w:val="90"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20F9EA">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16</w:t>
            </w:r>
          </w:p>
        </w:tc>
        <w:tc>
          <w:tcPr>
            <w:tcW w:w="18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53DDC9">
            <w:pPr>
              <w:widowControl/>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导播互动系统</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7CFBB0">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45</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19E3B4">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套</w:t>
            </w:r>
          </w:p>
        </w:tc>
        <w:tc>
          <w:tcPr>
            <w:tcW w:w="86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3FFDA8">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软件和信息技术服务业</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50BCC5">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5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34BF78">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62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8008B1">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r>
      <w:tr w14:paraId="55D727FC">
        <w:tblPrEx>
          <w:tblCellMar>
            <w:top w:w="0" w:type="dxa"/>
            <w:left w:w="108" w:type="dxa"/>
            <w:bottom w:w="0" w:type="dxa"/>
            <w:right w:w="108" w:type="dxa"/>
          </w:tblCellMar>
        </w:tblPrEx>
        <w:trPr>
          <w:trHeight w:val="564"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5767DC">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17</w:t>
            </w:r>
          </w:p>
        </w:tc>
        <w:tc>
          <w:tcPr>
            <w:tcW w:w="18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F5CF00">
            <w:pPr>
              <w:widowControl/>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AI分析教师端视频处理系统</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8D44B2">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45</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367783">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套</w:t>
            </w:r>
          </w:p>
        </w:tc>
        <w:tc>
          <w:tcPr>
            <w:tcW w:w="86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B873AB">
            <w:pPr>
              <w:widowControl/>
              <w:jc w:val="center"/>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工业</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1D9344">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5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614224">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62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896DEC">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r>
      <w:tr w14:paraId="26034796">
        <w:tblPrEx>
          <w:tblCellMar>
            <w:top w:w="0" w:type="dxa"/>
            <w:left w:w="108" w:type="dxa"/>
            <w:bottom w:w="0" w:type="dxa"/>
            <w:right w:w="108" w:type="dxa"/>
          </w:tblCellMar>
        </w:tblPrEx>
        <w:trPr>
          <w:trHeight w:val="286"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367A56">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18</w:t>
            </w:r>
          </w:p>
        </w:tc>
        <w:tc>
          <w:tcPr>
            <w:tcW w:w="18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96F004">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AI分析学生端视频处理系统</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E62264">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45</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7E9F94">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套</w:t>
            </w:r>
          </w:p>
        </w:tc>
        <w:tc>
          <w:tcPr>
            <w:tcW w:w="86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4458F7">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工业</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9E7DC7">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5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42388C">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62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60AAD8">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r>
      <w:tr w14:paraId="78266DBE">
        <w:tblPrEx>
          <w:tblCellMar>
            <w:top w:w="0" w:type="dxa"/>
            <w:left w:w="108" w:type="dxa"/>
            <w:bottom w:w="0" w:type="dxa"/>
            <w:right w:w="108" w:type="dxa"/>
          </w:tblCellMar>
        </w:tblPrEx>
        <w:trPr>
          <w:trHeight w:val="286"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C49D87">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19</w:t>
            </w:r>
          </w:p>
        </w:tc>
        <w:tc>
          <w:tcPr>
            <w:tcW w:w="18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FAF854">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AI分析声音采集前端处理系统</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1B278E">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58</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852D4B">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套</w:t>
            </w:r>
          </w:p>
        </w:tc>
        <w:tc>
          <w:tcPr>
            <w:tcW w:w="86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206D8F">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工业</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6FF5E7">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5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09778F">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c>
          <w:tcPr>
            <w:tcW w:w="62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ACE001">
            <w:pPr>
              <w:widowControl/>
              <w:jc w:val="center"/>
              <w:rPr>
                <w:rFonts w:ascii="宋体" w:hAnsi="宋体" w:cs="宋体"/>
                <w:color w:val="auto"/>
                <w:sz w:val="24"/>
                <w:highlight w:val="none"/>
                <w:lang w:bidi="ar"/>
              </w:rPr>
            </w:pPr>
            <w:r>
              <w:rPr>
                <w:rFonts w:hint="eastAsia" w:ascii="宋体" w:hAnsi="宋体" w:cs="宋体"/>
                <w:color w:val="auto"/>
                <w:sz w:val="24"/>
                <w:highlight w:val="none"/>
                <w:lang w:bidi="ar"/>
              </w:rPr>
              <w:t>否</w:t>
            </w:r>
          </w:p>
        </w:tc>
      </w:tr>
      <w:tr w14:paraId="6F15FDEA">
        <w:tblPrEx>
          <w:tblCellMar>
            <w:top w:w="0" w:type="dxa"/>
            <w:left w:w="108" w:type="dxa"/>
            <w:bottom w:w="0" w:type="dxa"/>
            <w:right w:w="108" w:type="dxa"/>
          </w:tblCellMar>
        </w:tblPrEx>
        <w:trPr>
          <w:trHeight w:val="286"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09FF34">
            <w:pPr>
              <w:widowControl/>
              <w:jc w:val="center"/>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20</w:t>
            </w:r>
          </w:p>
        </w:tc>
        <w:tc>
          <w:tcPr>
            <w:tcW w:w="18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321259">
            <w:pPr>
              <w:widowControl/>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教学质量管理平台</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529629">
            <w:pPr>
              <w:widowControl/>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F58204">
            <w:pPr>
              <w:widowControl/>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套</w:t>
            </w:r>
          </w:p>
        </w:tc>
        <w:tc>
          <w:tcPr>
            <w:tcW w:w="86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1FD41F">
            <w:pPr>
              <w:widowControl/>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软件和信息技术服务业</w:t>
            </w:r>
          </w:p>
        </w:tc>
        <w:tc>
          <w:tcPr>
            <w:tcW w:w="11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8242CE">
            <w:pPr>
              <w:widowControl/>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否</w:t>
            </w:r>
          </w:p>
        </w:tc>
        <w:tc>
          <w:tcPr>
            <w:tcW w:w="9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9CD223">
            <w:pPr>
              <w:widowControl/>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否</w:t>
            </w:r>
          </w:p>
        </w:tc>
        <w:tc>
          <w:tcPr>
            <w:tcW w:w="62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93B128">
            <w:pPr>
              <w:widowControl/>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否</w:t>
            </w:r>
          </w:p>
        </w:tc>
      </w:tr>
      <w:tr w14:paraId="24414766">
        <w:tblPrEx>
          <w:tblCellMar>
            <w:top w:w="0" w:type="dxa"/>
            <w:left w:w="108" w:type="dxa"/>
            <w:bottom w:w="0" w:type="dxa"/>
            <w:right w:w="108" w:type="dxa"/>
          </w:tblCellMar>
        </w:tblPrEx>
        <w:trPr>
          <w:trHeight w:val="286" w:hRule="atLeast"/>
        </w:trPr>
        <w:tc>
          <w:tcPr>
            <w:tcW w:w="5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5C261A">
            <w:pPr>
              <w:widowControl/>
              <w:jc w:val="center"/>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21</w:t>
            </w:r>
          </w:p>
        </w:tc>
        <w:tc>
          <w:tcPr>
            <w:tcW w:w="18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C69F8E">
            <w:pPr>
              <w:widowControl/>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AI教学评价系统</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3B3858">
            <w:pPr>
              <w:widowControl/>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B15433">
            <w:pPr>
              <w:widowControl/>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套</w:t>
            </w:r>
          </w:p>
        </w:tc>
        <w:tc>
          <w:tcPr>
            <w:tcW w:w="86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5C3912">
            <w:pPr>
              <w:widowControl/>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软件和信息技术服务业</w:t>
            </w:r>
          </w:p>
        </w:tc>
        <w:tc>
          <w:tcPr>
            <w:tcW w:w="11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C34F61">
            <w:pPr>
              <w:widowControl/>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否</w:t>
            </w:r>
          </w:p>
        </w:tc>
        <w:tc>
          <w:tcPr>
            <w:tcW w:w="9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469DDB">
            <w:pPr>
              <w:widowControl/>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否</w:t>
            </w:r>
          </w:p>
        </w:tc>
        <w:tc>
          <w:tcPr>
            <w:tcW w:w="62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EE0CA1">
            <w:pPr>
              <w:widowControl/>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否</w:t>
            </w:r>
          </w:p>
        </w:tc>
      </w:tr>
    </w:tbl>
    <w:p w14:paraId="17DDFC30">
      <w:pPr>
        <w:spacing w:line="460" w:lineRule="exact"/>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t>注：采购范围还包含实现本项目采购功能的系统集成、施工</w:t>
      </w:r>
      <w:r>
        <w:rPr>
          <w:rFonts w:hint="eastAsia" w:ascii="宋体" w:hAnsi="宋体" w:cs="宋体"/>
          <w:b/>
          <w:color w:val="auto"/>
          <w:sz w:val="28"/>
          <w:szCs w:val="28"/>
          <w:highlight w:val="none"/>
          <w:lang w:eastAsia="zh-CN"/>
        </w:rPr>
        <w:t>（含各类施工辅材）</w:t>
      </w:r>
      <w:r>
        <w:rPr>
          <w:rFonts w:hint="eastAsia" w:ascii="宋体" w:hAnsi="宋体" w:cs="宋体"/>
          <w:b/>
          <w:color w:val="auto"/>
          <w:sz w:val="28"/>
          <w:szCs w:val="28"/>
          <w:highlight w:val="none"/>
        </w:rPr>
        <w:t>等工作内容。</w:t>
      </w:r>
    </w:p>
    <w:p w14:paraId="56A229CF">
      <w:pPr>
        <w:pStyle w:val="233"/>
        <w:keepNext w:val="0"/>
        <w:keepLines w:val="0"/>
        <w:pageBreakBefore w:val="0"/>
        <w:widowControl w:val="0"/>
        <w:spacing w:line="460" w:lineRule="exact"/>
        <w:ind w:left="0" w:firstLine="562"/>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三、</w:t>
      </w:r>
      <w:r>
        <w:rPr>
          <w:rFonts w:hint="eastAsia" w:ascii="宋体" w:hAnsi="宋体" w:eastAsia="宋体" w:cs="宋体"/>
          <w:b/>
          <w:bCs/>
          <w:color w:val="auto"/>
          <w:sz w:val="28"/>
          <w:szCs w:val="28"/>
          <w:highlight w:val="none"/>
        </w:rPr>
        <w:t>项目概况</w:t>
      </w:r>
    </w:p>
    <w:p w14:paraId="4496C2EB">
      <w:pPr>
        <w:keepNext w:val="0"/>
        <w:keepLines w:val="0"/>
        <w:pageBreakBefore w:val="0"/>
        <w:widowControl w:val="0"/>
        <w:spacing w:line="460" w:lineRule="exact"/>
        <w:ind w:firstLine="56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项目旨在南通职业大学钟秀校区A03教学楼1-9层新建45间常规智慧教室，其中小型智慧教室13间（单间面积64㎡左右，8m×8m）、中型智慧教室19间（单间面积96㎡左右，8m×12m）、大型智慧教室10间（单间面积128㎡左右，16m×8m）、阶梯教室3间（单间面积260㎡左右，16m×16.25m）。</w:t>
      </w:r>
    </w:p>
    <w:p w14:paraId="435537E2">
      <w:pPr>
        <w:keepNext w:val="0"/>
        <w:keepLines w:val="0"/>
        <w:pageBreakBefore w:val="0"/>
        <w:widowControl w:val="0"/>
        <w:spacing w:line="460" w:lineRule="exact"/>
        <w:ind w:firstLine="56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智慧教室配置黑板、中控系统、无感扩声、常态化录播，配置教学质量管理平台系统等，全面支撑智能助学、智能助管、智能</w:t>
      </w:r>
      <w:r>
        <w:rPr>
          <w:rFonts w:hint="eastAsia" w:ascii="宋体" w:hAnsi="宋体" w:eastAsia="宋体" w:cs="宋体"/>
          <w:color w:val="auto"/>
          <w:sz w:val="28"/>
          <w:szCs w:val="28"/>
          <w:highlight w:val="none"/>
          <w:lang w:val="en-US" w:eastAsia="zh-CN"/>
        </w:rPr>
        <w:t>助</w:t>
      </w:r>
      <w:r>
        <w:rPr>
          <w:rFonts w:hint="eastAsia" w:ascii="宋体" w:hAnsi="宋体" w:eastAsia="宋体" w:cs="宋体"/>
          <w:color w:val="auto"/>
          <w:sz w:val="28"/>
          <w:szCs w:val="28"/>
          <w:highlight w:val="none"/>
        </w:rPr>
        <w:t>评等核心应用，提升教学效率与管理水平。</w:t>
      </w:r>
    </w:p>
    <w:p w14:paraId="63FAB223">
      <w:pPr>
        <w:keepNext w:val="0"/>
        <w:keepLines w:val="0"/>
        <w:pageBreakBefore w:val="0"/>
        <w:widowControl w:val="0"/>
        <w:spacing w:line="460" w:lineRule="exact"/>
        <w:ind w:firstLine="560"/>
        <w:jc w:val="lef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采购人提供设备如下：</w:t>
      </w:r>
    </w:p>
    <w:p w14:paraId="0CD02DAB">
      <w:pPr>
        <w:keepNext w:val="0"/>
        <w:keepLines w:val="0"/>
        <w:pageBreakBefore w:val="0"/>
        <w:widowControl w:val="0"/>
        <w:spacing w:line="460" w:lineRule="exact"/>
        <w:ind w:firstLine="560"/>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val="en-US" w:eastAsia="zh-CN"/>
        </w:rPr>
        <w:t>①</w:t>
      </w:r>
      <w:r>
        <w:rPr>
          <w:rFonts w:hint="eastAsia" w:ascii="宋体" w:hAnsi="宋体" w:eastAsia="宋体" w:cs="宋体"/>
          <w:color w:val="auto"/>
          <w:sz w:val="28"/>
          <w:szCs w:val="28"/>
          <w:highlight w:val="none"/>
        </w:rPr>
        <w:t>38台长焦激光投影仪（</w:t>
      </w:r>
      <w:r>
        <w:rPr>
          <w:rFonts w:hint="eastAsia" w:ascii="宋体" w:hAnsi="宋体" w:cs="宋体"/>
          <w:color w:val="auto"/>
          <w:sz w:val="28"/>
          <w:szCs w:val="28"/>
          <w:highlight w:val="none"/>
          <w:lang w:eastAsia="zh-CN"/>
        </w:rPr>
        <w:t>不含吊装支架和各类施工辅助线材</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p>
    <w:p w14:paraId="0844BA50">
      <w:pPr>
        <w:keepNext w:val="0"/>
        <w:keepLines w:val="0"/>
        <w:pageBreakBefore w:val="0"/>
        <w:widowControl w:val="0"/>
        <w:spacing w:line="460" w:lineRule="exact"/>
        <w:ind w:firstLine="560"/>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val="en-US" w:eastAsia="zh-CN"/>
        </w:rPr>
        <w:t>②</w:t>
      </w:r>
      <w:r>
        <w:rPr>
          <w:rFonts w:hint="eastAsia" w:ascii="宋体" w:hAnsi="宋体" w:eastAsia="宋体" w:cs="宋体"/>
          <w:color w:val="auto"/>
          <w:sz w:val="28"/>
          <w:szCs w:val="28"/>
          <w:highlight w:val="none"/>
        </w:rPr>
        <w:t>13台86寸触摸大屏</w:t>
      </w:r>
      <w:r>
        <w:rPr>
          <w:rFonts w:hint="eastAsia" w:ascii="宋体" w:hAnsi="宋体" w:cs="宋体"/>
          <w:color w:val="auto"/>
          <w:sz w:val="28"/>
          <w:szCs w:val="28"/>
          <w:highlight w:val="none"/>
          <w:lang w:eastAsia="zh-CN"/>
        </w:rPr>
        <w:t>（不含安装支架和各类施工辅助线材）；</w:t>
      </w:r>
    </w:p>
    <w:p w14:paraId="07558D55">
      <w:pPr>
        <w:keepNext w:val="0"/>
        <w:keepLines w:val="0"/>
        <w:pageBreakBefore w:val="0"/>
        <w:widowControl w:val="0"/>
        <w:spacing w:line="460" w:lineRule="exact"/>
        <w:ind w:firstLine="560"/>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val="en-US" w:eastAsia="zh-CN"/>
        </w:rPr>
        <w:t>③</w:t>
      </w:r>
      <w:r>
        <w:rPr>
          <w:rFonts w:hint="eastAsia" w:ascii="宋体" w:hAnsi="宋体" w:eastAsia="宋体" w:cs="宋体"/>
          <w:color w:val="auto"/>
          <w:sz w:val="28"/>
          <w:szCs w:val="28"/>
          <w:highlight w:val="none"/>
        </w:rPr>
        <w:t>52台65寸辅助显示屏（</w:t>
      </w:r>
      <w:r>
        <w:rPr>
          <w:rFonts w:hint="eastAsia" w:ascii="宋体" w:hAnsi="宋体" w:cs="宋体"/>
          <w:color w:val="auto"/>
          <w:sz w:val="28"/>
          <w:szCs w:val="28"/>
          <w:highlight w:val="none"/>
          <w:lang w:eastAsia="zh-CN"/>
        </w:rPr>
        <w:t>不含</w:t>
      </w:r>
      <w:r>
        <w:rPr>
          <w:rFonts w:hint="eastAsia" w:ascii="宋体" w:hAnsi="宋体" w:eastAsia="宋体" w:cs="宋体"/>
          <w:color w:val="auto"/>
          <w:sz w:val="28"/>
          <w:szCs w:val="28"/>
          <w:highlight w:val="none"/>
        </w:rPr>
        <w:t>吊装支架</w:t>
      </w:r>
      <w:r>
        <w:rPr>
          <w:rFonts w:hint="eastAsia" w:ascii="宋体" w:hAnsi="宋体" w:cs="宋体"/>
          <w:color w:val="auto"/>
          <w:sz w:val="28"/>
          <w:szCs w:val="28"/>
          <w:highlight w:val="none"/>
          <w:lang w:eastAsia="zh-CN"/>
        </w:rPr>
        <w:t>和各类施工辅助线材；本项目</w:t>
      </w:r>
      <w:r>
        <w:rPr>
          <w:rFonts w:hint="eastAsia" w:ascii="宋体" w:hAnsi="宋体" w:cs="宋体"/>
          <w:color w:val="auto"/>
          <w:sz w:val="28"/>
          <w:szCs w:val="28"/>
          <w:highlight w:val="none"/>
          <w:lang w:val="en-US" w:eastAsia="zh-CN"/>
        </w:rPr>
        <w:t>10间大教室，每间安装2台；3间阶梯教室，每间安装4台；招标人2025年常规智慧教室中10间大教室，每间安装2台</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p>
    <w:p w14:paraId="1396C828">
      <w:pPr>
        <w:keepNext w:val="0"/>
        <w:keepLines w:val="0"/>
        <w:pageBreakBefore w:val="0"/>
        <w:widowControl w:val="0"/>
        <w:spacing w:line="460" w:lineRule="exact"/>
        <w:ind w:firstLine="560"/>
        <w:jc w:val="lef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④</w:t>
      </w:r>
      <w:r>
        <w:rPr>
          <w:rFonts w:hint="eastAsia" w:ascii="宋体" w:hAnsi="宋体" w:eastAsia="宋体" w:cs="宋体"/>
          <w:color w:val="auto"/>
          <w:sz w:val="28"/>
          <w:szCs w:val="28"/>
          <w:highlight w:val="none"/>
        </w:rPr>
        <w:t>45台电脑主机</w:t>
      </w:r>
      <w:r>
        <w:rPr>
          <w:rFonts w:hint="eastAsia" w:ascii="宋体" w:hAnsi="宋体" w:cs="宋体"/>
          <w:color w:val="auto"/>
          <w:sz w:val="28"/>
          <w:szCs w:val="28"/>
          <w:highlight w:val="none"/>
          <w:lang w:eastAsia="zh-CN"/>
        </w:rPr>
        <w:t>。</w:t>
      </w:r>
    </w:p>
    <w:p w14:paraId="64DE2824">
      <w:pPr>
        <w:keepNext w:val="0"/>
        <w:keepLines w:val="0"/>
        <w:pageBreakBefore w:val="0"/>
        <w:widowControl w:val="0"/>
        <w:spacing w:line="460" w:lineRule="exact"/>
        <w:ind w:firstLine="560"/>
        <w:jc w:val="lef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注：以上采购人提供的设备，</w:t>
      </w:r>
      <w:r>
        <w:rPr>
          <w:rFonts w:hint="eastAsia" w:ascii="宋体" w:hAnsi="宋体" w:eastAsia="宋体" w:cs="宋体"/>
          <w:color w:val="auto"/>
          <w:sz w:val="28"/>
          <w:szCs w:val="28"/>
          <w:highlight w:val="none"/>
        </w:rPr>
        <w:t>中标人</w:t>
      </w:r>
      <w:r>
        <w:rPr>
          <w:rFonts w:hint="eastAsia" w:ascii="宋体" w:hAnsi="宋体" w:cs="宋体"/>
          <w:color w:val="auto"/>
          <w:sz w:val="28"/>
          <w:szCs w:val="28"/>
          <w:highlight w:val="none"/>
          <w:lang w:val="en-US" w:eastAsia="zh-CN"/>
        </w:rPr>
        <w:t>须</w:t>
      </w:r>
      <w:r>
        <w:rPr>
          <w:rFonts w:hint="eastAsia" w:ascii="宋体" w:hAnsi="宋体" w:eastAsia="宋体" w:cs="宋体"/>
          <w:color w:val="auto"/>
          <w:sz w:val="28"/>
          <w:szCs w:val="28"/>
          <w:highlight w:val="none"/>
        </w:rPr>
        <w:t>负责安装和集成</w:t>
      </w:r>
      <w:r>
        <w:rPr>
          <w:rFonts w:hint="eastAsia" w:ascii="宋体" w:hAnsi="宋体" w:cs="宋体"/>
          <w:color w:val="auto"/>
          <w:sz w:val="28"/>
          <w:szCs w:val="28"/>
          <w:highlight w:val="none"/>
          <w:lang w:eastAsia="zh-CN"/>
        </w:rPr>
        <w:t>（含各类安装支架和施工辅助线材），</w:t>
      </w:r>
      <w:r>
        <w:rPr>
          <w:rFonts w:hint="eastAsia" w:ascii="宋体" w:hAnsi="宋体" w:cs="宋体"/>
          <w:color w:val="auto"/>
          <w:sz w:val="28"/>
          <w:szCs w:val="28"/>
          <w:highlight w:val="none"/>
          <w:lang w:val="en-US" w:eastAsia="zh-CN"/>
        </w:rPr>
        <w:t>费用含在报价内</w:t>
      </w:r>
      <w:r>
        <w:rPr>
          <w:rFonts w:hint="eastAsia" w:ascii="宋体" w:hAnsi="宋体" w:eastAsia="宋体" w:cs="宋体"/>
          <w:color w:val="auto"/>
          <w:sz w:val="28"/>
          <w:szCs w:val="28"/>
          <w:highlight w:val="none"/>
        </w:rPr>
        <w:t>。</w:t>
      </w:r>
    </w:p>
    <w:p w14:paraId="74C5FCE3">
      <w:pPr>
        <w:keepNext w:val="0"/>
        <w:keepLines w:val="0"/>
        <w:pageBreakBefore w:val="0"/>
        <w:widowControl w:val="0"/>
        <w:spacing w:line="460" w:lineRule="exact"/>
        <w:jc w:val="left"/>
        <w:rPr>
          <w:rFonts w:hint="eastAsia" w:ascii="宋体" w:hAnsi="宋体" w:eastAsia="宋体" w:cs="宋体"/>
          <w:color w:val="auto"/>
          <w:sz w:val="28"/>
          <w:szCs w:val="28"/>
          <w:highlight w:val="none"/>
        </w:rPr>
      </w:pPr>
      <w:r>
        <w:rPr>
          <w:rFonts w:hint="eastAsia" w:ascii="仿宋" w:hAnsi="仿宋" w:eastAsia="仿宋" w:cs="仿宋"/>
          <w:color w:val="auto"/>
          <w:sz w:val="24"/>
          <w:highlight w:val="none"/>
        </w:rPr>
        <w:drawing>
          <wp:anchor distT="0" distB="0" distL="114300" distR="114300" simplePos="0" relativeHeight="251661312" behindDoc="0" locked="0" layoutInCell="1" allowOverlap="1">
            <wp:simplePos x="0" y="0"/>
            <wp:positionH relativeFrom="column">
              <wp:posOffset>755015</wp:posOffset>
            </wp:positionH>
            <wp:positionV relativeFrom="paragraph">
              <wp:posOffset>83185</wp:posOffset>
            </wp:positionV>
            <wp:extent cx="3153410" cy="2868930"/>
            <wp:effectExtent l="0" t="0" r="8890" b="1270"/>
            <wp:wrapNone/>
            <wp:docPr id="5" name="图片 5" descr="2716c8b1-a246-4255-b417-aca47fc5e0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716c8b1-a246-4255-b417-aca47fc5e0d8"/>
                    <pic:cNvPicPr>
                      <a:picLocks noChangeAspect="1"/>
                    </pic:cNvPicPr>
                  </pic:nvPicPr>
                  <pic:blipFill>
                    <a:blip r:embed="rId14"/>
                    <a:stretch>
                      <a:fillRect/>
                    </a:stretch>
                  </pic:blipFill>
                  <pic:spPr>
                    <a:xfrm>
                      <a:off x="0" y="0"/>
                      <a:ext cx="3153410" cy="2868930"/>
                    </a:xfrm>
                    <a:prstGeom prst="rect">
                      <a:avLst/>
                    </a:prstGeom>
                  </pic:spPr>
                </pic:pic>
              </a:graphicData>
            </a:graphic>
          </wp:anchor>
        </w:drawing>
      </w:r>
    </w:p>
    <w:p w14:paraId="6820E03A">
      <w:pPr>
        <w:pStyle w:val="25"/>
        <w:tabs>
          <w:tab w:val="left" w:pos="720"/>
        </w:tabs>
        <w:spacing w:line="460" w:lineRule="exact"/>
        <w:ind w:firstLine="560"/>
        <w:rPr>
          <w:rFonts w:hint="eastAsia" w:hAnsi="宋体" w:cs="宋体"/>
          <w:color w:val="auto"/>
          <w:sz w:val="28"/>
          <w:szCs w:val="28"/>
          <w:highlight w:val="none"/>
        </w:rPr>
      </w:pPr>
    </w:p>
    <w:p w14:paraId="7CFEFDFD">
      <w:pPr>
        <w:pStyle w:val="25"/>
        <w:tabs>
          <w:tab w:val="left" w:pos="720"/>
        </w:tabs>
        <w:spacing w:line="460" w:lineRule="exact"/>
        <w:ind w:firstLine="480"/>
        <w:rPr>
          <w:rFonts w:hint="eastAsia" w:hAnsi="宋体" w:cs="宋体"/>
          <w:color w:val="auto"/>
          <w:sz w:val="28"/>
          <w:szCs w:val="28"/>
          <w:highlight w:val="none"/>
        </w:rPr>
      </w:pPr>
      <w:r>
        <w:rPr>
          <w:rFonts w:hint="eastAsia" w:ascii="仿宋" w:hAnsi="仿宋" w:eastAsia="仿宋" w:cs="仿宋"/>
          <w:color w:val="auto"/>
          <w:sz w:val="24"/>
          <w:highlight w:val="none"/>
        </w:rPr>
        <w:drawing>
          <wp:anchor distT="0" distB="0" distL="0" distR="0" simplePos="0" relativeHeight="251660288" behindDoc="0" locked="0" layoutInCell="1" allowOverlap="1">
            <wp:simplePos x="0" y="0"/>
            <wp:positionH relativeFrom="column">
              <wp:posOffset>-1214755</wp:posOffset>
            </wp:positionH>
            <wp:positionV relativeFrom="paragraph">
              <wp:posOffset>-5562600</wp:posOffset>
            </wp:positionV>
            <wp:extent cx="8159750" cy="4329430"/>
            <wp:effectExtent l="0" t="0" r="1270" b="6350"/>
            <wp:wrapTopAndBottom/>
            <wp:docPr id="6" name="图片 3" descr="C:\Users\Administrator\xwechat_files\fengguofeng1816_c7ba\temp\InputTemp\393ebfb8-74ae-49c1-a3fb-ac1d0ede34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C:\Users\Administrator\xwechat_files\fengguofeng1816_c7ba\temp\InputTemp\393ebfb8-74ae-49c1-a3fb-ac1d0ede3438.png"/>
                    <pic:cNvPicPr>
                      <a:picLocks noChangeAspect="1"/>
                    </pic:cNvPicPr>
                  </pic:nvPicPr>
                  <pic:blipFill>
                    <a:blip r:embed="rId15"/>
                    <a:stretch>
                      <a:fillRect/>
                    </a:stretch>
                  </pic:blipFill>
                  <pic:spPr>
                    <a:xfrm rot="5400000">
                      <a:off x="0" y="0"/>
                      <a:ext cx="8159750" cy="4329430"/>
                    </a:xfrm>
                    <a:prstGeom prst="rect">
                      <a:avLst/>
                    </a:prstGeom>
                    <a:noFill/>
                    <a:ln>
                      <a:noFill/>
                    </a:ln>
                  </pic:spPr>
                </pic:pic>
              </a:graphicData>
            </a:graphic>
          </wp:anchor>
        </w:drawing>
      </w:r>
    </w:p>
    <w:p w14:paraId="30CDB68D">
      <w:pPr>
        <w:pStyle w:val="233"/>
        <w:spacing w:before="120" w:after="120" w:line="400" w:lineRule="exact"/>
        <w:ind w:left="0" w:firstLine="560"/>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3.接口文档示例参见附件：“学生信息接口文档”，其他信息接口文档与之类似；融合门户及统一身份认证帮助见在线文档：https://openapi.wisedu.com/openapi/；新开普API接口文档参见附件：“人脸认证服务API-三方对接20240903”。</w:t>
      </w:r>
    </w:p>
    <w:p w14:paraId="6ABD2A6D">
      <w:pPr>
        <w:pStyle w:val="233"/>
        <w:spacing w:before="120" w:after="120" w:line="400" w:lineRule="exact"/>
        <w:ind w:left="0" w:firstLine="562"/>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四、</w:t>
      </w:r>
      <w:r>
        <w:rPr>
          <w:rFonts w:hint="eastAsia" w:ascii="宋体" w:hAnsi="宋体" w:eastAsia="宋体" w:cs="宋体"/>
          <w:b/>
          <w:bCs/>
          <w:color w:val="auto"/>
          <w:sz w:val="28"/>
          <w:szCs w:val="28"/>
          <w:highlight w:val="none"/>
        </w:rPr>
        <w:t>产品技术参数要求</w:t>
      </w:r>
    </w:p>
    <w:tbl>
      <w:tblPr>
        <w:tblStyle w:val="49"/>
        <w:tblW w:w="9600" w:type="dxa"/>
        <w:tblInd w:w="-5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1020"/>
        <w:gridCol w:w="6480"/>
        <w:gridCol w:w="765"/>
        <w:gridCol w:w="540"/>
      </w:tblGrid>
      <w:tr w14:paraId="4B298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95" w:type="dxa"/>
            <w:noWrap w:val="0"/>
            <w:vAlign w:val="center"/>
          </w:tcPr>
          <w:p w14:paraId="79BB1A82">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序号</w:t>
            </w:r>
          </w:p>
        </w:tc>
        <w:tc>
          <w:tcPr>
            <w:tcW w:w="1020" w:type="dxa"/>
            <w:noWrap w:val="0"/>
            <w:vAlign w:val="center"/>
          </w:tcPr>
          <w:p w14:paraId="1004B8AE">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设备名称</w:t>
            </w:r>
          </w:p>
        </w:tc>
        <w:tc>
          <w:tcPr>
            <w:tcW w:w="6480" w:type="dxa"/>
            <w:noWrap w:val="0"/>
            <w:vAlign w:val="center"/>
          </w:tcPr>
          <w:p w14:paraId="2A038340">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技术参数</w:t>
            </w:r>
          </w:p>
        </w:tc>
        <w:tc>
          <w:tcPr>
            <w:tcW w:w="765" w:type="dxa"/>
            <w:noWrap w:val="0"/>
            <w:vAlign w:val="center"/>
          </w:tcPr>
          <w:p w14:paraId="2DB412C6">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数量</w:t>
            </w:r>
          </w:p>
        </w:tc>
        <w:tc>
          <w:tcPr>
            <w:tcW w:w="540" w:type="dxa"/>
            <w:noWrap w:val="0"/>
            <w:vAlign w:val="center"/>
          </w:tcPr>
          <w:p w14:paraId="3713784D">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单位</w:t>
            </w:r>
          </w:p>
        </w:tc>
      </w:tr>
      <w:tr w14:paraId="3EF9D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600" w:type="dxa"/>
            <w:gridSpan w:val="5"/>
            <w:noWrap w:val="0"/>
            <w:vAlign w:val="center"/>
          </w:tcPr>
          <w:p w14:paraId="636F6064">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一、显示系统</w:t>
            </w:r>
          </w:p>
        </w:tc>
      </w:tr>
      <w:tr w14:paraId="54533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95" w:type="dxa"/>
            <w:noWrap w:val="0"/>
            <w:vAlign w:val="center"/>
          </w:tcPr>
          <w:p w14:paraId="594EE80D">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020" w:type="dxa"/>
            <w:noWrap w:val="0"/>
            <w:vAlign w:val="center"/>
          </w:tcPr>
          <w:p w14:paraId="1B5894E7">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小型教室黑板</w:t>
            </w:r>
          </w:p>
        </w:tc>
        <w:tc>
          <w:tcPr>
            <w:tcW w:w="6480" w:type="dxa"/>
            <w:noWrap w:val="0"/>
            <w:vAlign w:val="center"/>
          </w:tcPr>
          <w:p w14:paraId="17204079">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整体结构由两块一体机侧面的固定板组成，整体包边。</w:t>
            </w:r>
          </w:p>
          <w:p w14:paraId="5FAE4B48">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外形尺寸约4000*1230mm(高度由86寸触摸大屏加黑板外框构成，可根据现场实际微调，中标人在项目实施前现场测量并与</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确定最终尺寸）。</w:t>
            </w:r>
          </w:p>
          <w:p w14:paraId="0F0E0270">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1.书写面板采用优质墨绿色烤漆面板，覆有透明保护膜，整块无拼接，厚度≥0.3mm，面板耐酸、碱性溶剂符合GB/T 9274-2008《色漆和清漆 耐液体介质的测定》标准要求；面板表面漆膜硬度≥6H，光泽度在12以下，灯光下没有明显眩光；表面粗糙度、耐磨性、书写板外观质量等指标符合GB 28231-2011《书写板安全卫生要求》以及GB/T 6739-2022《色漆和清漆 铅笔法测定漆膜硬度》的标准。</w:t>
            </w:r>
          </w:p>
          <w:p w14:paraId="6354DE3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2.夹层采用聚苯乙烯板，厚度为≥14mm，平整不变形，整张无拼接；背板采用整块防锈镀锌板，厚度≥0.20mm，防水防锈，板面平整不开胶。</w:t>
            </w:r>
          </w:p>
          <w:p w14:paraId="7EF78C0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黑板边框：采用磨砂银白铝合金型材，灯光下无明显眩光；型材断面有ABS包角材料全包覆，边缘光洁无毛刺；外框下方配置通长粉笔槽，粉笔槽有效宽度为≥70mm，高≥20mm，壁厚≥1.2mm；安装要求：隐形安装，无外露安装件，连接部位无工具不可拆卸。</w:t>
            </w:r>
          </w:p>
        </w:tc>
        <w:tc>
          <w:tcPr>
            <w:tcW w:w="765" w:type="dxa"/>
            <w:noWrap w:val="0"/>
            <w:vAlign w:val="center"/>
          </w:tcPr>
          <w:p w14:paraId="15BCA043">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13</w:t>
            </w:r>
          </w:p>
        </w:tc>
        <w:tc>
          <w:tcPr>
            <w:tcW w:w="540" w:type="dxa"/>
            <w:noWrap w:val="0"/>
            <w:vAlign w:val="center"/>
          </w:tcPr>
          <w:p w14:paraId="54044EDF">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套</w:t>
            </w:r>
          </w:p>
        </w:tc>
      </w:tr>
      <w:tr w14:paraId="0C3C0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95" w:type="dxa"/>
            <w:noWrap w:val="0"/>
            <w:vAlign w:val="center"/>
          </w:tcPr>
          <w:p w14:paraId="6440A4B7">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020" w:type="dxa"/>
            <w:noWrap w:val="0"/>
            <w:vAlign w:val="center"/>
          </w:tcPr>
          <w:p w14:paraId="0EA5ED77">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中大型教室黑板</w:t>
            </w:r>
          </w:p>
        </w:tc>
        <w:tc>
          <w:tcPr>
            <w:tcW w:w="6480" w:type="dxa"/>
            <w:noWrap w:val="0"/>
            <w:vAlign w:val="center"/>
          </w:tcPr>
          <w:p w14:paraId="72FA9F9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整体结构分为书写与显示两部分，书写部分由一组可上下升降黑板组成，显示部分为120寸画框幕，整体用铝合金型材包围。</w:t>
            </w:r>
          </w:p>
          <w:p w14:paraId="3059C7B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外形尺寸约4000*1740mm(可根据现场实际微调，中标人在项目实施前现场测量并与</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确定最终尺寸）</w:t>
            </w:r>
          </w:p>
          <w:p w14:paraId="7034B2F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 书写面板采用优质墨绿色烤漆面板，覆有透明保护膜，整块无拼接，厚度≥0.3mm，面板耐酸、碱性溶剂符合GB/T 9274-2008《色漆和清漆 耐液体介质的测定》标准要求；面板表面漆膜硬度≥6H，光泽度在12以下，灯光下没有明显眩光；表面粗糙度、耐磨性、书写板外观质量等指标符合GB 28231-2011《书写板安全卫生要求》以及GB/T 6739-2022《色漆和清漆 铅笔法测定漆膜硬度》的标准。</w:t>
            </w:r>
          </w:p>
          <w:p w14:paraId="2C5FD09C">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2.夹层采用聚苯乙烯板，厚度为≥14mm，平整不变形，整张无拼接；背板采用整块防锈镀锌板，厚度≥0.20mm，防水防锈，板面平整不开胶。</w:t>
            </w:r>
          </w:p>
          <w:p w14:paraId="77436331">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3.黑板滑轮经耐久性测试，按GB/T 3832-2008测试，使用寿命≥8万次。</w:t>
            </w:r>
          </w:p>
          <w:p w14:paraId="79DF7D06">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外框滑轨及黑板边框：采用磨砂银白铝合金型材，灯光下无明显眩光；立框与滑轨一体化流线型设计，滑动组件不可见；滑轨下端设有静音限位块，防止拉动黑板时撞击产生噪音；滑轨采用双滑槽双空腔设计，并使滑轮保持合理的滑动阻尼，防止擦写黑板时晃动；立框滑轨断面尺寸为110*65mm（±5mm），型材壁厚≥1.4mm；外框断面尺寸为110*45mm（±5mm），壁厚≥1.4mm；黑板边框可视面宽≥30mm，厚≥25mm. 壁厚≥1.2mm；下边框配备通长拉手方便拉动黑板；外框下方配备通长的粉笔槽，粉笔槽有效宽度为≥70mm，高≥20mm，壁厚≥1.2mm。</w:t>
            </w:r>
          </w:p>
          <w:p w14:paraId="162C356A">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5.包角材料采用抗疲劳ABS工程塑料，外观无尖锐角；安装要求：隐形安装，无外露安装件，连接部位无工具不可拆卸。</w:t>
            </w:r>
          </w:p>
        </w:tc>
        <w:tc>
          <w:tcPr>
            <w:tcW w:w="765" w:type="dxa"/>
            <w:noWrap/>
            <w:vAlign w:val="center"/>
          </w:tcPr>
          <w:p w14:paraId="02F47A34">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29</w:t>
            </w:r>
          </w:p>
        </w:tc>
        <w:tc>
          <w:tcPr>
            <w:tcW w:w="540" w:type="dxa"/>
            <w:noWrap w:val="0"/>
            <w:vAlign w:val="center"/>
          </w:tcPr>
          <w:p w14:paraId="3ABE6151">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套</w:t>
            </w:r>
          </w:p>
        </w:tc>
      </w:tr>
      <w:tr w14:paraId="29F15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95" w:type="dxa"/>
            <w:noWrap w:val="0"/>
            <w:vAlign w:val="center"/>
          </w:tcPr>
          <w:p w14:paraId="76A90890">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020" w:type="dxa"/>
            <w:noWrap w:val="0"/>
            <w:vAlign w:val="center"/>
          </w:tcPr>
          <w:p w14:paraId="4B2A61F5">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阶梯教室上下推拉黑板</w:t>
            </w:r>
          </w:p>
        </w:tc>
        <w:tc>
          <w:tcPr>
            <w:tcW w:w="6480" w:type="dxa"/>
            <w:noWrap w:val="0"/>
            <w:vAlign w:val="center"/>
          </w:tcPr>
          <w:p w14:paraId="676CF78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1.整体结构：黑板固定于墙面，黑板整体尺寸为4000mm*2000mm（每组两块，两组为一套），黑板上下升降设计，于框架内上下交替升降，适用于不同身高的教师或学生书写整个黑板。</w:t>
            </w:r>
          </w:p>
          <w:p w14:paraId="2CB475CC">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升降结构：整体采用框架式升降结构，两块黑板在框架内上下升降；升降黑板两端的滑轨各有一个承重吊轮，每块黑板四角装有四组滑轮，两块黑板用不锈钢钢丝绳连接，悬挂于承重吊轮的凹槽内，黑板在滑轨内滑动，黑板可从前端拆卸而无须拆下整个框架，方便维护与更换，滑轨下端设有静音防撞限位装置，限位空间高度≥25mm；</w:t>
            </w:r>
          </w:p>
          <w:p w14:paraId="1042620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3.黑板材质：书写面板采用墨绿色烤漆面板，面板耐酸、碱性溶剂符合GB/T 9274-2008《色漆和清漆 耐液体介质的测定》标准要求；厚度≥0.3mm，面板表面漆膜硬度≥6H，光泽度在12以下，灯光下没有明显眩光；用粉笔书写时手感流畅，笔迹均匀，线条明显，好写易擦；漆膜硬度、表面粗糙度、耐磨性、书写板外观质量、结构等指标符合GB 28231-2011《书写板安全卫生要求》以及GB/T 6739-2022《色漆和清漆 铅笔法测定漆膜硬度》的标准；夹层采用高密度聚苯乙烯板，软硬适中，厚度为≥14mm；背板采用整块防锈镀锌板，厚度≥0.20mm；</w:t>
            </w:r>
          </w:p>
          <w:p w14:paraId="47B97C8E">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4.黑板滑轮经耐久性测试，按GB/T 3832-2008测试，使用寿命≥8万次。</w:t>
            </w:r>
          </w:p>
          <w:p w14:paraId="55027BC4">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外框滑轨及黑板边框：采用磨砂银白铝合金型材，灯光下无明显眩光；立框与滑轨一体化流线型设计，滑动组件不可见；滑轨下端设有静音限位块，防止拉动黑板时撞击产生噪音；滑轨采用双滑槽双空腔设计，并使滑轮保持合理的滑动阻尼，防止擦写黑板时晃动；立框滑轨断面尺寸为110*65mm（±5mm），型材壁厚≥1.4mm；外框断面尺寸为110*45mm（±5mm），壁厚≥1.4mm；黑板边框可视面宽≥30mm，厚≥25mm. 壁厚≥1.2mm；下边框配备通长拉手方便拉动黑板；外框下方配备通长的粉笔槽，粉笔槽有效宽度为≥70mm，高≥20mm，壁厚≥1.2mm；</w:t>
            </w:r>
          </w:p>
          <w:p w14:paraId="2A0506DF">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6.包角材料采用抗疲劳ABS工程塑料，外观无尖锐角；安装要求：隐形安装，无外露安装件，连接部位无工具不可拆卸。</w:t>
            </w:r>
          </w:p>
        </w:tc>
        <w:tc>
          <w:tcPr>
            <w:tcW w:w="765" w:type="dxa"/>
            <w:noWrap/>
            <w:vAlign w:val="center"/>
          </w:tcPr>
          <w:p w14:paraId="35E6E63A">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540" w:type="dxa"/>
            <w:noWrap w:val="0"/>
            <w:vAlign w:val="center"/>
          </w:tcPr>
          <w:p w14:paraId="581B15D7">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套</w:t>
            </w:r>
          </w:p>
        </w:tc>
      </w:tr>
      <w:tr w14:paraId="3ADFD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95" w:type="dxa"/>
            <w:noWrap w:val="0"/>
            <w:vAlign w:val="center"/>
          </w:tcPr>
          <w:p w14:paraId="55379BE4">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020" w:type="dxa"/>
            <w:noWrap w:val="0"/>
            <w:vAlign w:val="center"/>
          </w:tcPr>
          <w:p w14:paraId="4B3120DA">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120寸幕布</w:t>
            </w:r>
          </w:p>
        </w:tc>
        <w:tc>
          <w:tcPr>
            <w:tcW w:w="6480" w:type="dxa"/>
            <w:noWrap w:val="0"/>
            <w:vAlign w:val="center"/>
          </w:tcPr>
          <w:p w14:paraId="4D4FE7EB">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1.尺寸≥120英寸；画面比例16：9；</w:t>
            </w:r>
          </w:p>
          <w:p w14:paraId="3317991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2.材质：四层玻纤复合幕布（幕布中层为具阻燃功能的玻纤网），拉伸率小于1%，幕面平整，边缘垂直，幕面能持久保持平整；边框宽度≤10mm；</w:t>
            </w:r>
          </w:p>
          <w:p w14:paraId="2DC0ED7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3.厚度≥0.15mm；拉力强度≥200kg/平方厘米；撕裂强度≥5.5kg/mm；防火、防潮、防霉、阻燃、环保。</w:t>
            </w:r>
          </w:p>
          <w:p w14:paraId="10867E9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4.阶梯教室两侧使用120寸电动升降幕布（共6副），接入中控，上下课自动升降。</w:t>
            </w:r>
          </w:p>
        </w:tc>
        <w:tc>
          <w:tcPr>
            <w:tcW w:w="765" w:type="dxa"/>
            <w:noWrap/>
            <w:vAlign w:val="center"/>
          </w:tcPr>
          <w:p w14:paraId="3E7ABA65">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35</w:t>
            </w:r>
          </w:p>
        </w:tc>
        <w:tc>
          <w:tcPr>
            <w:tcW w:w="540" w:type="dxa"/>
            <w:noWrap w:val="0"/>
            <w:vAlign w:val="center"/>
          </w:tcPr>
          <w:p w14:paraId="135C8652">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幅</w:t>
            </w:r>
          </w:p>
        </w:tc>
      </w:tr>
      <w:tr w14:paraId="71332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95" w:type="dxa"/>
            <w:noWrap w:val="0"/>
            <w:vAlign w:val="center"/>
          </w:tcPr>
          <w:p w14:paraId="77DD3A76">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1020" w:type="dxa"/>
            <w:noWrap w:val="0"/>
            <w:vAlign w:val="center"/>
          </w:tcPr>
          <w:p w14:paraId="655CFEF6">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150寸幕布</w:t>
            </w:r>
          </w:p>
        </w:tc>
        <w:tc>
          <w:tcPr>
            <w:tcW w:w="6480" w:type="dxa"/>
            <w:noWrap w:val="0"/>
            <w:vAlign w:val="center"/>
          </w:tcPr>
          <w:p w14:paraId="6BC2D3A1">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1.尺寸≥150英寸；画面比例16：9；</w:t>
            </w:r>
          </w:p>
          <w:p w14:paraId="506B8C2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2.材质：四层玻纤复合幕布（幕布中层为具阻燃功能的玻纤网），拉伸率小于1%，幕面平整，边缘垂直，幕面能持久保持平整；边框宽度≤10mm；</w:t>
            </w:r>
          </w:p>
          <w:p w14:paraId="78306769">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3.厚度≥0.15mm；拉力强度≥200kg/平方厘米；撕裂强度≥5.5kg/mm；防火、防潮、防霉、阻燃、环保。</w:t>
            </w:r>
          </w:p>
          <w:p w14:paraId="2ECAC3D4">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4.阶梯教室中间使用150寸电动升降幕布，接入中控上下课自动升降。</w:t>
            </w:r>
          </w:p>
        </w:tc>
        <w:tc>
          <w:tcPr>
            <w:tcW w:w="765" w:type="dxa"/>
            <w:noWrap/>
            <w:vAlign w:val="center"/>
          </w:tcPr>
          <w:p w14:paraId="0C50C450">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540" w:type="dxa"/>
            <w:noWrap w:val="0"/>
            <w:vAlign w:val="center"/>
          </w:tcPr>
          <w:p w14:paraId="7FF2A2C5">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幅</w:t>
            </w:r>
          </w:p>
        </w:tc>
      </w:tr>
      <w:tr w14:paraId="1EEFF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600" w:type="dxa"/>
            <w:gridSpan w:val="5"/>
            <w:noWrap w:val="0"/>
            <w:vAlign w:val="center"/>
          </w:tcPr>
          <w:p w14:paraId="01D201A2">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二、中控系统</w:t>
            </w:r>
          </w:p>
        </w:tc>
      </w:tr>
      <w:tr w14:paraId="7F0F6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95" w:type="dxa"/>
            <w:noWrap w:val="0"/>
            <w:vAlign w:val="center"/>
          </w:tcPr>
          <w:p w14:paraId="1D6CE92A">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020" w:type="dxa"/>
            <w:noWrap w:val="0"/>
            <w:vAlign w:val="center"/>
          </w:tcPr>
          <w:p w14:paraId="4781DFF5">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讲台控制面板</w:t>
            </w:r>
          </w:p>
        </w:tc>
        <w:tc>
          <w:tcPr>
            <w:tcW w:w="6480" w:type="dxa"/>
            <w:noWrap w:val="0"/>
            <w:vAlign w:val="center"/>
          </w:tcPr>
          <w:p w14:paraId="2B9F969B">
            <w:pPr>
              <w:widowControl/>
              <w:jc w:val="left"/>
              <w:rPr>
                <w:rFonts w:hint="eastAsia" w:ascii="宋体" w:hAnsi="宋体" w:eastAsia="宋体" w:cs="宋体"/>
                <w:b/>
                <w:bCs/>
                <w:color w:val="auto"/>
                <w:sz w:val="24"/>
                <w:highlight w:val="none"/>
              </w:rPr>
            </w:pPr>
            <w:r>
              <w:rPr>
                <w:rFonts w:hint="eastAsia" w:ascii="宋体" w:hAnsi="宋体" w:eastAsia="宋体" w:cs="宋体"/>
                <w:color w:val="auto"/>
                <w:sz w:val="18"/>
                <w:highlight w:val="none"/>
              </w:rPr>
              <w:t>▲</w:t>
            </w:r>
            <w:r>
              <w:rPr>
                <w:rFonts w:hint="eastAsia" w:ascii="宋体" w:hAnsi="宋体" w:eastAsia="宋体" w:cs="宋体"/>
                <w:color w:val="auto"/>
                <w:sz w:val="24"/>
                <w:highlight w:val="none"/>
              </w:rPr>
              <w:t>1.屏体的屏幕采用≥23.8英寸电容触摸屏，采用防眩光钢化玻璃面板，厚度≥2mm；支持≥10点触控；支持屏幕手动角度调节，可实现与桌面形成20°（±5°）至80°（±5°）角度调节。</w:t>
            </w:r>
            <w:r>
              <w:rPr>
                <w:rFonts w:hint="eastAsia" w:ascii="宋体" w:hAnsi="宋体" w:eastAsia="宋体" w:cs="宋体"/>
                <w:b/>
                <w:bCs/>
                <w:color w:val="auto"/>
                <w:sz w:val="24"/>
                <w:highlight w:val="none"/>
              </w:rPr>
              <w:t>【</w:t>
            </w:r>
            <w:r>
              <w:rPr>
                <w:rFonts w:hint="eastAsia" w:ascii="宋体" w:hAnsi="宋体" w:cs="宋体"/>
                <w:b/>
                <w:bCs/>
                <w:color w:val="auto"/>
                <w:sz w:val="24"/>
                <w:highlight w:val="none"/>
                <w:lang w:eastAsia="zh-CN"/>
              </w:rPr>
              <w:t>提供带有CNAS或CMA标记的检测报告的复印件或相关功能截图并加盖投标人公章</w:t>
            </w:r>
            <w:r>
              <w:rPr>
                <w:rFonts w:hint="eastAsia" w:ascii="宋体" w:hAnsi="宋体" w:eastAsia="宋体" w:cs="宋体"/>
                <w:b/>
                <w:bCs/>
                <w:color w:val="auto"/>
                <w:sz w:val="24"/>
                <w:highlight w:val="none"/>
              </w:rPr>
              <w:t>】</w:t>
            </w:r>
          </w:p>
          <w:p w14:paraId="0B1DB20E">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2.屏体侧面具有物理实体快捷按键，按键功能包括一键开/关屏幕、对匹配的多媒体设备进行一键熄屏以及一键音量加、一键音量减等。</w:t>
            </w:r>
          </w:p>
          <w:p w14:paraId="0401F168">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3.接口：HDMI IN≥2个，HDMI OUT≥1个，Type-C≥1个，USB≥2个，RJ45≥1个；AUDIO OUT≥1个，RS232≥1个，220V国标五插电源接口≥1个（支持对外供电；自带独立嵌入式操作系统，版本满足中控功能运行需求。</w:t>
            </w:r>
          </w:p>
          <w:p w14:paraId="559A142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屏幕可调出中控菜单界面，支持一键上课及下课，也可以对连接的设备单独控制开关机；支持对屏幕输入源显示画面切换，包括智能平板、电脑等；支持当接入匹配教室内的录播产品时，可显示录播导播流画面，选择开始录制、暂停录制和结束录制等功能。</w:t>
            </w:r>
          </w:p>
        </w:tc>
        <w:tc>
          <w:tcPr>
            <w:tcW w:w="765" w:type="dxa"/>
            <w:noWrap/>
            <w:vAlign w:val="center"/>
          </w:tcPr>
          <w:p w14:paraId="74989602">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45</w:t>
            </w:r>
          </w:p>
        </w:tc>
        <w:tc>
          <w:tcPr>
            <w:tcW w:w="540" w:type="dxa"/>
            <w:noWrap w:val="0"/>
            <w:vAlign w:val="center"/>
          </w:tcPr>
          <w:p w14:paraId="69EF7A21">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台</w:t>
            </w:r>
          </w:p>
        </w:tc>
      </w:tr>
      <w:tr w14:paraId="0A06F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trPr>
        <w:tc>
          <w:tcPr>
            <w:tcW w:w="795" w:type="dxa"/>
            <w:noWrap w:val="0"/>
            <w:vAlign w:val="center"/>
          </w:tcPr>
          <w:p w14:paraId="75CA4F54">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020" w:type="dxa"/>
            <w:noWrap w:val="0"/>
            <w:vAlign w:val="center"/>
          </w:tcPr>
          <w:p w14:paraId="6A9D21EC">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智能升降讲台</w:t>
            </w:r>
          </w:p>
        </w:tc>
        <w:tc>
          <w:tcPr>
            <w:tcW w:w="6480" w:type="dxa"/>
            <w:noWrap w:val="0"/>
            <w:vAlign w:val="center"/>
          </w:tcPr>
          <w:p w14:paraId="7C251DC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1.讲桌为钢木结合设计,采用冷轧钢板桌体,钢板厚度≥1.0mm；讲桌采用双层木质桌面设计，上下层桌体木板厚度均≥18mm，讲台正面定制</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LOGO。</w:t>
            </w:r>
          </w:p>
          <w:p w14:paraId="177FF789">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2.升降立柱最大承重为≥80kg，讲桌具备垂直平面水平位置≥100N推力位移仍不超过5mm的移动。</w:t>
            </w:r>
          </w:p>
          <w:p w14:paraId="4CC1CCD1">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3.讲桌尺寸设计为长×宽×高≥1200mm×650mm×850mm，上层桌面支持电动升降功能，下层桌面距地高度≥750mm，桌面高度需合适教师站、坐教学。</w:t>
            </w:r>
          </w:p>
          <w:p w14:paraId="1D1D048A">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 讲桌具有升降控制器设计，至少具备上升按键、下降按键等；升降电机具备过流过压保护、遇阻反弹保护。</w:t>
            </w:r>
          </w:p>
          <w:p w14:paraId="02712DDE">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底部机柜尺寸设计为长×宽×高≥1100mm×500mm×500mm（注：用于阶梯教室的讲台尺寸设计为长×宽×高≥1560mm×585mm×500mm，3张），机柜容量≥10U，机柜内部带有标准机架和标准电脑主机空间，机柜门采用大面积散热孔设计。前后门都可以打开，只需要一把钥匙管理。</w:t>
            </w:r>
          </w:p>
          <w:p w14:paraId="6B3E813A">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6.讲桌支持多种升降控制方式，可支持讲台控制面板控制升降。</w:t>
            </w:r>
          </w:p>
        </w:tc>
        <w:tc>
          <w:tcPr>
            <w:tcW w:w="765" w:type="dxa"/>
            <w:noWrap/>
            <w:vAlign w:val="center"/>
          </w:tcPr>
          <w:p w14:paraId="6EB17488">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45</w:t>
            </w:r>
          </w:p>
        </w:tc>
        <w:tc>
          <w:tcPr>
            <w:tcW w:w="540" w:type="dxa"/>
            <w:noWrap w:val="0"/>
            <w:vAlign w:val="center"/>
          </w:tcPr>
          <w:p w14:paraId="1741B244">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张</w:t>
            </w:r>
          </w:p>
        </w:tc>
      </w:tr>
      <w:tr w14:paraId="77141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95" w:type="dxa"/>
            <w:noWrap w:val="0"/>
            <w:vAlign w:val="center"/>
          </w:tcPr>
          <w:p w14:paraId="0F3FB38B">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020" w:type="dxa"/>
            <w:noWrap w:val="0"/>
            <w:vAlign w:val="center"/>
          </w:tcPr>
          <w:p w14:paraId="77647007">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中控主机</w:t>
            </w:r>
          </w:p>
        </w:tc>
        <w:tc>
          <w:tcPr>
            <w:tcW w:w="6480" w:type="dxa"/>
            <w:noWrap w:val="0"/>
            <w:vAlign w:val="center"/>
          </w:tcPr>
          <w:p w14:paraId="3AF547A9">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1.机身高度不超过1U，HDMI视频输入接口≥4个，HDMI输出接口≥4个，3.5mm音频输入口≥2个，3.5mm音频输出接口≥2个，支持HDMI矩阵功能，HDMI输入输出分辨率均不低于4K@30Hz。</w:t>
            </w:r>
          </w:p>
          <w:p w14:paraId="42049A4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2.支持HDMI信号内的音频自动分离到音频模块，支持音频输入和HDMI音频混音后从音频输出口输出，支持在本地及远程对输出总音量进行调节。</w:t>
            </w:r>
          </w:p>
          <w:p w14:paraId="04751F5C">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3.支持≥2路220V国标受控电源，每路电源具备时序供电、断电管理；S232接口≥6个，RS485接口≥2个；每个接口均独立逻辑可编程，支持延时发码、组合串口控制指令下发，支持波特率、校验位自定义。</w:t>
            </w:r>
          </w:p>
          <w:p w14:paraId="6395DBF9">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.主机正面面板具备实时查看主机的网络、串口通讯、时序电源、总电源等状态的指示灯；≥1路type-c接口，实现通过电脑对中控主机的快捷调试；支持用户在后台端通过局域网络在线配置中控主机。</w:t>
            </w:r>
          </w:p>
          <w:p w14:paraId="20DB16F8">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.采用超静音设计，支持POE供电方式，可通过网络接口实现与面板的通讯与供电。</w:t>
            </w:r>
          </w:p>
          <w:p w14:paraId="5B9DF67C">
            <w:pPr>
              <w:widowControl/>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.麦克风输入接口≥1路，支持幻象供电；12V/5V直流供电输出≥1路，输入输出IO接口≥1路；内置千兆交换机，接口数量≥5路；支持VLAN划分,支持VLANID设置，支持trunk模式设置。</w:t>
            </w:r>
            <w:r>
              <w:rPr>
                <w:rFonts w:hint="eastAsia" w:ascii="宋体" w:hAnsi="宋体" w:eastAsia="宋体" w:cs="宋体"/>
                <w:b/>
                <w:bCs/>
                <w:color w:val="auto"/>
                <w:sz w:val="24"/>
                <w:highlight w:val="none"/>
              </w:rPr>
              <w:t>【提供带有CNAS或CMA标记的检测报告的复印件</w:t>
            </w:r>
            <w:r>
              <w:rPr>
                <w:rFonts w:hint="eastAsia" w:ascii="宋体" w:hAnsi="宋体" w:cs="宋体"/>
                <w:b/>
                <w:bCs/>
                <w:color w:val="auto"/>
                <w:sz w:val="24"/>
                <w:highlight w:val="none"/>
                <w:lang w:eastAsia="zh-CN"/>
              </w:rPr>
              <w:t>或</w:t>
            </w:r>
            <w:r>
              <w:rPr>
                <w:rFonts w:hint="eastAsia" w:ascii="宋体" w:hAnsi="宋体" w:eastAsia="宋体" w:cs="宋体"/>
                <w:b/>
                <w:bCs/>
                <w:color w:val="auto"/>
                <w:sz w:val="24"/>
                <w:highlight w:val="none"/>
              </w:rPr>
              <w:t>相关功能截图并加盖投标人公章】</w:t>
            </w:r>
          </w:p>
        </w:tc>
        <w:tc>
          <w:tcPr>
            <w:tcW w:w="765" w:type="dxa"/>
            <w:noWrap/>
            <w:vAlign w:val="center"/>
          </w:tcPr>
          <w:p w14:paraId="57B7370F">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45</w:t>
            </w:r>
          </w:p>
        </w:tc>
        <w:tc>
          <w:tcPr>
            <w:tcW w:w="540" w:type="dxa"/>
            <w:noWrap w:val="0"/>
            <w:vAlign w:val="center"/>
          </w:tcPr>
          <w:p w14:paraId="02D78C96">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台</w:t>
            </w:r>
          </w:p>
        </w:tc>
      </w:tr>
      <w:tr w14:paraId="09E65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95" w:type="dxa"/>
            <w:noWrap w:val="0"/>
            <w:vAlign w:val="center"/>
          </w:tcPr>
          <w:p w14:paraId="1D47789B">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020" w:type="dxa"/>
            <w:noWrap w:val="0"/>
            <w:vAlign w:val="center"/>
          </w:tcPr>
          <w:p w14:paraId="284B0855">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智联矩阵</w:t>
            </w:r>
          </w:p>
        </w:tc>
        <w:tc>
          <w:tcPr>
            <w:tcW w:w="6480" w:type="dxa"/>
            <w:noWrap w:val="0"/>
            <w:vAlign w:val="center"/>
          </w:tcPr>
          <w:p w14:paraId="40B2A4D9">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 采用≥10.0英寸电容显示屏，整机表面覆盖钢化玻璃，硬度≥8H，玻璃与屏体采用全贴合工艺，支持≥10点触控，屏幕分辨率≥1920*1080；整机CPU≥4核，最高主频≥1.8G，Linux系统，系统运行内存≥2GB，存储容量≥32GB。</w:t>
            </w:r>
          </w:p>
          <w:p w14:paraId="0A1717A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2.内置高灵敏度全向麦克风，拾音半径不小于1米；内置双喇叭，功率≥1W*2；内置摄像头，摄像头分辨率≥1600*1200；整机接口：RS232≥2,DC2.0≥1,Type-C≥1,RJ45(带POE功能)≥1；支持适配器供电或中控主机POE接口供电。</w:t>
            </w:r>
          </w:p>
          <w:p w14:paraId="57A180CF">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3.支持无触控操作后自动息屏，支持配置自动息屏时间；支持脱网运行，离线状态不影响本地教学及控制。</w:t>
            </w:r>
          </w:p>
          <w:p w14:paraId="0ACD718E">
            <w:pPr>
              <w:widowControl/>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4.支持控制录播设备，包括显示和切换多个机位的画面，一键启停录制、启停直播等。</w:t>
            </w:r>
            <w:r>
              <w:rPr>
                <w:rFonts w:hint="eastAsia" w:ascii="宋体" w:hAnsi="宋体" w:eastAsia="宋体" w:cs="宋体"/>
                <w:b/>
                <w:bCs/>
                <w:color w:val="auto"/>
                <w:sz w:val="24"/>
                <w:highlight w:val="none"/>
              </w:rPr>
              <w:t>【</w:t>
            </w:r>
            <w:r>
              <w:rPr>
                <w:rFonts w:hint="eastAsia" w:ascii="宋体" w:hAnsi="宋体" w:cs="宋体"/>
                <w:b/>
                <w:bCs/>
                <w:color w:val="auto"/>
                <w:sz w:val="24"/>
                <w:highlight w:val="none"/>
                <w:lang w:eastAsia="zh-CN"/>
              </w:rPr>
              <w:t>提供带有CNAS或CMA标记的检测报告的复印件或相关功能截图并加盖投标人公章</w:t>
            </w:r>
            <w:r>
              <w:rPr>
                <w:rFonts w:hint="eastAsia" w:ascii="宋体" w:hAnsi="宋体" w:eastAsia="宋体" w:cs="宋体"/>
                <w:b/>
                <w:bCs/>
                <w:color w:val="auto"/>
                <w:sz w:val="24"/>
                <w:highlight w:val="none"/>
              </w:rPr>
              <w:t>】</w:t>
            </w:r>
          </w:p>
          <w:p w14:paraId="6D2127F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b/>
                <w:color w:val="auto"/>
                <w:sz w:val="24"/>
                <w:highlight w:val="none"/>
              </w:rPr>
              <w:t>本条为演示项</w:t>
            </w:r>
            <w:r>
              <w:rPr>
                <w:rFonts w:hint="eastAsia" w:ascii="宋体" w:hAnsi="宋体" w:eastAsia="宋体" w:cs="宋体"/>
                <w:color w:val="auto"/>
                <w:sz w:val="24"/>
                <w:highlight w:val="none"/>
              </w:rPr>
              <w:t>）5.系统支持IP对讲功能，通过终端可以呼叫后台人员，实现IP语音电话功能；支持卡、人脸、二维码等至少3种身份鉴权方式。</w:t>
            </w:r>
          </w:p>
        </w:tc>
        <w:tc>
          <w:tcPr>
            <w:tcW w:w="765" w:type="dxa"/>
            <w:noWrap/>
            <w:vAlign w:val="center"/>
          </w:tcPr>
          <w:p w14:paraId="77A9E013">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45</w:t>
            </w:r>
          </w:p>
        </w:tc>
        <w:tc>
          <w:tcPr>
            <w:tcW w:w="540" w:type="dxa"/>
            <w:noWrap w:val="0"/>
            <w:vAlign w:val="center"/>
          </w:tcPr>
          <w:p w14:paraId="65FC03D4">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台</w:t>
            </w:r>
          </w:p>
        </w:tc>
      </w:tr>
      <w:tr w14:paraId="00555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95" w:type="dxa"/>
            <w:noWrap w:val="0"/>
            <w:vAlign w:val="center"/>
          </w:tcPr>
          <w:p w14:paraId="3796B7C2">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1020" w:type="dxa"/>
            <w:noWrap w:val="0"/>
            <w:vAlign w:val="center"/>
          </w:tcPr>
          <w:p w14:paraId="2759A907">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中控管理系统</w:t>
            </w:r>
          </w:p>
        </w:tc>
        <w:tc>
          <w:tcPr>
            <w:tcW w:w="6480" w:type="dxa"/>
            <w:noWrap w:val="0"/>
            <w:vAlign w:val="center"/>
          </w:tcPr>
          <w:p w14:paraId="71EC87EB">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基本要求：</w:t>
            </w:r>
          </w:p>
          <w:p w14:paraId="281B697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1.系统采用B/S架构，用户能在安卓、IOS、Windows等操作系统通过浏览器用账号和密码登录访问。</w:t>
            </w:r>
          </w:p>
          <w:p w14:paraId="07FA1DBF">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2.系统支持远程管理教室设备、控制教室设备、切换教学场景、查看监控画面等；支持批量管理及独立控制设备，可批量控制教学场景切换。</w:t>
            </w:r>
          </w:p>
          <w:p w14:paraId="13D32EEC">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主要功能：</w:t>
            </w:r>
          </w:p>
          <w:p w14:paraId="2F9059A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1.系统支持自动化策略，由用户自定义，包括自动开机策略、自动关机策略等；系统支持记录运维信息，可筛选并 Excel导出；系统支持查看刷卡日志信息记录。</w:t>
            </w:r>
          </w:p>
          <w:p w14:paraId="418ADEEF">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2.系统支持远程配置设备，支持自定义设备基础信息，包括开关机提示音、UI选择、IP配置、VLAN配置等；支持自定义设备物联配置，支持多设备关联控制，支持自定义场景配置，设置成功后同步更新到触控面板。</w:t>
            </w:r>
          </w:p>
          <w:p w14:paraId="0C5ACFB2">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3.系统支持电脑桌面实时预览及远程控制，采用网络唤醒和远程软件联动实现开机、关机功能。</w:t>
            </w:r>
          </w:p>
          <w:p w14:paraId="7DC5E831">
            <w:pPr>
              <w:rPr>
                <w:rFonts w:hint="eastAsia" w:ascii="宋体" w:hAnsi="宋体" w:eastAsia="宋体" w:cs="宋体"/>
                <w:color w:val="auto"/>
                <w:sz w:val="24"/>
                <w:highlight w:val="none"/>
              </w:rPr>
            </w:pPr>
            <w:r>
              <w:rPr>
                <w:rFonts w:hint="eastAsia" w:ascii="宋体" w:hAnsi="宋体" w:eastAsia="宋体" w:cs="宋体"/>
                <w:color w:val="auto"/>
                <w:sz w:val="24"/>
                <w:highlight w:val="none"/>
              </w:rPr>
              <w:t>4.系统应支持SSL/TLS加密传输，具备操作日志审计功能，支持按角色设置管理权限。</w:t>
            </w:r>
          </w:p>
          <w:p w14:paraId="20039553">
            <w:pPr>
              <w:rPr>
                <w:rFonts w:hint="eastAsia" w:ascii="宋体" w:hAnsi="宋体" w:eastAsia="宋体" w:cs="宋体"/>
                <w:color w:val="auto"/>
                <w:sz w:val="24"/>
                <w:highlight w:val="none"/>
              </w:rPr>
            </w:pPr>
            <w:r>
              <w:rPr>
                <w:rFonts w:hint="eastAsia" w:ascii="宋体" w:hAnsi="宋体" w:eastAsia="宋体" w:cs="宋体"/>
                <w:color w:val="auto"/>
                <w:sz w:val="24"/>
                <w:highlight w:val="none"/>
              </w:rPr>
              <w:t>（●本条为演示项）5.系统具备中控主机固件在线升级功能，支持远程对教室终端进行升级。系统支持对中控屏幕上的UI资源进行远程管理，支持本地一键下发资源到教室终端，实现中控屏幕UI在线更新，支持UI文件的增加、删除。</w:t>
            </w:r>
          </w:p>
        </w:tc>
        <w:tc>
          <w:tcPr>
            <w:tcW w:w="765" w:type="dxa"/>
            <w:noWrap/>
            <w:vAlign w:val="center"/>
          </w:tcPr>
          <w:p w14:paraId="40EA72CC">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540" w:type="dxa"/>
            <w:noWrap w:val="0"/>
            <w:vAlign w:val="center"/>
          </w:tcPr>
          <w:p w14:paraId="44C9BBEE">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套</w:t>
            </w:r>
          </w:p>
        </w:tc>
      </w:tr>
      <w:tr w14:paraId="2BD98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600" w:type="dxa"/>
            <w:gridSpan w:val="5"/>
            <w:tcBorders>
              <w:top w:val="single" w:color="auto" w:sz="4" w:space="0"/>
              <w:left w:val="single" w:color="auto" w:sz="4" w:space="0"/>
              <w:bottom w:val="single" w:color="auto" w:sz="4" w:space="0"/>
              <w:right w:val="single" w:color="auto" w:sz="4" w:space="0"/>
            </w:tcBorders>
            <w:noWrap w:val="0"/>
            <w:vAlign w:val="center"/>
          </w:tcPr>
          <w:p w14:paraId="14E6BFCF">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三、扩声系统</w:t>
            </w:r>
          </w:p>
        </w:tc>
      </w:tr>
      <w:tr w14:paraId="664FA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815" w:type="dxa"/>
            <w:gridSpan w:val="2"/>
            <w:tcBorders>
              <w:top w:val="single" w:color="auto" w:sz="4" w:space="0"/>
              <w:left w:val="single" w:color="auto" w:sz="4" w:space="0"/>
              <w:bottom w:val="single" w:color="auto" w:sz="4" w:space="0"/>
              <w:right w:val="single" w:color="auto" w:sz="4" w:space="0"/>
            </w:tcBorders>
            <w:noWrap w:val="0"/>
            <w:vAlign w:val="center"/>
          </w:tcPr>
          <w:p w14:paraId="37C447CA">
            <w:pPr>
              <w:widowControl/>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整体要求</w:t>
            </w:r>
          </w:p>
        </w:tc>
        <w:tc>
          <w:tcPr>
            <w:tcW w:w="6480" w:type="dxa"/>
            <w:tcBorders>
              <w:top w:val="single" w:color="auto" w:sz="4" w:space="0"/>
              <w:left w:val="single" w:color="auto" w:sz="4" w:space="0"/>
              <w:bottom w:val="single" w:color="auto" w:sz="4" w:space="0"/>
              <w:right w:val="single" w:color="auto" w:sz="4" w:space="0"/>
            </w:tcBorders>
            <w:noWrap w:val="0"/>
            <w:vAlign w:val="center"/>
          </w:tcPr>
          <w:p w14:paraId="6AD775A3">
            <w:pPr>
              <w:widowControl/>
              <w:jc w:val="left"/>
              <w:rPr>
                <w:rFonts w:hint="default" w:ascii="宋体" w:hAnsi="宋体" w:eastAsia="宋体" w:cs="宋体"/>
                <w:color w:val="auto"/>
                <w:sz w:val="24"/>
                <w:highlight w:val="none"/>
                <w:lang w:val="en-US"/>
              </w:rPr>
            </w:pPr>
            <w:r>
              <w:rPr>
                <w:rFonts w:hint="eastAsia" w:ascii="宋体" w:hAnsi="宋体" w:cs="宋体"/>
                <w:color w:val="auto"/>
                <w:sz w:val="24"/>
                <w:highlight w:val="none"/>
                <w:lang w:val="en-US" w:eastAsia="zh-CN"/>
              </w:rPr>
              <w:t>本项目整套扩声系统需实现全链路互联互通，满足国家教室声学建设标准；项目安装调试完成后，采购人或第三方机构开展现场实测，声场不均匀度、语言传输指数、系统噪声、最大声压级等声学指标实测合格后方可竣工验收，实测不达标不予验收。</w:t>
            </w:r>
            <w:r>
              <w:rPr>
                <w:rFonts w:hint="eastAsia" w:ascii="宋体" w:hAnsi="宋体" w:cs="宋体"/>
                <w:strike w:val="0"/>
                <w:dstrike w:val="0"/>
                <w:color w:val="auto"/>
                <w:sz w:val="24"/>
                <w:highlight w:val="none"/>
                <w:lang w:val="en-US" w:eastAsia="zh-CN"/>
              </w:rPr>
              <w:t>投标人投标时提供系统兼容互通书面承诺并加盖投标人公章。</w:t>
            </w:r>
          </w:p>
        </w:tc>
        <w:tc>
          <w:tcPr>
            <w:tcW w:w="765" w:type="dxa"/>
            <w:tcBorders>
              <w:top w:val="single" w:color="auto" w:sz="4" w:space="0"/>
              <w:left w:val="single" w:color="auto" w:sz="4" w:space="0"/>
              <w:bottom w:val="single" w:color="auto" w:sz="4" w:space="0"/>
              <w:right w:val="single" w:color="auto" w:sz="4" w:space="0"/>
            </w:tcBorders>
            <w:noWrap/>
            <w:vAlign w:val="center"/>
          </w:tcPr>
          <w:p w14:paraId="6332A15C">
            <w:pPr>
              <w:widowControl/>
              <w:jc w:val="center"/>
              <w:rPr>
                <w:rFonts w:hint="eastAsia" w:ascii="宋体" w:hAnsi="宋体" w:eastAsia="宋体" w:cs="宋体"/>
                <w:color w:val="auto"/>
                <w:sz w:val="24"/>
                <w:highlight w:val="none"/>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7CD40E5B">
            <w:pPr>
              <w:widowControl/>
              <w:jc w:val="center"/>
              <w:rPr>
                <w:rFonts w:hint="eastAsia" w:ascii="宋体" w:hAnsi="宋体" w:eastAsia="宋体" w:cs="宋体"/>
                <w:color w:val="auto"/>
                <w:sz w:val="24"/>
                <w:highlight w:val="none"/>
              </w:rPr>
            </w:pPr>
          </w:p>
        </w:tc>
      </w:tr>
      <w:tr w14:paraId="2F332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95" w:type="dxa"/>
            <w:tcBorders>
              <w:top w:val="single" w:color="auto" w:sz="4" w:space="0"/>
              <w:left w:val="single" w:color="auto" w:sz="4" w:space="0"/>
              <w:bottom w:val="single" w:color="auto" w:sz="4" w:space="0"/>
              <w:right w:val="single" w:color="auto" w:sz="4" w:space="0"/>
            </w:tcBorders>
            <w:noWrap w:val="0"/>
            <w:vAlign w:val="center"/>
          </w:tcPr>
          <w:p w14:paraId="2E55FCBF">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020" w:type="dxa"/>
            <w:tcBorders>
              <w:top w:val="single" w:color="auto" w:sz="4" w:space="0"/>
              <w:left w:val="single" w:color="auto" w:sz="4" w:space="0"/>
              <w:bottom w:val="single" w:color="auto" w:sz="4" w:space="0"/>
              <w:right w:val="single" w:color="auto" w:sz="4" w:space="0"/>
            </w:tcBorders>
            <w:noWrap w:val="0"/>
            <w:vAlign w:val="center"/>
          </w:tcPr>
          <w:p w14:paraId="5AC8E4FA">
            <w:pPr>
              <w:widowControl/>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智能音频主机</w:t>
            </w:r>
          </w:p>
        </w:tc>
        <w:tc>
          <w:tcPr>
            <w:tcW w:w="6480" w:type="dxa"/>
            <w:tcBorders>
              <w:top w:val="single" w:color="auto" w:sz="4" w:space="0"/>
              <w:left w:val="single" w:color="auto" w:sz="4" w:space="0"/>
              <w:bottom w:val="single" w:color="auto" w:sz="4" w:space="0"/>
              <w:right w:val="single" w:color="auto" w:sz="4" w:space="0"/>
            </w:tcBorders>
            <w:noWrap w:val="0"/>
            <w:vAlign w:val="center"/>
          </w:tcPr>
          <w:p w14:paraId="548514E6">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音频处理和数字功放采用集成化嵌入式设计,高度≥1U；主机前面板带≥2.0寸TFT真彩显示触摸屏，具有密码输入保护、参数设置、录音操作等功能；使用高清HD级数字功放芯片组，具备延时保护、短路过流保护、过热保护。</w:t>
            </w:r>
          </w:p>
          <w:p w14:paraId="02A1B626">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主机音频处理延迟≤5ms，支持实时回声消除、噪声抑制、自动增益等功能；支持RJ45网络调试和RS232串口通讯；主机具有智能调音功能；主机前面板带USB接口，支持U盘录音功能；主机软件可消除输入通道白噪声，白噪声最大下降不小于15 db。</w:t>
            </w:r>
          </w:p>
          <w:p w14:paraId="77AE75AA">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通过局域网集中远程管理、查看设备在线情况、版本信息等，支持网络远程升级；具有空间去混响算法、环境降噪消除算法、音乐去回声算法等功能；支持在扩声中消除音乐播放源，确保语音扩声不发生干扰，支持单声道和立体声AEC。</w:t>
            </w:r>
          </w:p>
          <w:p w14:paraId="564B2B94">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5.信噪比：≥95dB；功率放大器的输出功率≥2*120W；频率响应：20Hz-20kHz（±2dB）；总谐波失真（W-THD）：≤0.1%；增益差：≤0.1dB。</w:t>
            </w:r>
          </w:p>
          <w:p w14:paraId="5A205F9A">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主机软件具有≥5路输入、≥6路输出音频矩阵管理功能，每路输入通道带支持扩展器、自动增益、参数均衡等模块，每路输出通道带高低通、参数均衡、限幅器等模块；软件支持反馈抑制、回声抑制、混音矩阵、闪避器、电平表等功能模块；支持分量音频矩阵。</w:t>
            </w:r>
          </w:p>
          <w:p w14:paraId="1C06CC72">
            <w:pPr>
              <w:widowControl/>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.主机具有≥5路麦克风输入、≥3路音频线路输入、≥6路音频线路输出，≥1路RS232接口，≥1路RJ45网络接口，≥5 路GPIO接口，≥1路3.5外接红外遥控接口，≥2路功放输出接口，并可内置扩展IP网络广播和无线麦克风。</w:t>
            </w:r>
            <w:r>
              <w:rPr>
                <w:rFonts w:hint="eastAsia" w:ascii="宋体" w:hAnsi="宋体" w:eastAsia="宋体" w:cs="宋体"/>
                <w:b/>
                <w:bCs/>
                <w:color w:val="auto"/>
                <w:sz w:val="24"/>
                <w:highlight w:val="none"/>
              </w:rPr>
              <w:t>【</w:t>
            </w:r>
            <w:r>
              <w:rPr>
                <w:rFonts w:hint="eastAsia" w:ascii="宋体" w:hAnsi="宋体" w:cs="宋体"/>
                <w:b/>
                <w:bCs/>
                <w:color w:val="auto"/>
                <w:sz w:val="24"/>
                <w:highlight w:val="none"/>
                <w:lang w:eastAsia="zh-CN"/>
              </w:rPr>
              <w:t>提供带有CNAS或CMA标记的检测报告的复印件或相关功能截图并加盖投标人公章</w:t>
            </w:r>
            <w:r>
              <w:rPr>
                <w:rFonts w:hint="eastAsia" w:ascii="宋体" w:hAnsi="宋体" w:eastAsia="宋体" w:cs="宋体"/>
                <w:b/>
                <w:bCs/>
                <w:color w:val="auto"/>
                <w:sz w:val="24"/>
                <w:highlight w:val="none"/>
              </w:rPr>
              <w:t>】</w:t>
            </w:r>
          </w:p>
        </w:tc>
        <w:tc>
          <w:tcPr>
            <w:tcW w:w="765" w:type="dxa"/>
            <w:tcBorders>
              <w:top w:val="single" w:color="auto" w:sz="4" w:space="0"/>
              <w:left w:val="single" w:color="auto" w:sz="4" w:space="0"/>
              <w:bottom w:val="single" w:color="auto" w:sz="4" w:space="0"/>
              <w:right w:val="single" w:color="auto" w:sz="4" w:space="0"/>
            </w:tcBorders>
            <w:noWrap/>
            <w:vAlign w:val="center"/>
          </w:tcPr>
          <w:p w14:paraId="2F545D1E">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45</w:t>
            </w:r>
          </w:p>
        </w:tc>
        <w:tc>
          <w:tcPr>
            <w:tcW w:w="540" w:type="dxa"/>
            <w:tcBorders>
              <w:top w:val="single" w:color="auto" w:sz="4" w:space="0"/>
              <w:left w:val="single" w:color="auto" w:sz="4" w:space="0"/>
              <w:bottom w:val="single" w:color="auto" w:sz="4" w:space="0"/>
              <w:right w:val="single" w:color="auto" w:sz="4" w:space="0"/>
            </w:tcBorders>
            <w:noWrap w:val="0"/>
            <w:vAlign w:val="center"/>
          </w:tcPr>
          <w:p w14:paraId="6BE4AC92">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台</w:t>
            </w:r>
          </w:p>
        </w:tc>
      </w:tr>
      <w:tr w14:paraId="55923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95" w:type="dxa"/>
            <w:tcBorders>
              <w:top w:val="single" w:color="auto" w:sz="4" w:space="0"/>
              <w:left w:val="single" w:color="auto" w:sz="4" w:space="0"/>
              <w:bottom w:val="single" w:color="auto" w:sz="4" w:space="0"/>
              <w:right w:val="single" w:color="auto" w:sz="4" w:space="0"/>
            </w:tcBorders>
            <w:noWrap w:val="0"/>
            <w:vAlign w:val="center"/>
          </w:tcPr>
          <w:p w14:paraId="705FFB33">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020" w:type="dxa"/>
            <w:tcBorders>
              <w:top w:val="single" w:color="auto" w:sz="4" w:space="0"/>
              <w:left w:val="single" w:color="auto" w:sz="4" w:space="0"/>
              <w:bottom w:val="single" w:color="auto" w:sz="4" w:space="0"/>
              <w:right w:val="single" w:color="auto" w:sz="4" w:space="0"/>
            </w:tcBorders>
            <w:noWrap w:val="0"/>
            <w:vAlign w:val="center"/>
          </w:tcPr>
          <w:p w14:paraId="5E30220E">
            <w:pPr>
              <w:widowControl/>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拾音麦克风</w:t>
            </w:r>
          </w:p>
        </w:tc>
        <w:tc>
          <w:tcPr>
            <w:tcW w:w="6480" w:type="dxa"/>
            <w:tcBorders>
              <w:top w:val="single" w:color="auto" w:sz="4" w:space="0"/>
              <w:left w:val="single" w:color="auto" w:sz="4" w:space="0"/>
              <w:bottom w:val="single" w:color="auto" w:sz="4" w:space="0"/>
              <w:right w:val="single" w:color="auto" w:sz="4" w:space="0"/>
            </w:tcBorders>
            <w:noWrap w:val="0"/>
            <w:vAlign w:val="center"/>
          </w:tcPr>
          <w:p w14:paraId="31DD288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大中小教室要求（每间1只）：</w:t>
            </w:r>
          </w:p>
          <w:p w14:paraId="4F6DBE8F">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输出阻抗:250Ω±30%；灵敏度：-35dB（±3）；频率响应：20-20KHz；最大声压级：135dB SPL；信噪比(SNR)：≥80dB；幻像供电：48V；采用卡侬头音频输出接口；具有抗手机、电磁、高频干扰功能；麦克风表面具有信号指示灯；定向拾音，5-8米远距离拾音，无杂散声波源回授产生的自激啸叫问题等；离地安装高度≥2.5米；根据建筑层高配套铝合金伸缩吊杆。</w:t>
            </w:r>
          </w:p>
          <w:p w14:paraId="54DF212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阶梯教室要求（每间2只）：</w:t>
            </w:r>
          </w:p>
          <w:p w14:paraId="40E4F16A">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阵列麦克风，采用≥6咪线性阵列，可≥10米远距离宽范围拾音；内置防风棉，过滤杂音和环境噪声；48V幻象电源供电；抗手机、电磁、高频干扰；频率响应：20-20KHZ（±3dB）；敏感度：等于或优于-38dB±3dB；最大声压级：≥138dB SPL；信噪比：≥80dB；离地安装高度≥2.5米；根据建筑层高配套铝合金伸缩吊杆。</w:t>
            </w:r>
          </w:p>
        </w:tc>
        <w:tc>
          <w:tcPr>
            <w:tcW w:w="765" w:type="dxa"/>
            <w:tcBorders>
              <w:top w:val="single" w:color="auto" w:sz="4" w:space="0"/>
              <w:left w:val="single" w:color="auto" w:sz="4" w:space="0"/>
              <w:bottom w:val="single" w:color="auto" w:sz="4" w:space="0"/>
              <w:right w:val="single" w:color="auto" w:sz="4" w:space="0"/>
            </w:tcBorders>
            <w:noWrap/>
            <w:vAlign w:val="center"/>
          </w:tcPr>
          <w:p w14:paraId="35314CF8">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48</w:t>
            </w:r>
          </w:p>
        </w:tc>
        <w:tc>
          <w:tcPr>
            <w:tcW w:w="540" w:type="dxa"/>
            <w:tcBorders>
              <w:top w:val="single" w:color="auto" w:sz="4" w:space="0"/>
              <w:left w:val="single" w:color="auto" w:sz="4" w:space="0"/>
              <w:bottom w:val="single" w:color="auto" w:sz="4" w:space="0"/>
              <w:right w:val="single" w:color="auto" w:sz="4" w:space="0"/>
            </w:tcBorders>
            <w:noWrap w:val="0"/>
            <w:vAlign w:val="center"/>
          </w:tcPr>
          <w:p w14:paraId="549A1F1C">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台</w:t>
            </w:r>
          </w:p>
        </w:tc>
      </w:tr>
      <w:tr w14:paraId="006B8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795" w:type="dxa"/>
            <w:tcBorders>
              <w:top w:val="single" w:color="auto" w:sz="4" w:space="0"/>
              <w:left w:val="single" w:color="auto" w:sz="4" w:space="0"/>
              <w:bottom w:val="single" w:color="auto" w:sz="4" w:space="0"/>
              <w:right w:val="single" w:color="auto" w:sz="4" w:space="0"/>
            </w:tcBorders>
            <w:noWrap w:val="0"/>
            <w:vAlign w:val="center"/>
          </w:tcPr>
          <w:p w14:paraId="315401AD">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020" w:type="dxa"/>
            <w:tcBorders>
              <w:top w:val="single" w:color="auto" w:sz="4" w:space="0"/>
              <w:left w:val="single" w:color="auto" w:sz="4" w:space="0"/>
              <w:bottom w:val="single" w:color="auto" w:sz="4" w:space="0"/>
              <w:right w:val="single" w:color="auto" w:sz="4" w:space="0"/>
            </w:tcBorders>
            <w:noWrap w:val="0"/>
            <w:vAlign w:val="center"/>
          </w:tcPr>
          <w:p w14:paraId="73CE4DDB">
            <w:pPr>
              <w:widowControl/>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扩声音箱</w:t>
            </w:r>
          </w:p>
        </w:tc>
        <w:tc>
          <w:tcPr>
            <w:tcW w:w="6480" w:type="dxa"/>
            <w:tcBorders>
              <w:top w:val="single" w:color="auto" w:sz="4" w:space="0"/>
              <w:left w:val="single" w:color="auto" w:sz="4" w:space="0"/>
              <w:bottom w:val="single" w:color="auto" w:sz="4" w:space="0"/>
              <w:right w:val="single" w:color="auto" w:sz="4" w:space="0"/>
            </w:tcBorders>
            <w:noWrap w:val="0"/>
            <w:vAlign w:val="center"/>
          </w:tcPr>
          <w:p w14:paraId="30AFC5D4">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中小型教室各1对，大教室、阶梯教室2对。</w:t>
            </w:r>
          </w:p>
          <w:p w14:paraId="1EE2FDD6">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1.采用绿色环保高密版材料，室内壁挂式安装，角度可万向调节（可根据实际情况进行方向调整）。</w:t>
            </w:r>
          </w:p>
          <w:p w14:paraId="264AABF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2.频率响应范围：50Hz-20kHz（-3dB）；输入阻抗：8Ohm（±5）；灵敏度：87dB 1.0W/1m（±2）；额定输入功率：65W（±5）；峰值输入功率：260W（±5）；覆盖角度：90°（H）× 60°（V）。</w:t>
            </w:r>
          </w:p>
          <w:p w14:paraId="0DA2A7D3">
            <w:pPr>
              <w:widowControl/>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3.</w:t>
            </w:r>
            <w:r>
              <w:rPr>
                <w:rFonts w:hint="eastAsia" w:ascii="宋体" w:hAnsi="宋体" w:eastAsia="宋体" w:cs="宋体"/>
                <w:b/>
                <w:bCs/>
                <w:color w:val="auto"/>
                <w:sz w:val="24"/>
                <w:highlight w:val="none"/>
              </w:rPr>
              <w:t>产品通过应力消除试验、跌落试验、冲击锤试验等安全性试验检测。【提供带有CNAS或CMA标记的检测报告的复印件并加盖公章】</w:t>
            </w:r>
          </w:p>
        </w:tc>
        <w:tc>
          <w:tcPr>
            <w:tcW w:w="765" w:type="dxa"/>
            <w:tcBorders>
              <w:top w:val="single" w:color="auto" w:sz="4" w:space="0"/>
              <w:left w:val="single" w:color="auto" w:sz="4" w:space="0"/>
              <w:bottom w:val="single" w:color="auto" w:sz="4" w:space="0"/>
              <w:right w:val="single" w:color="auto" w:sz="4" w:space="0"/>
            </w:tcBorders>
            <w:noWrap/>
            <w:vAlign w:val="center"/>
          </w:tcPr>
          <w:p w14:paraId="24C2F839">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58</w:t>
            </w:r>
          </w:p>
        </w:tc>
        <w:tc>
          <w:tcPr>
            <w:tcW w:w="540" w:type="dxa"/>
            <w:tcBorders>
              <w:top w:val="single" w:color="auto" w:sz="4" w:space="0"/>
              <w:left w:val="single" w:color="auto" w:sz="4" w:space="0"/>
              <w:bottom w:val="single" w:color="auto" w:sz="4" w:space="0"/>
              <w:right w:val="single" w:color="auto" w:sz="4" w:space="0"/>
            </w:tcBorders>
            <w:noWrap w:val="0"/>
            <w:vAlign w:val="center"/>
          </w:tcPr>
          <w:p w14:paraId="11AF538E">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对</w:t>
            </w:r>
          </w:p>
        </w:tc>
      </w:tr>
      <w:tr w14:paraId="1E213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95" w:type="dxa"/>
            <w:tcBorders>
              <w:top w:val="single" w:color="auto" w:sz="4" w:space="0"/>
              <w:left w:val="single" w:color="auto" w:sz="4" w:space="0"/>
              <w:bottom w:val="single" w:color="auto" w:sz="4" w:space="0"/>
              <w:right w:val="single" w:color="auto" w:sz="4" w:space="0"/>
            </w:tcBorders>
            <w:noWrap w:val="0"/>
            <w:vAlign w:val="center"/>
          </w:tcPr>
          <w:p w14:paraId="7AAD3EBE">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020" w:type="dxa"/>
            <w:tcBorders>
              <w:top w:val="single" w:color="auto" w:sz="4" w:space="0"/>
              <w:left w:val="single" w:color="auto" w:sz="4" w:space="0"/>
              <w:bottom w:val="single" w:color="auto" w:sz="4" w:space="0"/>
              <w:right w:val="single" w:color="auto" w:sz="4" w:space="0"/>
            </w:tcBorders>
            <w:noWrap w:val="0"/>
            <w:vAlign w:val="center"/>
          </w:tcPr>
          <w:p w14:paraId="1F82DD53">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多功能无线麦克风套装</w:t>
            </w:r>
          </w:p>
        </w:tc>
        <w:tc>
          <w:tcPr>
            <w:tcW w:w="6480" w:type="dxa"/>
            <w:tcBorders>
              <w:top w:val="single" w:color="auto" w:sz="4" w:space="0"/>
              <w:left w:val="single" w:color="auto" w:sz="4" w:space="0"/>
              <w:bottom w:val="single" w:color="auto" w:sz="4" w:space="0"/>
              <w:right w:val="single" w:color="auto" w:sz="4" w:space="0"/>
            </w:tcBorders>
            <w:noWrap w:val="0"/>
            <w:vAlign w:val="center"/>
          </w:tcPr>
          <w:p w14:paraId="4F7747D8">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一、多功能无线麦克风</w:t>
            </w:r>
          </w:p>
          <w:p w14:paraId="03C3901F">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1.采用笔形外观设计，重量≤</w:t>
            </w:r>
            <w:r>
              <w:rPr>
                <w:rFonts w:hint="eastAsia" w:ascii="宋体" w:hAnsi="宋体" w:cs="宋体"/>
                <w:color w:val="auto"/>
                <w:sz w:val="24"/>
                <w:highlight w:val="none"/>
                <w:lang w:val="en-US" w:eastAsia="zh-CN"/>
              </w:rPr>
              <w:t>100</w:t>
            </w:r>
            <w:r>
              <w:rPr>
                <w:rFonts w:hint="eastAsia" w:ascii="宋体" w:hAnsi="宋体" w:eastAsia="宋体" w:cs="宋体"/>
                <w:color w:val="auto"/>
                <w:sz w:val="24"/>
                <w:highlight w:val="none"/>
              </w:rPr>
              <w:t>克；采用2.4G信号传输，红外信号对频，不串频、无干扰；工作频率：240</w:t>
            </w:r>
            <w:r>
              <w:rPr>
                <w:rFonts w:hint="eastAsia" w:ascii="宋体" w:hAnsi="宋体" w:cs="宋体"/>
                <w:color w:val="auto"/>
                <w:sz w:val="24"/>
                <w:highlight w:val="none"/>
                <w:lang w:val="en-US" w:eastAsia="zh-CN"/>
              </w:rPr>
              <w:t>0</w:t>
            </w:r>
            <w:r>
              <w:rPr>
                <w:rFonts w:hint="eastAsia" w:ascii="宋体" w:hAnsi="宋体" w:eastAsia="宋体" w:cs="宋体"/>
                <w:color w:val="auto"/>
                <w:sz w:val="24"/>
                <w:highlight w:val="none"/>
              </w:rPr>
              <w:t xml:space="preserve"> MHz—2480 MHz。</w:t>
            </w:r>
          </w:p>
          <w:p w14:paraId="4C524DC8">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2.具有≥1.0英寸彩色TFT显示屏，显示界面可显示无线连接状态、电池电量、音量大小数值等。</w:t>
            </w:r>
          </w:p>
          <w:p w14:paraId="3FB7FB0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3.无线麦克风支持</w:t>
            </w:r>
            <w:r>
              <w:rPr>
                <w:rFonts w:hint="eastAsia" w:ascii="宋体" w:hAnsi="宋体" w:cs="宋体"/>
                <w:color w:val="auto"/>
                <w:sz w:val="24"/>
                <w:highlight w:val="none"/>
                <w:lang w:val="en-US" w:eastAsia="zh-CN"/>
              </w:rPr>
              <w:t>激光</w:t>
            </w:r>
            <w:r>
              <w:rPr>
                <w:rFonts w:hint="eastAsia" w:ascii="宋体" w:hAnsi="宋体" w:eastAsia="宋体" w:cs="宋体"/>
                <w:color w:val="auto"/>
                <w:sz w:val="24"/>
                <w:highlight w:val="none"/>
              </w:rPr>
              <w:t>发射（照射距离≥1</w:t>
            </w:r>
            <w:r>
              <w:rPr>
                <w:rFonts w:hint="eastAsia" w:ascii="宋体" w:hAnsi="宋体" w:cs="宋体"/>
                <w:color w:val="auto"/>
                <w:sz w:val="24"/>
                <w:highlight w:val="none"/>
                <w:lang w:val="en-US" w:eastAsia="zh-CN"/>
              </w:rPr>
              <w:t>0</w:t>
            </w:r>
            <w:r>
              <w:rPr>
                <w:rFonts w:hint="eastAsia" w:ascii="宋体" w:hAnsi="宋体" w:eastAsia="宋体" w:cs="宋体"/>
                <w:color w:val="auto"/>
                <w:sz w:val="24"/>
                <w:highlight w:val="none"/>
              </w:rPr>
              <w:t>米）、PPT上翻页和下翻页、电源按键、音量加、音量减等独立功能操作。</w:t>
            </w:r>
          </w:p>
          <w:p w14:paraId="1F786224">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w:t>
            </w:r>
            <w:r>
              <w:rPr>
                <w:rFonts w:hint="eastAsia" w:ascii="宋体" w:hAnsi="宋体" w:cs="宋体"/>
                <w:color w:val="auto"/>
                <w:sz w:val="24"/>
                <w:highlight w:val="none"/>
                <w:lang w:val="en-US" w:eastAsia="zh-CN"/>
              </w:rPr>
              <w:t>至少</w:t>
            </w:r>
            <w:r>
              <w:rPr>
                <w:rFonts w:hint="eastAsia" w:ascii="宋体" w:hAnsi="宋体" w:eastAsia="宋体" w:cs="宋体"/>
                <w:color w:val="auto"/>
                <w:sz w:val="24"/>
                <w:highlight w:val="none"/>
              </w:rPr>
              <w:t>具有TYPE-C接口充电和充电底座直插充电</w:t>
            </w:r>
            <w:r>
              <w:rPr>
                <w:rFonts w:hint="eastAsia" w:ascii="宋体" w:hAnsi="宋体" w:cs="宋体"/>
                <w:color w:val="auto"/>
                <w:sz w:val="24"/>
                <w:highlight w:val="none"/>
                <w:lang w:val="en-US" w:eastAsia="zh-CN"/>
              </w:rPr>
              <w:t>等</w:t>
            </w:r>
            <w:r>
              <w:rPr>
                <w:rFonts w:hint="eastAsia" w:ascii="宋体" w:hAnsi="宋体" w:eastAsia="宋体" w:cs="宋体"/>
                <w:color w:val="auto"/>
                <w:sz w:val="24"/>
                <w:highlight w:val="none"/>
              </w:rPr>
              <w:t>充电模式；满电后可连续使用时长≥</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小时；无线传输距离≥</w:t>
            </w:r>
            <w:r>
              <w:rPr>
                <w:rFonts w:hint="eastAsia" w:ascii="宋体" w:hAnsi="宋体" w:cs="宋体"/>
                <w:color w:val="auto"/>
                <w:sz w:val="24"/>
                <w:highlight w:val="none"/>
                <w:lang w:val="en-US" w:eastAsia="zh-CN"/>
              </w:rPr>
              <w:t>20</w:t>
            </w:r>
            <w:r>
              <w:rPr>
                <w:rFonts w:hint="eastAsia" w:ascii="宋体" w:hAnsi="宋体" w:eastAsia="宋体" w:cs="宋体"/>
                <w:color w:val="auto"/>
                <w:sz w:val="24"/>
                <w:highlight w:val="none"/>
              </w:rPr>
              <w:t>米（室内）；具有≥1.</w:t>
            </w:r>
            <w:r>
              <w:rPr>
                <w:rFonts w:hint="eastAsia" w:ascii="宋体" w:hAnsi="宋体" w:cs="宋体"/>
                <w:color w:val="auto"/>
                <w:sz w:val="24"/>
                <w:highlight w:val="none"/>
                <w:lang w:val="en-US" w:eastAsia="zh-CN"/>
              </w:rPr>
              <w:t>0</w:t>
            </w:r>
            <w:r>
              <w:rPr>
                <w:rFonts w:hint="eastAsia" w:ascii="宋体" w:hAnsi="宋体" w:eastAsia="宋体" w:cs="宋体"/>
                <w:color w:val="auto"/>
                <w:sz w:val="24"/>
                <w:highlight w:val="none"/>
              </w:rPr>
              <w:t>米自由落体耐摔功能，外壳及麦内部件不会损坏。</w:t>
            </w:r>
          </w:p>
          <w:p w14:paraId="309463D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5.具有≥1个Type-C接口，Type-C接口同时支持外接充电和拓展头戴麦克风、领夹麦克风等外接咪头。</w:t>
            </w:r>
          </w:p>
          <w:p w14:paraId="0EA6C11B">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6.频率范围100Hz~12kHz(±3dB)；动态范围≥85dB；总谐波失≤0.2%( 1kHz )；信噪比≥65 dB；系统延时≤1</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ms。</w:t>
            </w:r>
          </w:p>
          <w:p w14:paraId="1E7D89D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7.无线麦克风脱离信号接收范围，麦克风自动发出蜂鸣警报声，同时麦克风显示屏自动弹出提示信息。</w:t>
            </w:r>
          </w:p>
          <w:p w14:paraId="25DFCF0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二、智能充电座</w:t>
            </w:r>
          </w:p>
          <w:p w14:paraId="2B4D3DF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1.外壳采用金属合金材质，桌面固定安装；麦克风插入充电座即可自动充电，麦克风显示屏幕同步显示充电状态；内置红外对频功能，开启自动对频。</w:t>
            </w:r>
          </w:p>
          <w:p w14:paraId="18ACF866">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2.具有Type-C电源输入接口，3.5红外对频接口。</w:t>
            </w:r>
          </w:p>
          <w:p w14:paraId="29D7822A">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3.智能充电底座具有触摸解锁按键、状态指示灯、红外对频窗口、充电槽等，槽内具有霍尔传感器检测开关、底部到位检测开关；底座具有自动锁止麦克风功能。</w:t>
            </w:r>
          </w:p>
          <w:p w14:paraId="3CF858F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4.麦克风放入终端后自动进入静音待机状态，30分钟后麦克风未取出，麦克风自动关机。</w:t>
            </w:r>
          </w:p>
          <w:p w14:paraId="126180FB">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5.充电座面板具有锁定状态信号灯，当终端处于锁定状态红灯亮，处于解锁状态绿灯亮；当充电底座处于允许解锁状态，触摸解锁键可解锁取出麦克风，处于不允许解锁状态，无法通过触控解锁取出麦克风。</w:t>
            </w:r>
          </w:p>
          <w:p w14:paraId="537B0B64">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三、智控主机终端</w:t>
            </w:r>
          </w:p>
          <w:p w14:paraId="3109FC9C">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1.支持多种安装形式，外壳具有安装预留孔位，支持机柜放置和壁挂安装。</w:t>
            </w:r>
          </w:p>
          <w:p w14:paraId="7BEE6751">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2.采用高性能音频处理芯片，超低失真声音处理电路设计；具备通过RS232协议联动中控设备管控功能，支持通过局域网对接云平台等进行联合管控。</w:t>
            </w:r>
          </w:p>
          <w:p w14:paraId="7381B780">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3.对频方式：IR红外对频；音频传输：2.4G信号传输；电源：DC9V，1A；信噪比：≥100db；输出阻抗：200Ω（±5）。</w:t>
            </w:r>
          </w:p>
          <w:p w14:paraId="4256F722">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▲4.主机具有≥1路TYPE-B USB接口可以连接电脑；≥1路SMA天线射频接口；≥1路3.5红外对频接口；≥1路凤凰端子音频输出接口；≥2路RS232通讯接口可以与中控及其他主机通讯；≥1路RJ45网口可以与云平台通讯。【</w:t>
            </w:r>
            <w:r>
              <w:rPr>
                <w:rFonts w:hint="eastAsia" w:ascii="宋体" w:hAnsi="宋体" w:cs="宋体"/>
                <w:b/>
                <w:bCs/>
                <w:color w:val="auto"/>
                <w:sz w:val="24"/>
                <w:highlight w:val="none"/>
                <w:lang w:eastAsia="zh-CN"/>
              </w:rPr>
              <w:t>提供带有CNAS或CMA标记的检测报告的复印件或相关功能截图并加盖投标人公章</w:t>
            </w:r>
            <w:r>
              <w:rPr>
                <w:rFonts w:hint="eastAsia" w:ascii="宋体" w:hAnsi="宋体" w:eastAsia="宋体" w:cs="宋体"/>
                <w:color w:val="auto"/>
                <w:sz w:val="24"/>
                <w:highlight w:val="none"/>
              </w:rPr>
              <w:t>】</w:t>
            </w:r>
          </w:p>
        </w:tc>
        <w:tc>
          <w:tcPr>
            <w:tcW w:w="765" w:type="dxa"/>
            <w:tcBorders>
              <w:top w:val="single" w:color="auto" w:sz="4" w:space="0"/>
              <w:left w:val="single" w:color="auto" w:sz="4" w:space="0"/>
              <w:bottom w:val="single" w:color="auto" w:sz="4" w:space="0"/>
              <w:right w:val="single" w:color="auto" w:sz="4" w:space="0"/>
            </w:tcBorders>
            <w:noWrap/>
            <w:vAlign w:val="center"/>
          </w:tcPr>
          <w:p w14:paraId="32FE78F0">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45</w:t>
            </w:r>
          </w:p>
        </w:tc>
        <w:tc>
          <w:tcPr>
            <w:tcW w:w="540" w:type="dxa"/>
            <w:tcBorders>
              <w:top w:val="single" w:color="auto" w:sz="4" w:space="0"/>
              <w:left w:val="single" w:color="auto" w:sz="4" w:space="0"/>
              <w:bottom w:val="single" w:color="auto" w:sz="4" w:space="0"/>
              <w:right w:val="single" w:color="auto" w:sz="4" w:space="0"/>
            </w:tcBorders>
            <w:noWrap w:val="0"/>
            <w:vAlign w:val="center"/>
          </w:tcPr>
          <w:p w14:paraId="7CD0CFFA">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套</w:t>
            </w:r>
          </w:p>
        </w:tc>
      </w:tr>
      <w:tr w14:paraId="047E1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600" w:type="dxa"/>
            <w:gridSpan w:val="5"/>
            <w:tcBorders>
              <w:top w:val="single" w:color="auto" w:sz="4" w:space="0"/>
              <w:left w:val="single" w:color="auto" w:sz="4" w:space="0"/>
              <w:bottom w:val="single" w:color="auto" w:sz="4" w:space="0"/>
              <w:right w:val="single" w:color="auto" w:sz="4" w:space="0"/>
            </w:tcBorders>
            <w:noWrap w:val="0"/>
            <w:vAlign w:val="center"/>
          </w:tcPr>
          <w:p w14:paraId="142DA674">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四、AI教学分析系统</w:t>
            </w:r>
          </w:p>
        </w:tc>
      </w:tr>
      <w:tr w14:paraId="3B0BA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95" w:type="dxa"/>
            <w:tcBorders>
              <w:top w:val="single" w:color="auto" w:sz="4" w:space="0"/>
              <w:left w:val="single" w:color="auto" w:sz="4" w:space="0"/>
              <w:bottom w:val="single" w:color="auto" w:sz="4" w:space="0"/>
              <w:right w:val="single" w:color="auto" w:sz="4" w:space="0"/>
            </w:tcBorders>
            <w:noWrap w:val="0"/>
            <w:vAlign w:val="center"/>
          </w:tcPr>
          <w:p w14:paraId="77A9471E">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020" w:type="dxa"/>
            <w:tcBorders>
              <w:top w:val="single" w:color="auto" w:sz="4" w:space="0"/>
              <w:left w:val="single" w:color="auto" w:sz="4" w:space="0"/>
              <w:bottom w:val="single" w:color="auto" w:sz="4" w:space="0"/>
              <w:right w:val="single" w:color="auto" w:sz="4" w:space="0"/>
            </w:tcBorders>
            <w:noWrap w:val="0"/>
            <w:vAlign w:val="center"/>
          </w:tcPr>
          <w:p w14:paraId="1D58BCD0">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AI分析智能主机</w:t>
            </w:r>
          </w:p>
        </w:tc>
        <w:tc>
          <w:tcPr>
            <w:tcW w:w="6480" w:type="dxa"/>
            <w:tcBorders>
              <w:top w:val="single" w:color="auto" w:sz="4" w:space="0"/>
              <w:left w:val="single" w:color="auto" w:sz="4" w:space="0"/>
              <w:bottom w:val="single" w:color="auto" w:sz="4" w:space="0"/>
              <w:right w:val="single" w:color="auto" w:sz="4" w:space="0"/>
            </w:tcBorders>
            <w:noWrap w:val="0"/>
          </w:tcPr>
          <w:p w14:paraId="5D68D5E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基本要求：</w:t>
            </w:r>
          </w:p>
          <w:p w14:paraId="73079621">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U机架式设计，整体采用嵌入式设计、非PC与服务器工作站等架构，以保障系统运行稳定、安全；主机需同时具备录制、直播、导播、自动跟踪、音频编码、视频编码、音频处理、视频处理、存储、点播、互动、视频会议、行为分析、物联控制、远程运维参数设置等能力。</w:t>
            </w:r>
          </w:p>
          <w:p w14:paraId="516914CE">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2.主CPU核心数≥8，内置GPU与NPU协处理器，主频≥2.4GHz；音频辅助CPU核心数≥4核；输出入接口：</w:t>
            </w:r>
            <w:r>
              <w:rPr>
                <w:rFonts w:ascii="宋体" w:hAnsi="宋体" w:eastAsia="宋体" w:cs="宋体"/>
                <w:color w:val="auto"/>
                <w:sz w:val="24"/>
                <w:szCs w:val="24"/>
                <w:highlight w:val="none"/>
              </w:rPr>
              <w:t>RJ45</w:t>
            </w:r>
            <w:r>
              <w:rPr>
                <w:rFonts w:hint="eastAsia" w:ascii="宋体" w:hAnsi="宋体" w:eastAsia="宋体" w:cs="宋体"/>
                <w:color w:val="auto"/>
                <w:sz w:val="24"/>
                <w:highlight w:val="none"/>
              </w:rPr>
              <w:t>≥5个，其中POE接口≥3，HDMI输入≥1，HDMI输出≥2路；主机支持≥1数字音频DMIC输入，≥1路3.5mmMICIN输入，≥1路3.5mmLINEIN输入，≥2路3.5mmLINEOUT输出，支持回声抑制、增益、噪声抑制与音频均衡功能。</w:t>
            </w:r>
          </w:p>
          <w:p w14:paraId="76F35FF0">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主要功能：</w:t>
            </w:r>
          </w:p>
          <w:p w14:paraId="220944B3">
            <w:pPr>
              <w:widowControl/>
              <w:jc w:val="left"/>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.内置SATA数据接口≥</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个，方便扩展大容量硬盘设备做本地存储；算力扩展：设备主板上配置算力扩展卡槽，支持额外算力扩展。</w:t>
            </w:r>
          </w:p>
          <w:p w14:paraId="260D833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支持AI人工智能课堂行为分析能力，无需添加任何设备即可实现基于课堂上师生的行为、表情、语音等相关数据进行分析，在平台中生成报告。报告中可查看课堂实录、课堂热力图、AI建议分析等；问答模式、提问类型、学生应答、问答实录分析及总结等；互动分析、教学分析及总结、AI评课、教学一致性评价等。</w:t>
            </w:r>
          </w:p>
          <w:p w14:paraId="161F407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.支持麦克风与主机之间通过网络接口实现麦克风音频采集与供电，支持多麦克风级联，传输距离≥50米，音频采样率≥48kHz；支持≥</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路4K@30fps录制。</w:t>
            </w:r>
          </w:p>
          <w:p w14:paraId="76F62ACA">
            <w:pPr>
              <w:widowControl/>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.支持录播网络状态检测，识别网络状态异常</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支持录播主机接口插入检测，识别未接线或接线松动问题</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支持通过平台或网络查看设备在线和离线状态，查看设备 ID 地址、IP 地址等信息，实现对设备的远程配置，支持关机、重启、参数配置等操作。</w:t>
            </w:r>
          </w:p>
          <w:p w14:paraId="6176CBE6">
            <w:pPr>
              <w:widowControl/>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LAN≥1，支持100/1000M网络自适应以及IPv4、IPv6双协议栈。数据接口：支持≥4个USB接口，其中USB-A接口≥3个，Type-C接口≥1个。控制接口：通信接口端子数量≥5，其中RS232接口数量≥3，RS485接口≥1，RS232/RS485双模式接口≥1。</w:t>
            </w:r>
          </w:p>
          <w:p w14:paraId="627DF443">
            <w:pPr>
              <w:widowControl/>
              <w:jc w:val="left"/>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.为保证录播主机支持本地AI处理，要求主机内置算力≥6TOPs（INT8</w:t>
            </w:r>
            <w:r>
              <w:rPr>
                <w:rFonts w:hint="eastAsia" w:ascii="宋体" w:hAnsi="宋体" w:eastAsia="宋体" w:cs="宋体"/>
                <w:color w:val="0000FF"/>
                <w:sz w:val="24"/>
                <w:highlight w:val="none"/>
              </w:rPr>
              <w:t>）</w:t>
            </w:r>
            <w:r>
              <w:rPr>
                <w:rFonts w:hint="eastAsia" w:ascii="宋体" w:hAnsi="宋体" w:eastAsia="宋体" w:cs="宋体"/>
                <w:color w:val="auto"/>
                <w:sz w:val="24"/>
                <w:highlight w:val="none"/>
                <w:lang w:val="en-US" w:eastAsia="zh-CN"/>
              </w:rPr>
              <w:t>或相当</w:t>
            </w:r>
            <w:r>
              <w:rPr>
                <w:rFonts w:hint="eastAsia" w:ascii="宋体" w:hAnsi="宋体" w:eastAsia="宋体" w:cs="宋体"/>
                <w:color w:val="auto"/>
                <w:sz w:val="24"/>
                <w:highlight w:val="none"/>
              </w:rPr>
              <w:t>（</w:t>
            </w:r>
            <w:r>
              <w:rPr>
                <w:rFonts w:hint="eastAsia" w:ascii="宋体" w:hAnsi="宋体" w:eastAsia="宋体" w:cs="宋体"/>
                <w:b/>
                <w:bCs/>
                <w:color w:val="auto"/>
                <w:sz w:val="24"/>
                <w:highlight w:val="none"/>
              </w:rPr>
              <w:t>提供</w:t>
            </w:r>
            <w:r>
              <w:rPr>
                <w:rFonts w:hint="eastAsia" w:ascii="宋体" w:hAnsi="宋体" w:cs="宋体"/>
                <w:b/>
                <w:bCs/>
                <w:color w:val="auto"/>
                <w:sz w:val="24"/>
                <w:highlight w:val="none"/>
                <w:lang w:eastAsia="zh-CN"/>
              </w:rPr>
              <w:t>官方认可的检测机构出具的检测报告复印件或者技术白皮书</w:t>
            </w:r>
            <w:r>
              <w:rPr>
                <w:rFonts w:hint="eastAsia" w:ascii="宋体" w:hAnsi="宋体" w:eastAsia="宋体" w:cs="宋体"/>
                <w:b/>
                <w:bCs/>
                <w:color w:val="auto"/>
                <w:sz w:val="24"/>
                <w:highlight w:val="none"/>
              </w:rPr>
              <w:t>并加盖投标人公章）</w:t>
            </w:r>
            <w:r>
              <w:rPr>
                <w:rFonts w:hint="eastAsia" w:ascii="宋体" w:hAnsi="宋体" w:cs="宋体"/>
                <w:b/>
                <w:bCs/>
                <w:color w:val="auto"/>
                <w:sz w:val="24"/>
                <w:highlight w:val="none"/>
                <w:lang w:eastAsia="zh-CN"/>
              </w:rPr>
              <w:t>。</w:t>
            </w:r>
          </w:p>
        </w:tc>
        <w:tc>
          <w:tcPr>
            <w:tcW w:w="765" w:type="dxa"/>
            <w:tcBorders>
              <w:top w:val="single" w:color="auto" w:sz="4" w:space="0"/>
              <w:left w:val="single" w:color="auto" w:sz="4" w:space="0"/>
              <w:bottom w:val="single" w:color="auto" w:sz="4" w:space="0"/>
              <w:right w:val="single" w:color="auto" w:sz="4" w:space="0"/>
            </w:tcBorders>
            <w:noWrap/>
            <w:vAlign w:val="center"/>
          </w:tcPr>
          <w:p w14:paraId="397EDBDE">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45</w:t>
            </w:r>
          </w:p>
        </w:tc>
        <w:tc>
          <w:tcPr>
            <w:tcW w:w="540" w:type="dxa"/>
            <w:tcBorders>
              <w:top w:val="single" w:color="auto" w:sz="4" w:space="0"/>
              <w:left w:val="single" w:color="auto" w:sz="4" w:space="0"/>
              <w:bottom w:val="single" w:color="auto" w:sz="4" w:space="0"/>
              <w:right w:val="single" w:color="auto" w:sz="4" w:space="0"/>
            </w:tcBorders>
            <w:noWrap w:val="0"/>
            <w:vAlign w:val="center"/>
          </w:tcPr>
          <w:p w14:paraId="4802A6C6">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台</w:t>
            </w:r>
          </w:p>
        </w:tc>
      </w:tr>
      <w:tr w14:paraId="577B1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trPr>
        <w:tc>
          <w:tcPr>
            <w:tcW w:w="795" w:type="dxa"/>
            <w:tcBorders>
              <w:top w:val="single" w:color="auto" w:sz="4" w:space="0"/>
              <w:left w:val="single" w:color="auto" w:sz="4" w:space="0"/>
              <w:bottom w:val="single" w:color="auto" w:sz="4" w:space="0"/>
              <w:right w:val="single" w:color="auto" w:sz="4" w:space="0"/>
            </w:tcBorders>
            <w:noWrap w:val="0"/>
            <w:vAlign w:val="center"/>
          </w:tcPr>
          <w:p w14:paraId="46DE4ACC">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020" w:type="dxa"/>
            <w:tcBorders>
              <w:top w:val="single" w:color="auto" w:sz="4" w:space="0"/>
              <w:left w:val="single" w:color="auto" w:sz="4" w:space="0"/>
              <w:bottom w:val="single" w:color="auto" w:sz="4" w:space="0"/>
              <w:right w:val="single" w:color="auto" w:sz="4" w:space="0"/>
            </w:tcBorders>
            <w:noWrap w:val="0"/>
            <w:vAlign w:val="center"/>
          </w:tcPr>
          <w:p w14:paraId="4E2F1193">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互动导播系统</w:t>
            </w:r>
          </w:p>
        </w:tc>
        <w:tc>
          <w:tcPr>
            <w:tcW w:w="6480" w:type="dxa"/>
            <w:tcBorders>
              <w:top w:val="single" w:color="auto" w:sz="4" w:space="0"/>
              <w:left w:val="single" w:color="auto" w:sz="4" w:space="0"/>
              <w:bottom w:val="single" w:color="auto" w:sz="4" w:space="0"/>
              <w:right w:val="single" w:color="auto" w:sz="4" w:space="0"/>
            </w:tcBorders>
            <w:noWrap w:val="0"/>
          </w:tcPr>
          <w:p w14:paraId="62ED2DE1">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1.在导播界面的预览窗口可实时观看教师全景/特写、学生全景/特写、多媒体电脑等各路画面，点击可进行画面切换。预监画面可实时推流给资源平台，实现平台直播。</w:t>
            </w:r>
          </w:p>
          <w:p w14:paraId="34ABA28F">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2.录播画面比例支持16：9，触控回传响应延时≤80ms；支持标准SIP音视频互动协议，支持1080P@60fps全高清视频互动。</w:t>
            </w:r>
          </w:p>
          <w:p w14:paraId="5D5559EA">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3.支持互动清晰度设置：支持 1080p@60fps，分辨率可选择 1080p、720p等，帧率可选择 60fps、30fps、25fps等。</w:t>
            </w:r>
          </w:p>
          <w:p w14:paraId="71331F1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4.设备双向互动过程中，在系统总丢包率≤50%的网络环境下，视频清晰流畅无卡顿，语音连贯。</w:t>
            </w:r>
          </w:p>
          <w:p w14:paraId="56022204">
            <w:pPr>
              <w:widowControl/>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5.支持多种画面模式，支持单画面、画中画、左右等分、三画面、四画面等多种画面合成模式，支持自动导播、手动导播。</w:t>
            </w:r>
            <w:r>
              <w:rPr>
                <w:rFonts w:hint="eastAsia" w:ascii="宋体" w:hAnsi="宋体" w:eastAsia="宋体" w:cs="宋体"/>
                <w:b/>
                <w:bCs/>
                <w:color w:val="auto"/>
                <w:sz w:val="24"/>
                <w:highlight w:val="none"/>
              </w:rPr>
              <w:t>（提供系统功能截图加盖投标人公章）</w:t>
            </w:r>
          </w:p>
          <w:p w14:paraId="310229C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b/>
                <w:color w:val="auto"/>
                <w:sz w:val="24"/>
                <w:highlight w:val="none"/>
              </w:rPr>
              <w:t>本条为演示项</w:t>
            </w:r>
            <w:r>
              <w:rPr>
                <w:rFonts w:hint="eastAsia" w:ascii="宋体" w:hAnsi="宋体" w:eastAsia="宋体" w:cs="宋体"/>
                <w:color w:val="auto"/>
                <w:sz w:val="24"/>
                <w:highlight w:val="none"/>
              </w:rPr>
              <w:t>）6.远程管理软件支持进行AI分析智能主机系统版本升级、麦克风降噪等级修改，可以自定义切换主机不少于4路HDMI或UVC输出接口信号源，满足视频会议软件或多场景画面显示需要。</w:t>
            </w:r>
          </w:p>
        </w:tc>
        <w:tc>
          <w:tcPr>
            <w:tcW w:w="765" w:type="dxa"/>
            <w:tcBorders>
              <w:top w:val="single" w:color="auto" w:sz="4" w:space="0"/>
              <w:left w:val="single" w:color="auto" w:sz="4" w:space="0"/>
              <w:bottom w:val="single" w:color="auto" w:sz="4" w:space="0"/>
              <w:right w:val="single" w:color="auto" w:sz="4" w:space="0"/>
            </w:tcBorders>
            <w:noWrap/>
            <w:vAlign w:val="center"/>
          </w:tcPr>
          <w:p w14:paraId="1FBF411D">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45</w:t>
            </w:r>
          </w:p>
        </w:tc>
        <w:tc>
          <w:tcPr>
            <w:tcW w:w="540" w:type="dxa"/>
            <w:tcBorders>
              <w:top w:val="single" w:color="auto" w:sz="4" w:space="0"/>
              <w:left w:val="single" w:color="auto" w:sz="4" w:space="0"/>
              <w:bottom w:val="single" w:color="auto" w:sz="4" w:space="0"/>
              <w:right w:val="single" w:color="auto" w:sz="4" w:space="0"/>
            </w:tcBorders>
            <w:noWrap w:val="0"/>
            <w:vAlign w:val="center"/>
          </w:tcPr>
          <w:p w14:paraId="3BCB00B0">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套</w:t>
            </w:r>
          </w:p>
        </w:tc>
      </w:tr>
      <w:tr w14:paraId="6DDB5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95" w:type="dxa"/>
            <w:tcBorders>
              <w:top w:val="single" w:color="auto" w:sz="4" w:space="0"/>
              <w:left w:val="single" w:color="auto" w:sz="4" w:space="0"/>
              <w:bottom w:val="single" w:color="auto" w:sz="4" w:space="0"/>
              <w:right w:val="single" w:color="auto" w:sz="4" w:space="0"/>
            </w:tcBorders>
            <w:noWrap w:val="0"/>
            <w:vAlign w:val="center"/>
          </w:tcPr>
          <w:p w14:paraId="055B25EA">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020" w:type="dxa"/>
            <w:tcBorders>
              <w:top w:val="single" w:color="auto" w:sz="4" w:space="0"/>
              <w:left w:val="single" w:color="auto" w:sz="4" w:space="0"/>
              <w:bottom w:val="single" w:color="auto" w:sz="4" w:space="0"/>
              <w:right w:val="single" w:color="auto" w:sz="4" w:space="0"/>
            </w:tcBorders>
            <w:noWrap w:val="0"/>
            <w:vAlign w:val="center"/>
          </w:tcPr>
          <w:p w14:paraId="1E342A4D">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AI分析教师端视频处理系统</w:t>
            </w:r>
          </w:p>
        </w:tc>
        <w:tc>
          <w:tcPr>
            <w:tcW w:w="6480" w:type="dxa"/>
            <w:tcBorders>
              <w:top w:val="single" w:color="auto" w:sz="4" w:space="0"/>
              <w:left w:val="single" w:color="auto" w:sz="4" w:space="0"/>
              <w:bottom w:val="single" w:color="auto" w:sz="4" w:space="0"/>
              <w:right w:val="single" w:color="auto" w:sz="4" w:space="0"/>
            </w:tcBorders>
            <w:noWrap w:val="0"/>
          </w:tcPr>
          <w:p w14:paraId="6AF0D62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硬件部分：</w:t>
            </w:r>
          </w:p>
          <w:p w14:paraId="44F98048">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1.采用全景特写双镜头，内置图像识别跟踪算法，全景镜头水平视场角≥40°，特写镜头水平视场角≥20°；摄像机采用一体化集成设计，支持4K超高清，可提供3840×2160图像分辨率同时向下兼容。</w:t>
            </w:r>
          </w:p>
          <w:p w14:paraId="1CBC63CC">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2.摄像机接口支持RJ45接口≥1路，Type-C接口≥1路，Line in接口≥1路。</w:t>
            </w:r>
          </w:p>
          <w:p w14:paraId="293FC511">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3.支持POE有线网络供电，只需要1路网线，即可实现供电及信号传输，支持同时输出特写和全景等多路画面。</w:t>
            </w:r>
          </w:p>
          <w:p w14:paraId="0757536A">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4.传感器尺寸 CMOS ≥ 1/2.8英寸；全景图像传感器有效像素≥400万，特写图像传感器有效像素≥800万；摄像机最低照度：0.5 Lux@（F2.0, AGC ON）；摄像机电子快门：1/30s ~ 1/10000s；支持自动白平衡；支持2D&amp;3D数字降噪，信噪比≥55dB。</w:t>
            </w:r>
          </w:p>
          <w:p w14:paraId="7B154674">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5.支持H.264、H.265、MJPEG等视频编码格式；支持音视频信号输出，可以同时支持UVC和UAC协议，通过主机Type C接口可以实现图像和声音同步输出，最大支持4K@30fps输出，兼容主流视频会议软件；为确保运行稳定，使用平均无故障运行时间(MTBF)应≥250000小时。</w:t>
            </w:r>
          </w:p>
          <w:p w14:paraId="3A5652EE">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控制软件：</w:t>
            </w:r>
          </w:p>
          <w:p w14:paraId="47FC9AA6">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1.摄像机内嵌智能跟踪算法，无需单独安装定位跟踪主机及其他任何辅助拍摄设备，即可实现跟踪定位控制功能。</w:t>
            </w:r>
          </w:p>
          <w:p w14:paraId="722DFB1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2.系统采用智能图像识别算法，能同时输出2路场景画面并分析计算，实现1台摄像机的2景位拍摄，通过导播跟踪系统，实现所有画面的自动导播切换。</w:t>
            </w:r>
          </w:p>
          <w:p w14:paraId="52A42809">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3.支持设置摄像机分辨率、帧率、码率、亮度、饱和度、对比度、锐度、色度、快门速度等；图像支持垂直翻转、水平翻转，默认不开启。</w:t>
            </w:r>
          </w:p>
          <w:p w14:paraId="39D7371A">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支持对摄像机网络进行管理，包括设置IP地址/网关/DNS等，支持组播协议搜索IP地址，并修改摄像机IP；支持RTMP推流、RTSP拉流、ONVIF协议、GB28181协议等；支持跟随模式、混合模式、双镜模式、三预置位等多种导播模式。</w:t>
            </w:r>
          </w:p>
        </w:tc>
        <w:tc>
          <w:tcPr>
            <w:tcW w:w="765" w:type="dxa"/>
            <w:tcBorders>
              <w:top w:val="single" w:color="auto" w:sz="4" w:space="0"/>
              <w:left w:val="single" w:color="auto" w:sz="4" w:space="0"/>
              <w:bottom w:val="single" w:color="auto" w:sz="4" w:space="0"/>
              <w:right w:val="single" w:color="auto" w:sz="4" w:space="0"/>
            </w:tcBorders>
            <w:noWrap/>
            <w:vAlign w:val="center"/>
          </w:tcPr>
          <w:p w14:paraId="5B48888A">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45</w:t>
            </w:r>
          </w:p>
        </w:tc>
        <w:tc>
          <w:tcPr>
            <w:tcW w:w="540" w:type="dxa"/>
            <w:tcBorders>
              <w:top w:val="single" w:color="auto" w:sz="4" w:space="0"/>
              <w:left w:val="single" w:color="auto" w:sz="4" w:space="0"/>
              <w:bottom w:val="single" w:color="auto" w:sz="4" w:space="0"/>
              <w:right w:val="single" w:color="auto" w:sz="4" w:space="0"/>
            </w:tcBorders>
            <w:noWrap w:val="0"/>
            <w:vAlign w:val="center"/>
          </w:tcPr>
          <w:p w14:paraId="2505D8BB">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套</w:t>
            </w:r>
          </w:p>
        </w:tc>
      </w:tr>
      <w:tr w14:paraId="093F8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95" w:type="dxa"/>
            <w:tcBorders>
              <w:top w:val="single" w:color="auto" w:sz="4" w:space="0"/>
              <w:left w:val="single" w:color="auto" w:sz="4" w:space="0"/>
              <w:bottom w:val="single" w:color="auto" w:sz="4" w:space="0"/>
              <w:right w:val="single" w:color="auto" w:sz="4" w:space="0"/>
            </w:tcBorders>
            <w:noWrap w:val="0"/>
            <w:vAlign w:val="center"/>
          </w:tcPr>
          <w:p w14:paraId="3340BB02">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020" w:type="dxa"/>
            <w:tcBorders>
              <w:top w:val="single" w:color="auto" w:sz="4" w:space="0"/>
              <w:left w:val="single" w:color="auto" w:sz="4" w:space="0"/>
              <w:bottom w:val="single" w:color="auto" w:sz="4" w:space="0"/>
              <w:right w:val="single" w:color="auto" w:sz="4" w:space="0"/>
            </w:tcBorders>
            <w:noWrap w:val="0"/>
            <w:vAlign w:val="center"/>
          </w:tcPr>
          <w:p w14:paraId="49A8C138">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AI分析学生端视频处理系统</w:t>
            </w:r>
          </w:p>
        </w:tc>
        <w:tc>
          <w:tcPr>
            <w:tcW w:w="6480" w:type="dxa"/>
            <w:tcBorders>
              <w:top w:val="single" w:color="auto" w:sz="4" w:space="0"/>
              <w:left w:val="single" w:color="auto" w:sz="4" w:space="0"/>
              <w:bottom w:val="single" w:color="auto" w:sz="4" w:space="0"/>
              <w:right w:val="single" w:color="auto" w:sz="4" w:space="0"/>
            </w:tcBorders>
            <w:noWrap w:val="0"/>
          </w:tcPr>
          <w:p w14:paraId="44F13B68">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硬件部分：</w:t>
            </w:r>
          </w:p>
          <w:p w14:paraId="0D3ED55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1.用全景特写双镜头，内置图像识别跟踪算法，全景镜头水平视场角≥110°，特写镜头水平视场角≥40°；摄像机采用一体化集成设计，支持4K超高清，可提供3840×2160图像分辨率同时向下兼容。</w:t>
            </w:r>
          </w:p>
          <w:p w14:paraId="35502EB2">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2.摄像机接口支持RJ45接口≥1路，Type-C接口≥1路，Line in接口≥1路。</w:t>
            </w:r>
          </w:p>
          <w:p w14:paraId="7B3C8A50">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3.支持POE有线网络供电，只需要1路网线，即可实现供电及信号传输，支持同时输出特写和全景等多路画面。</w:t>
            </w:r>
          </w:p>
          <w:p w14:paraId="64F9C7D6">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4.传感器尺寸 CMOS ≥ 1/2.8英寸；全景图像传感器有效像素≥400万，特写图像传感器有效像素≥800万；支持自动白平衡；支持2D&amp;3D数字降噪，信噪比≥55dB；支持H.264、H.265、MJPEG等视频编码格式；支持≥6种网络流传输协议。</w:t>
            </w:r>
          </w:p>
          <w:p w14:paraId="050EEC56">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控制软件：</w:t>
            </w:r>
          </w:p>
          <w:p w14:paraId="60924E1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1.摄像机内嵌智能跟踪算法，无需单独安装定位跟踪主机及其他任何辅助拍摄设备，即可实现跟踪定位控制功能。</w:t>
            </w:r>
          </w:p>
          <w:p w14:paraId="3C5C0F38">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2.系统应采用智能图像识别算法，能同时输出2路场景画面并分析计算，实现1台摄像机的2景位拍摄，通过导播跟踪系统，实现所有画面的自动导播切换。</w:t>
            </w:r>
          </w:p>
          <w:p w14:paraId="2C0A65A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设置摄像机分辨率、帧率、码率、亮度、饱和度、对比度、锐度、色度、快门速度等；图像支持垂直翻转、水平翻转，默认不开启；支持对摄像机网络进行管理，包括设置IP地址/网关/DNS等，支持组播协议搜索IP地址，并修改摄像机IP；支持至少1个六边形导播跟踪区划定。</w:t>
            </w:r>
          </w:p>
        </w:tc>
        <w:tc>
          <w:tcPr>
            <w:tcW w:w="765" w:type="dxa"/>
            <w:tcBorders>
              <w:top w:val="single" w:color="auto" w:sz="4" w:space="0"/>
              <w:left w:val="single" w:color="auto" w:sz="4" w:space="0"/>
              <w:bottom w:val="single" w:color="auto" w:sz="4" w:space="0"/>
              <w:right w:val="single" w:color="auto" w:sz="4" w:space="0"/>
            </w:tcBorders>
            <w:noWrap/>
            <w:vAlign w:val="center"/>
          </w:tcPr>
          <w:p w14:paraId="1341893A">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45</w:t>
            </w:r>
          </w:p>
        </w:tc>
        <w:tc>
          <w:tcPr>
            <w:tcW w:w="540" w:type="dxa"/>
            <w:tcBorders>
              <w:top w:val="single" w:color="auto" w:sz="4" w:space="0"/>
              <w:left w:val="single" w:color="auto" w:sz="4" w:space="0"/>
              <w:bottom w:val="single" w:color="auto" w:sz="4" w:space="0"/>
              <w:right w:val="single" w:color="auto" w:sz="4" w:space="0"/>
            </w:tcBorders>
            <w:noWrap w:val="0"/>
            <w:vAlign w:val="center"/>
          </w:tcPr>
          <w:p w14:paraId="66746C8F">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套</w:t>
            </w:r>
          </w:p>
        </w:tc>
      </w:tr>
      <w:tr w14:paraId="3712A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95" w:type="dxa"/>
            <w:tcBorders>
              <w:top w:val="single" w:color="auto" w:sz="4" w:space="0"/>
              <w:left w:val="single" w:color="auto" w:sz="4" w:space="0"/>
              <w:bottom w:val="single" w:color="auto" w:sz="4" w:space="0"/>
              <w:right w:val="single" w:color="auto" w:sz="4" w:space="0"/>
            </w:tcBorders>
            <w:noWrap w:val="0"/>
            <w:vAlign w:val="center"/>
          </w:tcPr>
          <w:p w14:paraId="6645E372">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1020" w:type="dxa"/>
            <w:tcBorders>
              <w:top w:val="single" w:color="auto" w:sz="4" w:space="0"/>
              <w:left w:val="single" w:color="auto" w:sz="4" w:space="0"/>
              <w:bottom w:val="single" w:color="auto" w:sz="4" w:space="0"/>
              <w:right w:val="single" w:color="auto" w:sz="4" w:space="0"/>
            </w:tcBorders>
            <w:noWrap w:val="0"/>
            <w:vAlign w:val="center"/>
          </w:tcPr>
          <w:p w14:paraId="5F9FD89D">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AI分析声音采集前端处理系统</w:t>
            </w:r>
          </w:p>
        </w:tc>
        <w:tc>
          <w:tcPr>
            <w:tcW w:w="6480" w:type="dxa"/>
            <w:tcBorders>
              <w:top w:val="single" w:color="auto" w:sz="4" w:space="0"/>
              <w:left w:val="single" w:color="auto" w:sz="4" w:space="0"/>
              <w:bottom w:val="single" w:color="auto" w:sz="4" w:space="0"/>
              <w:right w:val="single" w:color="auto" w:sz="4" w:space="0"/>
            </w:tcBorders>
            <w:noWrap w:val="0"/>
          </w:tcPr>
          <w:p w14:paraId="6C48792F">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中小型教室各1套</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13+19=32套）</w:t>
            </w:r>
            <w:r>
              <w:rPr>
                <w:rFonts w:hint="eastAsia" w:ascii="宋体" w:hAnsi="宋体" w:eastAsia="宋体" w:cs="宋体"/>
                <w:color w:val="auto"/>
                <w:sz w:val="24"/>
                <w:highlight w:val="none"/>
              </w:rPr>
              <w:t>、大型教室</w:t>
            </w:r>
            <w:r>
              <w:rPr>
                <w:rFonts w:hint="eastAsia" w:ascii="宋体" w:hAnsi="宋体" w:eastAsia="宋体" w:cs="宋体"/>
                <w:color w:val="auto"/>
                <w:sz w:val="24"/>
                <w:highlight w:val="none"/>
                <w:lang w:val="en-US" w:eastAsia="zh-CN"/>
              </w:rPr>
              <w:t>和</w:t>
            </w:r>
            <w:r>
              <w:rPr>
                <w:rFonts w:hint="eastAsia" w:ascii="宋体" w:hAnsi="宋体" w:eastAsia="宋体" w:cs="宋体"/>
                <w:color w:val="auto"/>
                <w:sz w:val="24"/>
                <w:highlight w:val="none"/>
              </w:rPr>
              <w:t>阶梯教室各2套</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10*2+3*2=26套），58套</w:t>
            </w:r>
            <w:r>
              <w:rPr>
                <w:rFonts w:hint="eastAsia" w:ascii="宋体" w:hAnsi="宋体" w:eastAsia="宋体" w:cs="宋体"/>
                <w:color w:val="auto"/>
                <w:sz w:val="24"/>
                <w:highlight w:val="none"/>
              </w:rPr>
              <w:t>。</w:t>
            </w:r>
          </w:p>
          <w:p w14:paraId="6BAD3448">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硬件部分</w:t>
            </w:r>
          </w:p>
          <w:p w14:paraId="689D18C9">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麦克风套件标配2支麦克风和2套安装支架；麦克风内置≥8个传感器单元；支持≥2个数字音频接口，支持数字音频传输，每个接口都具备输入接口和输出接口能力，支持盲插；具备状态指示灯，不同颜色分别表示是否正常工作</w:t>
            </w:r>
          </w:p>
          <w:p w14:paraId="0170682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2.麦克风频率响应范围不低于50Hz~16KHz；拾音半径≥6m；信噪比≥65dB；声压级≥130dBSPL，10%THD@1 KHz。</w:t>
            </w:r>
          </w:p>
          <w:p w14:paraId="0DA90D36">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3.麦克风无需额外适配器供电，能够通过网线实现麦克风供电、音频信号传输、参数调整。</w:t>
            </w:r>
          </w:p>
          <w:p w14:paraId="04B27CDC">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软件部分</w:t>
            </w:r>
          </w:p>
          <w:p w14:paraId="70F358A1">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1.支持全频带全双工自适应回声消除算法；支持全频自适应AI降噪技术；支持自动增益控制。</w:t>
            </w:r>
          </w:p>
          <w:p w14:paraId="17F2FC18">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2.支持多通道音频矩阵，可根据场景需求进行相应设置；支持音频参数调节；支持智能混音，可智能选择最佳麦克风采集音频；支持混响抑制算法；支持动态波束成形算法。</w:t>
            </w:r>
          </w:p>
          <w:p w14:paraId="4D31CA55">
            <w:pPr>
              <w:widowControl/>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（●本条为演示项）</w:t>
            </w:r>
            <w:r>
              <w:rPr>
                <w:rFonts w:hint="eastAsia" w:ascii="宋体" w:hAnsi="宋体" w:eastAsia="宋体" w:cs="宋体"/>
                <w:color w:val="auto"/>
                <w:sz w:val="24"/>
                <w:highlight w:val="none"/>
              </w:rPr>
              <w:t>3. AI分析声音采集前端处理系统和与AI分析智能主机配套使用后具备智能降噪能力，在人为模拟的教室噪音环境中，如翻书、鼓掌等情境下同时说话，AI分析智能主机录制下来的视频可以直接在屏幕上进行播放，视频人声清晰，噪音被智能过滤或消除；每一路视频（如教师全景、学生全景等）均能同步录制声音。</w:t>
            </w:r>
          </w:p>
        </w:tc>
        <w:tc>
          <w:tcPr>
            <w:tcW w:w="765" w:type="dxa"/>
            <w:tcBorders>
              <w:top w:val="single" w:color="auto" w:sz="4" w:space="0"/>
              <w:left w:val="single" w:color="auto" w:sz="4" w:space="0"/>
              <w:bottom w:val="single" w:color="auto" w:sz="4" w:space="0"/>
              <w:right w:val="single" w:color="auto" w:sz="4" w:space="0"/>
            </w:tcBorders>
            <w:noWrap/>
            <w:vAlign w:val="center"/>
          </w:tcPr>
          <w:p w14:paraId="763948B6">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58</w:t>
            </w:r>
          </w:p>
        </w:tc>
        <w:tc>
          <w:tcPr>
            <w:tcW w:w="540" w:type="dxa"/>
            <w:tcBorders>
              <w:top w:val="single" w:color="auto" w:sz="4" w:space="0"/>
              <w:left w:val="single" w:color="auto" w:sz="4" w:space="0"/>
              <w:bottom w:val="single" w:color="auto" w:sz="4" w:space="0"/>
              <w:right w:val="single" w:color="auto" w:sz="4" w:space="0"/>
            </w:tcBorders>
            <w:noWrap w:val="0"/>
            <w:vAlign w:val="center"/>
          </w:tcPr>
          <w:p w14:paraId="4F3CC429">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套</w:t>
            </w:r>
          </w:p>
        </w:tc>
      </w:tr>
      <w:tr w14:paraId="3E4E2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600" w:type="dxa"/>
            <w:gridSpan w:val="5"/>
            <w:tcBorders>
              <w:top w:val="single" w:color="auto" w:sz="4" w:space="0"/>
              <w:left w:val="single" w:color="auto" w:sz="4" w:space="0"/>
              <w:bottom w:val="single" w:color="auto" w:sz="4" w:space="0"/>
              <w:right w:val="single" w:color="auto" w:sz="4" w:space="0"/>
            </w:tcBorders>
            <w:noWrap w:val="0"/>
            <w:vAlign w:val="center"/>
          </w:tcPr>
          <w:p w14:paraId="6000ABB9">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五、平台服务</w:t>
            </w:r>
          </w:p>
        </w:tc>
      </w:tr>
      <w:tr w14:paraId="3855B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95" w:type="dxa"/>
            <w:tcBorders>
              <w:top w:val="single" w:color="auto" w:sz="4" w:space="0"/>
              <w:left w:val="single" w:color="auto" w:sz="4" w:space="0"/>
              <w:bottom w:val="single" w:color="auto" w:sz="4" w:space="0"/>
              <w:right w:val="single" w:color="auto" w:sz="4" w:space="0"/>
            </w:tcBorders>
            <w:noWrap w:val="0"/>
            <w:vAlign w:val="center"/>
          </w:tcPr>
          <w:p w14:paraId="2300BA0B">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020" w:type="dxa"/>
            <w:tcBorders>
              <w:top w:val="single" w:color="auto" w:sz="4" w:space="0"/>
              <w:left w:val="single" w:color="auto" w:sz="4" w:space="0"/>
              <w:bottom w:val="single" w:color="auto" w:sz="4" w:space="0"/>
              <w:right w:val="single" w:color="auto" w:sz="4" w:space="0"/>
            </w:tcBorders>
            <w:noWrap w:val="0"/>
            <w:vAlign w:val="center"/>
          </w:tcPr>
          <w:p w14:paraId="71F46F98">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教学质量管理平台</w:t>
            </w:r>
          </w:p>
        </w:tc>
        <w:tc>
          <w:tcPr>
            <w:tcW w:w="6480" w:type="dxa"/>
            <w:tcBorders>
              <w:top w:val="single" w:color="auto" w:sz="4" w:space="0"/>
              <w:left w:val="single" w:color="auto" w:sz="4" w:space="0"/>
              <w:bottom w:val="single" w:color="auto" w:sz="4" w:space="0"/>
              <w:right w:val="single" w:color="auto" w:sz="4" w:space="0"/>
            </w:tcBorders>
            <w:noWrap w:val="0"/>
            <w:vAlign w:val="center"/>
          </w:tcPr>
          <w:p w14:paraId="25A1431E">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【基础服务】</w:t>
            </w:r>
          </w:p>
          <w:p w14:paraId="15A3C0AE">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1.为保障数据安全，平台采用本地化部署；系统采用B/S架构，通过浏览器打开即可使用教学质量管理平台中各项功能模块。</w:t>
            </w:r>
          </w:p>
          <w:p w14:paraId="6E035B66">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2.平台除支持本校教职工账号管理外，还支持校外人员账号管理，满足校外专家登录平台进行督导巡课。</w:t>
            </w:r>
          </w:p>
          <w:p w14:paraId="08661CC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3.支持根据学校组织架构自定义添加用户角色并配置不同角色权限，支持通过搜索或选择姓名或工号添加不同角色成员。</w:t>
            </w:r>
          </w:p>
          <w:p w14:paraId="1E89EBAF">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4.支持用户对学校logo、组织名称、登录页背景图</w:t>
            </w:r>
            <w:r>
              <w:rPr>
                <w:rFonts w:hint="eastAsia" w:ascii="宋体" w:hAnsi="宋体" w:eastAsia="宋体" w:cs="宋体"/>
                <w:color w:val="auto"/>
                <w:sz w:val="24"/>
                <w:highlight w:val="none"/>
                <w:lang w:val="en-US" w:eastAsia="zh-CN"/>
              </w:rPr>
              <w:t>等</w:t>
            </w:r>
            <w:r>
              <w:rPr>
                <w:rFonts w:hint="eastAsia" w:ascii="宋体" w:hAnsi="宋体" w:eastAsia="宋体" w:cs="宋体"/>
                <w:color w:val="auto"/>
                <w:sz w:val="24"/>
                <w:highlight w:val="none"/>
              </w:rPr>
              <w:t>进行配置。</w:t>
            </w:r>
          </w:p>
          <w:p w14:paraId="2B267F76">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5.提供数据看板功能，本模块涉及的各类数据可以在数据大屏页面统一呈现，数据大屏的内容组成可自定义。</w:t>
            </w:r>
          </w:p>
          <w:p w14:paraId="69B2382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【录播视频资源管理】</w:t>
            </w:r>
          </w:p>
          <w:p w14:paraId="3A48CC1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1.支持查看全校的录播资源，可查看录播资源详细信息，包括视频名称，开课时间，视频时长，视频分片数，主讲老师，所属学院，上课教室，视频大小等。</w:t>
            </w:r>
          </w:p>
          <w:p w14:paraId="0EB5D852">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2.支持对录播资源进行操作，编辑视频名称、下载、删除等；支持通过学院、授课教室、授课时间进行资源筛选等；支持通过搜索不完整课程名称和不完整教师名称进行资源搜索等。</w:t>
            </w:r>
          </w:p>
          <w:p w14:paraId="579B1D96">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【录播设备管理】</w:t>
            </w:r>
          </w:p>
          <w:p w14:paraId="2EE60466">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支持查看本校的录播设备信息，包括已绑定的设备总数、在线设备数、设备IP、绑定教室信息、信号源连接情况等；支持查看录播设备的状态信息，包括闲置、录制中、直播中、互动中、离线状态、在线设备的CPU占用率、网络上下行传输速率、磁盘空间使用情况、内存占用情况等。</w:t>
            </w:r>
          </w:p>
          <w:p w14:paraId="14C7A65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支持在平台上对录播设备进行关机、重启、开始录制、停止录制、开启直播、停止直播等；录制时可在“录播视频”查看录制的视频，直播时可在“直播中心”查看直播画面；支持设置录播机屏幕解锁密码和管理员密码；支持对录播主机上“查看视频”及“关机”权限是否需要密码放入等进行管理。</w:t>
            </w:r>
          </w:p>
          <w:p w14:paraId="71E3374F">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配置第三方设备的rtsp流地址，可通过本地服务器将第三方设备的音视频内容接入至平台；支持管理员配置录播主机的直播服务器地址；支持管理员配置录播资源存储服务器IP地址，可查看总存储空间及当前已存储空间大小等；支持开启视频自动覆盖功能。</w:t>
            </w:r>
          </w:p>
          <w:p w14:paraId="04CCF66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【督导巡课管理】</w:t>
            </w:r>
          </w:p>
          <w:p w14:paraId="14FBB51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1.支持自定义设置评课表，支持发布、停用，设为默认、编辑、删除操作等。</w:t>
            </w:r>
          </w:p>
          <w:p w14:paraId="3E74CAF8">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2.系统预置“教师课堂评课表模版”；支持自定义一级评价维度和二级评价指标内容，二级评价指标可添加评分题和主观题，评分题可自定义分值等。</w:t>
            </w:r>
          </w:p>
          <w:p w14:paraId="47CF0B5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3.支持查看单次评价统计记录，包括评价时间、参评老师、课程名称、学院、主讲老师、评分值等；课堂详情支持查看量表评价各指标得分、主观答题内容、打点评价记录等；支持批量导出评价记录数据表格。</w:t>
            </w:r>
          </w:p>
          <w:p w14:paraId="127D21A2">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4.支持管理员设置督导员的学院巡课权限，设置成功后，督导员在课堂巡课时只能查看到对应学院权限下的课程内容。</w:t>
            </w:r>
          </w:p>
          <w:p w14:paraId="100CE43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5.支持用户通过搜索课程名称、学院、教室、教师、上课时间等查找课堂，支持查看进行中的实时课堂音视频和已结束的课堂音视频。</w:t>
            </w:r>
          </w:p>
          <w:p w14:paraId="2F8D926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6.支持按建筑-教室的二级目录树查找教室，通过颜色图标区分设备是否在线；支持预览实时画面和授课信息，授课信息包括：课程名称、学院、教师、班级、上课时间等；具备督导任务管理和校外专家巡课功能。</w:t>
            </w:r>
          </w:p>
          <w:p w14:paraId="4750DED0">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7.教室巡课时支持≥3种类型的画面分屏模式，支持选择三分屏、二分屏、单屏模式等；支持查看教室内的教师画面、学生画面、电脑画面等；支持通过鼠标拖动切换主画面。</w:t>
            </w:r>
          </w:p>
          <w:p w14:paraId="29529C11">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8.支持通过评课表对课程进行评价，包括评分题打分评价、主观题发表文字和上传图片评价等，提交后系统自动计算得出评价得分。</w:t>
            </w:r>
          </w:p>
          <w:p w14:paraId="24988EB4">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9.支持多维度筛选评价记录；支持进入全屏模式自动轮播教室画面内容，可以多画面显示；支持设置自定义轮播频率；支持点击教室画面跳转至巡课详情界面。</w:t>
            </w:r>
          </w:p>
          <w:p w14:paraId="19E52FEE">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【直播中心管理】</w:t>
            </w:r>
          </w:p>
          <w:p w14:paraId="0B2F38FB">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1.支持用户创建直播并提前设置直播信息，支持获取直播地址及二维码海报，可通过地址和海报查看直播信息。</w:t>
            </w:r>
          </w:p>
          <w:p w14:paraId="72671C9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2.支持分类显示所有直播的当前状态，包括未开始、进行中、已结束等；支持通过状态筛选不同的直播进行编辑管理。</w:t>
            </w:r>
          </w:p>
          <w:p w14:paraId="79F62FC2">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3.支持输入与直播名称相关的关键字，搜索直播活动；在直播结束前，支持教师修改直播的结束时间、名称、封面、直播简介设置、原直播地址等。</w:t>
            </w:r>
          </w:p>
          <w:p w14:paraId="39C5A1C1">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4.支持一键生成链接并进行分享，支持通过链接登录观看直播视频；支持开启直播回放功能；开启后可在原有直播的分享链接中查看已结束的直播内容；支持删除直播，删除后原有的直播分享链接失效。</w:t>
            </w:r>
          </w:p>
          <w:p w14:paraId="564DFB4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【督导巡课看板】</w:t>
            </w:r>
          </w:p>
          <w:p w14:paraId="43F0583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1.支持查看督导评课数据，包括累计完成督导课程数、督导课节节数、受评教师人数、敏感词检测次数等。</w:t>
            </w:r>
          </w:p>
          <w:p w14:paraId="06EADC1F">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2.支持统计每周累计评价课节数，并以折线图等方式显示每周评课数量变化趋势。</w:t>
            </w:r>
          </w:p>
          <w:p w14:paraId="37A66CC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3.支持自定义督导低分阈值，并显示平均分低于阈值的课程名单，名单中包含课程名称、授课讲师、课程平均分等信息；支持按评课数据督导评分平均分高低显示课程排行榜。</w:t>
            </w:r>
          </w:p>
          <w:p w14:paraId="725541F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4.支持滚动展示不同用户评价动态，动态包括评价人、评价日期时间、课程所属学院、授课讲师、课程名称等；支持统计并通过柱状图等方式展示不同开课单位累计受评课程节数。</w:t>
            </w:r>
          </w:p>
          <w:p w14:paraId="68855904">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【移动巡课管理】</w:t>
            </w:r>
          </w:p>
          <w:p w14:paraId="51DB2636">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1.平台支持通过H5链接提供移动端听评课功能；支持通过微信、手机浏览器打开，支持对课程视频进行上课中和已下课筛选。</w:t>
            </w:r>
          </w:p>
          <w:p w14:paraId="3CB79B21">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2.支持与平台的课表数据对接，支持根据课程名称、学院、授课教师、班级和课节时间等信息查找课堂；巡课时支持自主切换教师全景、学生全景和电脑画面通道等。</w:t>
            </w:r>
          </w:p>
          <w:p w14:paraId="1E8D6A6E">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3.支持查看管理员分配的督导任务，任务可显示规定完成时间、任务数量、任务类型、任务状态等。</w:t>
            </w:r>
          </w:p>
          <w:p w14:paraId="45E1256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4.支持移动端线下评课，评课后的数据自动回传至平台，可在平台上查看评价记录。</w:t>
            </w:r>
          </w:p>
          <w:p w14:paraId="552C6C54">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5.移动端支持查看我的评价记录，包括评价的课程信息、评价量表、评分及回放视频等。</w:t>
            </w:r>
          </w:p>
          <w:p w14:paraId="4EE29AE4">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6.支持输入关键词搜索课程名称或老师进行搜索；支持查看历史记录，查询历史关键词信息；支持根据上课状态、上课时间、学院、建筑、场地条件等筛选课程。</w:t>
            </w:r>
          </w:p>
          <w:p w14:paraId="1F88253B">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【语音转写管理】</w:t>
            </w:r>
          </w:p>
          <w:p w14:paraId="2DFE0B71">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1.支持基于课堂实录视频，将课堂语音转写成文字；语音转写窗口支持将语音识别后的文本和视频时间对齐，点击文本跳转至对应视频时间点播放。</w:t>
            </w:r>
          </w:p>
          <w:p w14:paraId="1D6C2BE9">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2.语音转写窗口支持搜索文字内容，匹配语音识别后的文本内容。</w:t>
            </w:r>
          </w:p>
          <w:p w14:paraId="5A837594">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3.语音转写文本支持对系统输入敏感词词库检测，若存在敏感词内容，自动高亮提醒；数据看板页面支持统计每个敏感词出现的次数。</w:t>
            </w:r>
          </w:p>
        </w:tc>
        <w:tc>
          <w:tcPr>
            <w:tcW w:w="765" w:type="dxa"/>
            <w:tcBorders>
              <w:top w:val="single" w:color="auto" w:sz="4" w:space="0"/>
              <w:left w:val="single" w:color="auto" w:sz="4" w:space="0"/>
              <w:bottom w:val="single" w:color="auto" w:sz="4" w:space="0"/>
              <w:right w:val="single" w:color="auto" w:sz="4" w:space="0"/>
            </w:tcBorders>
            <w:noWrap/>
            <w:vAlign w:val="center"/>
          </w:tcPr>
          <w:p w14:paraId="24696912">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540" w:type="dxa"/>
            <w:tcBorders>
              <w:top w:val="single" w:color="auto" w:sz="4" w:space="0"/>
              <w:left w:val="single" w:color="auto" w:sz="4" w:space="0"/>
              <w:bottom w:val="single" w:color="auto" w:sz="4" w:space="0"/>
              <w:right w:val="single" w:color="auto" w:sz="4" w:space="0"/>
            </w:tcBorders>
            <w:noWrap w:val="0"/>
            <w:vAlign w:val="center"/>
          </w:tcPr>
          <w:p w14:paraId="08FAE571">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套</w:t>
            </w:r>
          </w:p>
        </w:tc>
      </w:tr>
      <w:tr w14:paraId="4F989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95" w:type="dxa"/>
            <w:tcBorders>
              <w:top w:val="single" w:color="auto" w:sz="4" w:space="0"/>
              <w:left w:val="single" w:color="auto" w:sz="4" w:space="0"/>
              <w:bottom w:val="single" w:color="auto" w:sz="4" w:space="0"/>
              <w:right w:val="single" w:color="auto" w:sz="4" w:space="0"/>
            </w:tcBorders>
            <w:noWrap w:val="0"/>
            <w:vAlign w:val="center"/>
          </w:tcPr>
          <w:p w14:paraId="2F4A91C7">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020" w:type="dxa"/>
            <w:tcBorders>
              <w:top w:val="single" w:color="auto" w:sz="4" w:space="0"/>
              <w:left w:val="single" w:color="auto" w:sz="4" w:space="0"/>
              <w:bottom w:val="single" w:color="auto" w:sz="4" w:space="0"/>
              <w:right w:val="single" w:color="auto" w:sz="4" w:space="0"/>
            </w:tcBorders>
            <w:noWrap w:val="0"/>
            <w:vAlign w:val="center"/>
          </w:tcPr>
          <w:p w14:paraId="43C34D28">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AI教学评价系统</w:t>
            </w:r>
          </w:p>
        </w:tc>
        <w:tc>
          <w:tcPr>
            <w:tcW w:w="6480" w:type="dxa"/>
            <w:tcBorders>
              <w:top w:val="single" w:color="auto" w:sz="4" w:space="0"/>
              <w:left w:val="single" w:color="auto" w:sz="4" w:space="0"/>
              <w:bottom w:val="single" w:color="auto" w:sz="4" w:space="0"/>
              <w:right w:val="single" w:color="auto" w:sz="4" w:space="0"/>
            </w:tcBorders>
            <w:noWrap w:val="0"/>
            <w:vAlign w:val="center"/>
          </w:tcPr>
          <w:p w14:paraId="456FD309">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【AI量表设置】</w:t>
            </w:r>
          </w:p>
          <w:p w14:paraId="53E04F58">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1.支持提供AI分析指标库，指标数量≥10，指标观测点不少于20个；支持≥4个评分标准等级，评分标准等级支持开启或停用；支持用户自定义修改阈值范围。</w:t>
            </w:r>
          </w:p>
          <w:p w14:paraId="1A6706C6">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2.支持用户自定义AI教评模版，可自定义填写维度名称、维度权重、选择维度下需观测指标、每项指标分数等。</w:t>
            </w:r>
          </w:p>
          <w:p w14:paraId="682130B1">
            <w:pPr>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3.支持设置指标是否纳入AI评分，或仅在报告展示而不纳入评分；支持手动开启或停用AI分析量表；</w:t>
            </w:r>
            <w:r>
              <w:rPr>
                <w:rFonts w:hint="eastAsia" w:ascii="宋体" w:hAnsi="宋体" w:eastAsia="宋体" w:cs="宋体"/>
                <w:color w:val="auto"/>
                <w:sz w:val="24"/>
                <w:highlight w:val="none"/>
                <w:lang w:eastAsia="zh-Hans"/>
              </w:rPr>
              <w:t>支持</w:t>
            </w:r>
            <w:r>
              <w:rPr>
                <w:rFonts w:hint="eastAsia" w:ascii="宋体" w:hAnsi="宋体" w:eastAsia="宋体" w:cs="宋体"/>
                <w:color w:val="auto"/>
                <w:sz w:val="24"/>
                <w:highlight w:val="none"/>
              </w:rPr>
              <w:t>“AI总结设置”，</w:t>
            </w:r>
            <w:r>
              <w:rPr>
                <w:rFonts w:hint="eastAsia" w:ascii="宋体" w:hAnsi="宋体" w:eastAsia="宋体" w:cs="宋体"/>
                <w:color w:val="auto"/>
                <w:sz w:val="24"/>
                <w:highlight w:val="none"/>
                <w:lang w:eastAsia="zh-Hans"/>
              </w:rPr>
              <w:t>支持设置</w:t>
            </w:r>
            <w:r>
              <w:rPr>
                <w:rFonts w:hint="eastAsia" w:ascii="宋体" w:hAnsi="宋体" w:eastAsia="宋体" w:cs="宋体"/>
                <w:color w:val="auto"/>
                <w:sz w:val="24"/>
                <w:highlight w:val="none"/>
              </w:rPr>
              <w:t>显示分数+总结</w:t>
            </w:r>
            <w:r>
              <w:rPr>
                <w:rFonts w:hint="eastAsia" w:ascii="宋体" w:hAnsi="宋体" w:eastAsia="宋体" w:cs="宋体"/>
                <w:color w:val="auto"/>
                <w:sz w:val="24"/>
                <w:highlight w:val="none"/>
                <w:lang w:eastAsia="zh-Hans"/>
              </w:rPr>
              <w:t>或</w:t>
            </w:r>
            <w:r>
              <w:rPr>
                <w:rFonts w:hint="eastAsia" w:ascii="宋体" w:hAnsi="宋体" w:eastAsia="宋体" w:cs="宋体"/>
                <w:color w:val="auto"/>
                <w:sz w:val="24"/>
                <w:highlight w:val="none"/>
              </w:rPr>
              <w:t>仅显示分数等</w:t>
            </w:r>
            <w:r>
              <w:rPr>
                <w:rFonts w:hint="eastAsia" w:ascii="宋体" w:hAnsi="宋体" w:eastAsia="宋体" w:cs="宋体"/>
                <w:color w:val="auto"/>
                <w:sz w:val="24"/>
                <w:highlight w:val="none"/>
                <w:lang w:eastAsia="zh-Hans"/>
              </w:rPr>
              <w:t>。</w:t>
            </w:r>
          </w:p>
          <w:p w14:paraId="32B153E6">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b/>
                <w:color w:val="auto"/>
                <w:sz w:val="24"/>
                <w:highlight w:val="none"/>
              </w:rPr>
              <w:t>本条为演示项</w:t>
            </w:r>
            <w:r>
              <w:rPr>
                <w:rFonts w:hint="eastAsia" w:ascii="宋体" w:hAnsi="宋体" w:eastAsia="宋体" w:cs="宋体"/>
                <w:color w:val="auto"/>
                <w:sz w:val="24"/>
                <w:highlight w:val="none"/>
              </w:rPr>
              <w:t>）4.根据指标库可设定评价量表，内置AI教学评价模板，评价维度包括教学态度、教学内容、教学方法、课堂素养、教学效果等；支持每个维度下匹配指标库内容，且提供默认维度权重、指标分数等。</w:t>
            </w:r>
          </w:p>
          <w:p w14:paraId="6A08A91F">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【分析报告】</w:t>
            </w:r>
          </w:p>
          <w:p w14:paraId="599D0148">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1.支持巡课页面查看巡课视频，并展示课堂分析报告；分析报告至少包括教师出勤情况、教师异常行为（</w:t>
            </w:r>
            <w:r>
              <w:rPr>
                <w:rFonts w:hint="eastAsia" w:ascii="宋体" w:hAnsi="宋体" w:eastAsia="宋体" w:cs="宋体"/>
                <w:color w:val="auto"/>
                <w:sz w:val="24"/>
                <w:highlight w:val="none"/>
                <w:lang w:eastAsia="zh-Hans"/>
              </w:rPr>
              <w:t>看手机、拨打电话、吸烟行为</w:t>
            </w:r>
            <w:r>
              <w:rPr>
                <w:rFonts w:hint="eastAsia" w:ascii="宋体" w:hAnsi="宋体" w:eastAsia="宋体" w:cs="宋体"/>
                <w:color w:val="auto"/>
                <w:sz w:val="24"/>
                <w:highlight w:val="none"/>
              </w:rPr>
              <w:t>等）、教师教学姿态（</w:t>
            </w:r>
            <w:r>
              <w:rPr>
                <w:rFonts w:hint="eastAsia" w:ascii="宋体" w:hAnsi="宋体" w:eastAsia="宋体" w:cs="宋体"/>
                <w:color w:val="auto"/>
                <w:sz w:val="24"/>
                <w:highlight w:val="none"/>
                <w:lang w:eastAsia="zh-Hans"/>
              </w:rPr>
              <w:t>站立、走动、就坐行为</w:t>
            </w:r>
            <w:r>
              <w:rPr>
                <w:rFonts w:hint="eastAsia" w:ascii="宋体" w:hAnsi="宋体" w:eastAsia="宋体" w:cs="宋体"/>
                <w:color w:val="auto"/>
                <w:sz w:val="24"/>
                <w:highlight w:val="none"/>
              </w:rPr>
              <w:t>等</w:t>
            </w:r>
            <w:r>
              <w:rPr>
                <w:rFonts w:hint="eastAsia" w:ascii="宋体" w:hAnsi="宋体" w:eastAsia="宋体" w:cs="宋体"/>
                <w:color w:val="auto"/>
                <w:sz w:val="24"/>
                <w:highlight w:val="none"/>
                <w:lang w:eastAsia="zh-Hans"/>
              </w:rPr>
              <w:t>，并且可以统计</w:t>
            </w:r>
            <w:r>
              <w:rPr>
                <w:rFonts w:hint="eastAsia" w:ascii="宋体" w:hAnsi="宋体" w:eastAsia="宋体" w:cs="宋体"/>
                <w:color w:val="auto"/>
                <w:sz w:val="24"/>
                <w:highlight w:val="none"/>
              </w:rPr>
              <w:t>相应</w:t>
            </w:r>
            <w:r>
              <w:rPr>
                <w:rFonts w:hint="eastAsia" w:ascii="宋体" w:hAnsi="宋体" w:eastAsia="宋体" w:cs="宋体"/>
                <w:color w:val="auto"/>
                <w:sz w:val="24"/>
                <w:highlight w:val="none"/>
                <w:lang w:eastAsia="zh-Hans"/>
              </w:rPr>
              <w:t>时长</w:t>
            </w:r>
            <w:r>
              <w:rPr>
                <w:rFonts w:hint="eastAsia" w:ascii="宋体" w:hAnsi="宋体" w:eastAsia="宋体" w:cs="宋体"/>
                <w:color w:val="auto"/>
                <w:sz w:val="24"/>
                <w:highlight w:val="none"/>
              </w:rPr>
              <w:t>）、教师在课堂中</w:t>
            </w:r>
            <w:r>
              <w:rPr>
                <w:rFonts w:hint="eastAsia" w:ascii="宋体" w:hAnsi="宋体" w:eastAsia="宋体" w:cs="宋体"/>
                <w:color w:val="auto"/>
                <w:sz w:val="24"/>
                <w:highlight w:val="none"/>
                <w:lang w:eastAsia="zh-Hans"/>
              </w:rPr>
              <w:t>的巡堂轨迹</w:t>
            </w:r>
            <w:r>
              <w:rPr>
                <w:rFonts w:hint="eastAsia" w:ascii="宋体" w:hAnsi="宋体" w:eastAsia="宋体" w:cs="宋体"/>
                <w:color w:val="auto"/>
                <w:sz w:val="24"/>
                <w:highlight w:val="none"/>
              </w:rPr>
              <w:t>、教师对课堂管理的情况、教学互动分析、课堂板书情况等。</w:t>
            </w:r>
          </w:p>
          <w:p w14:paraId="6E9C6ABE">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2.支持展示教师授课过程中出现敏感词数量及提及次数，并可展示对应时间点及语音转写的内容。</w:t>
            </w:r>
          </w:p>
          <w:p w14:paraId="17321C4F">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3.课程目标和重难点管理，支持分析本节课程的目标，根据教师语音转写，总结教师本节课的课程目标内容及对应时间点等；支持总结本节课程教师讲授的重难点知识，根据时间点展示重难点内容。</w:t>
            </w:r>
          </w:p>
          <w:p w14:paraId="3A9456BF">
            <w:pPr>
              <w:widowControl/>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4.所投产品支持根据课堂分析内容得出总分，并生成AI评语</w:t>
            </w:r>
            <w:r>
              <w:rPr>
                <w:rFonts w:hint="eastAsia" w:ascii="宋体" w:hAnsi="宋体" w:eastAsia="宋体" w:cs="宋体"/>
                <w:color w:val="auto"/>
                <w:sz w:val="24"/>
                <w:highlight w:val="none"/>
                <w:lang w:eastAsia="zh-Hans"/>
              </w:rPr>
              <w:t>，评语包括优势点、不足点以及基于课堂分析情况提供建议</w:t>
            </w:r>
            <w:r>
              <w:rPr>
                <w:rFonts w:hint="eastAsia" w:ascii="宋体" w:hAnsi="宋体" w:eastAsia="宋体" w:cs="宋体"/>
                <w:color w:val="auto"/>
                <w:sz w:val="24"/>
                <w:highlight w:val="none"/>
              </w:rPr>
              <w:t>等。</w:t>
            </w:r>
            <w:r>
              <w:rPr>
                <w:rFonts w:hint="eastAsia" w:ascii="宋体" w:hAnsi="宋体" w:eastAsia="宋体" w:cs="宋体"/>
                <w:b/>
                <w:bCs/>
                <w:color w:val="auto"/>
                <w:sz w:val="24"/>
                <w:highlight w:val="none"/>
              </w:rPr>
              <w:t>（提供系统功能截图加盖投标人公章）</w:t>
            </w:r>
          </w:p>
          <w:p w14:paraId="7AF9AB36">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【课堂监测】</w:t>
            </w:r>
          </w:p>
          <w:p w14:paraId="21349CFB">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1.支持自定义设置监测值范围，监测状态维度≥4个；设置后可自动筛查出符合监测值的课堂记录与分析报告。</w:t>
            </w:r>
          </w:p>
          <w:p w14:paraId="053BA5A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支持选择日期范围查询异常课堂，或选择开课学院、搜索课程名称与教师名等查询异常课堂；异常课堂展示课堂信息、异常类型、AI评分等；异常类型可选择≥4种，并且可以针对异常课堂的存储视频进行集中处理。</w:t>
            </w:r>
          </w:p>
          <w:p w14:paraId="66147249">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3.支持选择日期范围查询示范课堂，或选择开课学院、搜索课程名称与教师名等查询异常示范课堂；示范课堂展示课堂信息、异常类型、AI评分等。</w:t>
            </w:r>
          </w:p>
          <w:p w14:paraId="2F3A8899">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【学情分析】</w:t>
            </w:r>
          </w:p>
          <w:p w14:paraId="5DD76014">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1.展示本节课程的</w:t>
            </w:r>
            <w:r>
              <w:rPr>
                <w:rFonts w:hint="eastAsia" w:ascii="宋体" w:hAnsi="宋体" w:eastAsia="宋体" w:cs="宋体"/>
                <w:color w:val="auto"/>
                <w:sz w:val="24"/>
                <w:highlight w:val="none"/>
                <w:lang w:eastAsia="zh-Hans"/>
              </w:rPr>
              <w:t>整体学习参与度</w:t>
            </w:r>
            <w:r>
              <w:rPr>
                <w:rFonts w:hint="eastAsia" w:ascii="宋体" w:hAnsi="宋体" w:eastAsia="宋体" w:cs="宋体"/>
                <w:color w:val="auto"/>
                <w:sz w:val="24"/>
                <w:highlight w:val="none"/>
              </w:rPr>
              <w:t>率，</w:t>
            </w:r>
            <w:r>
              <w:rPr>
                <w:rFonts w:hint="eastAsia" w:ascii="宋体" w:hAnsi="宋体" w:eastAsia="宋体" w:cs="宋体"/>
                <w:color w:val="auto"/>
                <w:sz w:val="24"/>
                <w:highlight w:val="none"/>
                <w:lang w:eastAsia="zh-Hans"/>
              </w:rPr>
              <w:t>支持展示基础参与度、有效参与度、深度参与度</w:t>
            </w:r>
            <w:r>
              <w:rPr>
                <w:rFonts w:hint="eastAsia" w:ascii="宋体" w:hAnsi="宋体" w:eastAsia="宋体" w:cs="宋体"/>
                <w:color w:val="auto"/>
                <w:sz w:val="24"/>
                <w:highlight w:val="none"/>
              </w:rPr>
              <w:t>等</w:t>
            </w:r>
            <w:r>
              <w:rPr>
                <w:rFonts w:hint="eastAsia" w:ascii="宋体" w:hAnsi="宋体" w:eastAsia="宋体" w:cs="宋体"/>
                <w:color w:val="auto"/>
                <w:sz w:val="24"/>
                <w:highlight w:val="none"/>
                <w:lang w:eastAsia="zh-Hans"/>
              </w:rPr>
              <w:t>，</w:t>
            </w:r>
            <w:r>
              <w:rPr>
                <w:rFonts w:hint="eastAsia" w:ascii="宋体" w:hAnsi="宋体" w:eastAsia="宋体" w:cs="宋体"/>
                <w:color w:val="auto"/>
                <w:sz w:val="24"/>
                <w:highlight w:val="none"/>
              </w:rPr>
              <w:t>并可通过曲线图查看每个时间段的学生</w:t>
            </w:r>
            <w:r>
              <w:rPr>
                <w:rFonts w:hint="eastAsia" w:ascii="宋体" w:hAnsi="宋体" w:eastAsia="宋体" w:cs="宋体"/>
                <w:color w:val="auto"/>
                <w:sz w:val="24"/>
                <w:highlight w:val="none"/>
                <w:lang w:eastAsia="zh-Hans"/>
              </w:rPr>
              <w:t>参与度</w:t>
            </w:r>
            <w:r>
              <w:rPr>
                <w:rFonts w:hint="eastAsia" w:ascii="宋体" w:hAnsi="宋体" w:eastAsia="宋体" w:cs="宋体"/>
                <w:color w:val="auto"/>
                <w:sz w:val="24"/>
                <w:highlight w:val="none"/>
              </w:rPr>
              <w:t>情况，分析课堂</w:t>
            </w:r>
            <w:r>
              <w:rPr>
                <w:rFonts w:hint="eastAsia" w:ascii="宋体" w:hAnsi="宋体" w:eastAsia="宋体" w:cs="宋体"/>
                <w:color w:val="auto"/>
                <w:sz w:val="24"/>
                <w:highlight w:val="none"/>
                <w:lang w:eastAsia="zh-Hans"/>
              </w:rPr>
              <w:t>学习参与</w:t>
            </w:r>
            <w:r>
              <w:rPr>
                <w:rFonts w:hint="eastAsia" w:ascii="宋体" w:hAnsi="宋体" w:eastAsia="宋体" w:cs="宋体"/>
                <w:color w:val="auto"/>
                <w:sz w:val="24"/>
                <w:highlight w:val="none"/>
              </w:rPr>
              <w:t>度。</w:t>
            </w:r>
          </w:p>
          <w:p w14:paraId="30A7B00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展示本节课程的应到人数、实到人数、缺勤人数、早退人数等，统计学生出勤率；展示本节课程的学生前排就坐率；展示本节课程的平均抬头率，并可通过曲线图查看每个时间段的学生抬头情况，分析课堂专注度。</w:t>
            </w:r>
          </w:p>
          <w:p w14:paraId="15CE0F6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展示本节课程的学习金字塔，基于学习金字塔理论，识别学生的学习行为，包括听讲、阅读、视听、演示、讨论、实践以及教给他人等，支持展示学习行为时序图暂时对应行为课堂时序情况以及各行为持续时长。</w:t>
            </w:r>
          </w:p>
          <w:p w14:paraId="5E0426E6">
            <w:pPr>
              <w:widowControl/>
              <w:jc w:val="left"/>
              <w:rPr>
                <w:rFonts w:hint="eastAsia" w:ascii="宋体" w:hAnsi="宋体" w:eastAsia="宋体" w:cs="宋体"/>
                <w:color w:val="auto"/>
                <w:sz w:val="24"/>
                <w:highlight w:val="none"/>
                <w:lang w:eastAsia="zh-Hans"/>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Hans"/>
              </w:rPr>
              <w:t>.所投产品支持展示学生在课堂中的行为识别，包括但不限于抬头、低头、回头、举手、书写以及站立</w:t>
            </w:r>
            <w:r>
              <w:rPr>
                <w:rFonts w:hint="eastAsia" w:ascii="宋体" w:hAnsi="宋体" w:eastAsia="宋体" w:cs="宋体"/>
                <w:color w:val="auto"/>
                <w:sz w:val="24"/>
                <w:highlight w:val="none"/>
              </w:rPr>
              <w:t>等</w:t>
            </w:r>
            <w:r>
              <w:rPr>
                <w:rFonts w:hint="eastAsia" w:ascii="宋体" w:hAnsi="宋体" w:eastAsia="宋体" w:cs="宋体"/>
                <w:color w:val="auto"/>
                <w:sz w:val="24"/>
                <w:highlight w:val="none"/>
                <w:lang w:eastAsia="zh-Hans"/>
              </w:rPr>
              <w:t>，并且可以统计行为出现的次数，并可通过曲线图查看每个时间段的学生行为分布情况。</w:t>
            </w:r>
          </w:p>
          <w:p w14:paraId="074491CF">
            <w:pPr>
              <w:widowControl/>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eastAsia="zh-Hans"/>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Hans"/>
              </w:rPr>
              <w:t>.展示学生在课堂中的异常行为识别，包括但不限于看手机、睡觉、交头接耳、吃东西、随意走动、吸烟行为</w:t>
            </w:r>
            <w:r>
              <w:rPr>
                <w:rFonts w:hint="eastAsia" w:ascii="宋体" w:hAnsi="宋体" w:eastAsia="宋体" w:cs="宋体"/>
                <w:color w:val="auto"/>
                <w:sz w:val="24"/>
                <w:highlight w:val="none"/>
              </w:rPr>
              <w:t>等</w:t>
            </w:r>
            <w:r>
              <w:rPr>
                <w:rFonts w:hint="eastAsia" w:ascii="宋体" w:hAnsi="宋体" w:eastAsia="宋体" w:cs="宋体"/>
                <w:color w:val="auto"/>
                <w:sz w:val="24"/>
                <w:highlight w:val="none"/>
                <w:lang w:eastAsia="zh-Hans"/>
              </w:rPr>
              <w:t>，并且可以统计行为出现的次数，支持查看对应学生出现异常行为的图片。</w:t>
            </w:r>
            <w:r>
              <w:rPr>
                <w:rFonts w:hint="eastAsia" w:ascii="宋体" w:hAnsi="宋体" w:eastAsia="宋体" w:cs="宋体"/>
                <w:b/>
                <w:bCs/>
                <w:color w:val="auto"/>
                <w:sz w:val="24"/>
                <w:highlight w:val="none"/>
                <w:lang w:eastAsia="zh-Hans"/>
              </w:rPr>
              <w:t>（提供系统</w:t>
            </w:r>
            <w:r>
              <w:rPr>
                <w:rFonts w:hint="eastAsia" w:ascii="宋体" w:hAnsi="宋体" w:eastAsia="宋体" w:cs="宋体"/>
                <w:b/>
                <w:bCs/>
                <w:color w:val="auto"/>
                <w:sz w:val="24"/>
                <w:highlight w:val="none"/>
              </w:rPr>
              <w:t>功能</w:t>
            </w:r>
            <w:r>
              <w:rPr>
                <w:rFonts w:hint="eastAsia" w:ascii="宋体" w:hAnsi="宋体" w:eastAsia="宋体" w:cs="宋体"/>
                <w:b/>
                <w:bCs/>
                <w:color w:val="auto"/>
                <w:sz w:val="24"/>
                <w:highlight w:val="none"/>
                <w:lang w:eastAsia="zh-Hans"/>
              </w:rPr>
              <w:t>截图加盖投标人公章）</w:t>
            </w:r>
          </w:p>
          <w:p w14:paraId="6F01BECC">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【其他功能】</w:t>
            </w:r>
          </w:p>
          <w:p w14:paraId="6CEFF2BC">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1.支持统计教室的实时人数；客户端页面中的教室状态包含上课中、考试中、借用中和空闲中等；使用中的教室显示课程信息。</w:t>
            </w:r>
          </w:p>
          <w:p w14:paraId="7AD1D1EC">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2.支持显示每间教室当天各节课的使用情况，按照上课中、考试中、借用中、空闲中等状态进行分类显示。</w:t>
            </w:r>
          </w:p>
          <w:p w14:paraId="45472EA0">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3.客户端页面展示二维码，支持用户在手机端扫码打开教室实时统计页面，手机端页面支持与学校应用对接。</w:t>
            </w:r>
          </w:p>
          <w:p w14:paraId="245DD41E">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4.支持windows客户端、安卓客户端；支持在一体机、电视机、显示器终端上运行。</w:t>
            </w:r>
          </w:p>
          <w:p w14:paraId="0D107698">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5.数据安全要求：师生数据本地化存储，不出境；数据传输采用加密协议；支持数据脱敏和匿名化处理；设置数据保留期限，超期自动删除；支持学校自主导出和删除数据。</w:t>
            </w:r>
          </w:p>
          <w:p w14:paraId="3F5C74B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★6.在质保期内免费提供满足45间教室AI分析并发处理所需的算力资源</w:t>
            </w:r>
            <w:r>
              <w:rPr>
                <w:rFonts w:hint="eastAsia" w:ascii="宋体" w:hAnsi="宋体" w:cs="宋体"/>
                <w:color w:val="auto"/>
                <w:sz w:val="24"/>
                <w:highlight w:val="none"/>
                <w:lang w:eastAsia="zh-CN"/>
              </w:rPr>
              <w:t>（本地或云端）</w:t>
            </w:r>
            <w:r>
              <w:rPr>
                <w:rFonts w:hint="eastAsia" w:ascii="宋体" w:hAnsi="宋体" w:eastAsia="宋体" w:cs="宋体"/>
                <w:color w:val="auto"/>
                <w:sz w:val="24"/>
                <w:highlight w:val="none"/>
              </w:rPr>
              <w:t>，支持课堂行为分析、语音转写等核心功能，并发处理能力≥45路；算力能够同时支撑AI教学评价、AI学生伴学、AI数据管理等应用，并在课后生成课堂报告及评分；提供本项目涉及教室内，招标方师生课堂教学过程中生成的所有课堂分析报告、课程分析报告等；对课堂内容进行脱敏分析，敏感词库需经学校审核批准，敏感词检测仅用于教学管理内部参考、不作为师生评价依据，检测过程需符合个人信息保护法相关规定；招标方有足够的自有算力后，免费配合招标方完成平台的迁移和本地化部署。</w:t>
            </w:r>
            <w:r>
              <w:rPr>
                <w:rFonts w:hint="eastAsia" w:ascii="宋体" w:hAnsi="宋体" w:eastAsia="宋体" w:cs="宋体"/>
                <w:b/>
                <w:color w:val="auto"/>
                <w:sz w:val="24"/>
                <w:highlight w:val="none"/>
              </w:rPr>
              <w:t>（提供承诺函，格式</w:t>
            </w:r>
            <w:r>
              <w:rPr>
                <w:rFonts w:hint="eastAsia" w:ascii="宋体" w:hAnsi="宋体" w:cs="宋体"/>
                <w:b/>
                <w:color w:val="auto"/>
                <w:sz w:val="24"/>
                <w:highlight w:val="none"/>
                <w:lang w:val="en-US" w:eastAsia="zh-CN"/>
              </w:rPr>
              <w:t>见附件</w:t>
            </w:r>
            <w:r>
              <w:rPr>
                <w:rFonts w:hint="eastAsia" w:ascii="宋体" w:hAnsi="宋体" w:eastAsia="宋体" w:cs="宋体"/>
                <w:b/>
                <w:color w:val="auto"/>
                <w:sz w:val="24"/>
                <w:highlight w:val="none"/>
              </w:rPr>
              <w:t>）</w:t>
            </w:r>
          </w:p>
        </w:tc>
        <w:tc>
          <w:tcPr>
            <w:tcW w:w="765" w:type="dxa"/>
            <w:tcBorders>
              <w:top w:val="single" w:color="auto" w:sz="4" w:space="0"/>
              <w:left w:val="single" w:color="auto" w:sz="4" w:space="0"/>
              <w:bottom w:val="single" w:color="auto" w:sz="4" w:space="0"/>
              <w:right w:val="single" w:color="auto" w:sz="4" w:space="0"/>
            </w:tcBorders>
            <w:noWrap/>
            <w:vAlign w:val="center"/>
          </w:tcPr>
          <w:p w14:paraId="637B8251">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540" w:type="dxa"/>
            <w:tcBorders>
              <w:top w:val="single" w:color="auto" w:sz="4" w:space="0"/>
              <w:left w:val="single" w:color="auto" w:sz="4" w:space="0"/>
              <w:bottom w:val="single" w:color="auto" w:sz="4" w:space="0"/>
              <w:right w:val="single" w:color="auto" w:sz="4" w:space="0"/>
            </w:tcBorders>
            <w:noWrap w:val="0"/>
            <w:vAlign w:val="center"/>
          </w:tcPr>
          <w:p w14:paraId="2D519574">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套</w:t>
            </w:r>
          </w:p>
        </w:tc>
      </w:tr>
      <w:tr w14:paraId="77934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600" w:type="dxa"/>
            <w:gridSpan w:val="5"/>
            <w:tcBorders>
              <w:top w:val="single" w:color="auto" w:sz="4" w:space="0"/>
              <w:left w:val="single" w:color="auto" w:sz="4" w:space="0"/>
              <w:bottom w:val="single" w:color="auto" w:sz="4" w:space="0"/>
              <w:right w:val="single" w:color="auto" w:sz="4" w:space="0"/>
            </w:tcBorders>
            <w:noWrap w:val="0"/>
            <w:vAlign w:val="center"/>
          </w:tcPr>
          <w:p w14:paraId="3AC9DD6E">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六、系统集成、施工及辅材</w:t>
            </w:r>
          </w:p>
        </w:tc>
      </w:tr>
      <w:tr w14:paraId="61A83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795" w:type="dxa"/>
            <w:tcBorders>
              <w:top w:val="single" w:color="auto" w:sz="4" w:space="0"/>
              <w:left w:val="single" w:color="auto" w:sz="4" w:space="0"/>
              <w:bottom w:val="single" w:color="auto" w:sz="4" w:space="0"/>
              <w:right w:val="single" w:color="auto" w:sz="4" w:space="0"/>
            </w:tcBorders>
            <w:noWrap w:val="0"/>
            <w:vAlign w:val="center"/>
          </w:tcPr>
          <w:p w14:paraId="32D1E7A4">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3DD8B83">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系统集成对接服务</w:t>
            </w:r>
          </w:p>
        </w:tc>
        <w:tc>
          <w:tcPr>
            <w:tcW w:w="64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BC7E38F">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教务数据对接调试：对接学校数据中台API接口（江苏金智教育数据中台1.3.7版本）获取录播主机、AI教学评价系统、教学质量管理平台、中控管理平台等系统中的相关功能所需的教务数据。</w:t>
            </w:r>
          </w:p>
          <w:p w14:paraId="7A4C4FD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一卡通数据对接调试：对接一卡通系统（新开普一卡通），通过人脸认证服务API接口获取人脸识别身份鉴权所需一卡通数据。</w:t>
            </w:r>
          </w:p>
          <w:p w14:paraId="4CB603D4">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人员信息数据对接调试：对接学校数据中台API接口（江苏金智教育数据中台1.3.7版本）获取人员信息数据。</w:t>
            </w:r>
          </w:p>
          <w:p w14:paraId="2000B89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单点登录对接调试：对接学校统一身份认证平台（江苏金智教育IDS7），满足系统单点登录需求。</w:t>
            </w:r>
          </w:p>
          <w:p w14:paraId="4312D252">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融合门户对接调试：系统相关功能集成进学校融合门户（江苏金智融合门户CASPv3.7.4.SP9），方便教师、学生在PC端及移动端使用。</w:t>
            </w:r>
          </w:p>
          <w:p w14:paraId="092E1296">
            <w:pPr>
              <w:widowControl/>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智慧教室设备运行数据子类表”数据对接调试：通过数据接口提供职业院校数字基座高职数据标准及接口规范中表73“智慧教室设备运行数据子类表”中涉及的智慧教室教学设备运行情况基本数据，满足教育部职教基座数据上报要求。</w:t>
            </w:r>
          </w:p>
        </w:tc>
        <w:tc>
          <w:tcPr>
            <w:tcW w:w="7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71935B">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54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0DA1A1C">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套</w:t>
            </w:r>
          </w:p>
        </w:tc>
      </w:tr>
      <w:tr w14:paraId="6A10F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795" w:type="dxa"/>
            <w:tcBorders>
              <w:top w:val="single" w:color="auto" w:sz="4" w:space="0"/>
              <w:left w:val="single" w:color="auto" w:sz="4" w:space="0"/>
              <w:bottom w:val="single" w:color="auto" w:sz="4" w:space="0"/>
              <w:right w:val="single" w:color="auto" w:sz="4" w:space="0"/>
            </w:tcBorders>
            <w:noWrap w:val="0"/>
            <w:vAlign w:val="center"/>
          </w:tcPr>
          <w:p w14:paraId="7F3C521F">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518A802">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施工及辅材</w:t>
            </w:r>
          </w:p>
        </w:tc>
        <w:tc>
          <w:tcPr>
            <w:tcW w:w="64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9ED880C">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4K高清HDMI信号线、YJV-0.45/0.75KV 3X1.5、6类非屏蔽双绞线、USB信号线、120双绕双棉37芯、金银线0.1*150、JDG20，壁厚1.1、普通墙面开槽及回补、束接、接头、紧固件等。65寸甲方提供的辅助液晶显示屏安装以及吊装支架安装实施。</w:t>
            </w:r>
          </w:p>
        </w:tc>
        <w:tc>
          <w:tcPr>
            <w:tcW w:w="7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BD573B">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54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D6AAA3B">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w:t>
            </w:r>
          </w:p>
        </w:tc>
      </w:tr>
    </w:tbl>
    <w:p w14:paraId="0BAADB6E">
      <w:pPr>
        <w:keepNext w:val="0"/>
        <w:keepLines w:val="0"/>
        <w:pageBreakBefore w:val="0"/>
        <w:widowControl w:val="0"/>
        <w:spacing w:line="460" w:lineRule="exact"/>
        <w:ind w:firstLine="562"/>
        <w:jc w:val="left"/>
        <w:outlineLvl w:val="2"/>
        <w:rPr>
          <w:rFonts w:hint="eastAsia" w:ascii="宋体" w:hAnsi="宋体" w:eastAsia="宋体" w:cs="宋体"/>
          <w:b/>
          <w:bCs/>
          <w:caps/>
          <w:color w:val="auto"/>
          <w:sz w:val="28"/>
          <w:szCs w:val="28"/>
          <w:highlight w:val="none"/>
        </w:rPr>
      </w:pPr>
      <w:r>
        <w:rPr>
          <w:rFonts w:hint="eastAsia" w:ascii="宋体" w:hAnsi="宋体" w:eastAsia="宋体" w:cs="宋体"/>
          <w:b/>
          <w:color w:val="auto"/>
          <w:sz w:val="28"/>
          <w:szCs w:val="28"/>
          <w:highlight w:val="none"/>
        </w:rPr>
        <w:t>五、</w:t>
      </w:r>
      <w:r>
        <w:rPr>
          <w:rFonts w:hint="eastAsia" w:ascii="宋体" w:hAnsi="宋体" w:eastAsia="宋体" w:cs="宋体"/>
          <w:b/>
          <w:bCs/>
          <w:caps/>
          <w:color w:val="auto"/>
          <w:sz w:val="28"/>
          <w:szCs w:val="28"/>
          <w:highlight w:val="none"/>
        </w:rPr>
        <w:t>采购标的的数量、采购项目交付或者实施的时间和地点</w:t>
      </w:r>
    </w:p>
    <w:p w14:paraId="1C5E4436">
      <w:pPr>
        <w:keepNext w:val="0"/>
        <w:keepLines w:val="0"/>
        <w:pageBreakBefore w:val="0"/>
        <w:widowControl w:val="0"/>
        <w:spacing w:line="460" w:lineRule="exact"/>
        <w:ind w:firstLine="56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1.标的数量：采购清单与技术参数详见项目需求。</w:t>
      </w:r>
    </w:p>
    <w:p w14:paraId="2B545E0A">
      <w:pPr>
        <w:keepNext w:val="0"/>
        <w:keepLines w:val="0"/>
        <w:pageBreakBefore w:val="0"/>
        <w:widowControl w:val="0"/>
        <w:spacing w:line="460" w:lineRule="exact"/>
        <w:ind w:firstLine="56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2.交货时间：自合同签订之日起30个日历日内完成设备的安装调试。</w:t>
      </w:r>
    </w:p>
    <w:p w14:paraId="64B6094E">
      <w:pPr>
        <w:keepNext w:val="0"/>
        <w:keepLines w:val="0"/>
        <w:pageBreakBefore w:val="0"/>
        <w:widowControl w:val="0"/>
        <w:spacing w:line="460" w:lineRule="exact"/>
        <w:ind w:firstLine="56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3.交货地点：</w:t>
      </w:r>
      <w:r>
        <w:rPr>
          <w:rFonts w:hint="eastAsia" w:ascii="宋体" w:hAnsi="宋体" w:eastAsia="宋体" w:cs="宋体"/>
          <w:bCs/>
          <w:color w:val="auto"/>
          <w:sz w:val="28"/>
          <w:szCs w:val="28"/>
          <w:highlight w:val="none"/>
        </w:rPr>
        <w:t>具体地点由采购人指定</w:t>
      </w:r>
      <w:r>
        <w:rPr>
          <w:rFonts w:hint="eastAsia" w:ascii="宋体" w:hAnsi="宋体" w:eastAsia="宋体" w:cs="宋体"/>
          <w:color w:val="auto"/>
          <w:sz w:val="28"/>
          <w:szCs w:val="28"/>
          <w:highlight w:val="none"/>
        </w:rPr>
        <w:t>。</w:t>
      </w:r>
    </w:p>
    <w:p w14:paraId="2D7FC9C6">
      <w:pPr>
        <w:keepNext w:val="0"/>
        <w:keepLines w:val="0"/>
        <w:pageBreakBefore w:val="0"/>
        <w:widowControl w:val="0"/>
        <w:spacing w:line="460" w:lineRule="exact"/>
        <w:ind w:firstLine="562"/>
        <w:jc w:val="left"/>
        <w:outlineLvl w:val="2"/>
        <w:rPr>
          <w:rFonts w:hint="eastAsia" w:ascii="宋体" w:hAnsi="宋体" w:eastAsia="宋体" w:cs="宋体"/>
          <w:b/>
          <w:bCs/>
          <w:caps/>
          <w:color w:val="auto"/>
          <w:sz w:val="28"/>
          <w:szCs w:val="28"/>
          <w:highlight w:val="none"/>
        </w:rPr>
      </w:pPr>
      <w:r>
        <w:rPr>
          <w:rFonts w:hint="eastAsia" w:ascii="宋体" w:hAnsi="宋体" w:eastAsia="宋体" w:cs="宋体"/>
          <w:b/>
          <w:bCs/>
          <w:caps/>
          <w:color w:val="auto"/>
          <w:sz w:val="28"/>
          <w:szCs w:val="28"/>
          <w:highlight w:val="none"/>
        </w:rPr>
        <w:t>六、采购标的需满足的服务标准、期限、效率等要求</w:t>
      </w:r>
    </w:p>
    <w:p w14:paraId="4A7307F5">
      <w:pPr>
        <w:keepNext w:val="0"/>
        <w:keepLines w:val="0"/>
        <w:pageBreakBefore w:val="0"/>
        <w:widowControl w:val="0"/>
        <w:spacing w:line="460" w:lineRule="exact"/>
        <w:ind w:firstLine="560"/>
        <w:jc w:val="lef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质保期限</w:t>
      </w:r>
      <w:r>
        <w:rPr>
          <w:rFonts w:hint="eastAsia" w:ascii="宋体" w:hAnsi="宋体" w:eastAsia="宋体" w:cs="宋体"/>
          <w:bCs/>
          <w:color w:val="auto"/>
          <w:sz w:val="28"/>
          <w:szCs w:val="28"/>
          <w:highlight w:val="none"/>
        </w:rPr>
        <w:t>：本项目硬件设备质保期</w:t>
      </w:r>
      <w:r>
        <w:rPr>
          <w:rFonts w:hint="eastAsia" w:ascii="宋体" w:hAnsi="宋体" w:cs="宋体"/>
          <w:bCs/>
          <w:color w:val="auto"/>
          <w:sz w:val="28"/>
          <w:szCs w:val="28"/>
          <w:highlight w:val="none"/>
          <w:lang w:val="en-US" w:eastAsia="zh-CN"/>
        </w:rPr>
        <w:t>至少</w:t>
      </w:r>
      <w:r>
        <w:rPr>
          <w:rFonts w:hint="eastAsia" w:ascii="宋体" w:hAnsi="宋体" w:eastAsia="宋体" w:cs="宋体"/>
          <w:bCs/>
          <w:color w:val="auto"/>
          <w:sz w:val="28"/>
          <w:szCs w:val="28"/>
          <w:highlight w:val="none"/>
        </w:rPr>
        <w:t>三年，免费送货、免费安装、免费培训，在保修期内免费维护维修及技术支持，保修期以外提供免费维护和技术支持，维修只收材料成本费。设备发生故障时，接到用户通知4小时内上门，48小时内解决问题。</w:t>
      </w:r>
    </w:p>
    <w:p w14:paraId="60965FBF">
      <w:pPr>
        <w:spacing w:line="460" w:lineRule="exact"/>
        <w:ind w:firstLine="562"/>
        <w:jc w:val="left"/>
        <w:outlineLvl w:val="2"/>
        <w:rPr>
          <w:rFonts w:hint="eastAsia" w:ascii="宋体" w:hAnsi="宋体" w:cs="宋体"/>
          <w:caps/>
          <w:color w:val="auto"/>
          <w:sz w:val="28"/>
          <w:szCs w:val="28"/>
          <w:highlight w:val="none"/>
        </w:rPr>
      </w:pPr>
      <w:r>
        <w:rPr>
          <w:rFonts w:hint="eastAsia" w:ascii="宋体" w:hAnsi="宋体" w:cs="宋体"/>
          <w:b/>
          <w:bCs/>
          <w:caps/>
          <w:color w:val="auto"/>
          <w:sz w:val="28"/>
          <w:szCs w:val="28"/>
          <w:highlight w:val="none"/>
        </w:rPr>
        <w:t>七、采购标的的验收标准</w:t>
      </w:r>
    </w:p>
    <w:p w14:paraId="769DCB82">
      <w:pPr>
        <w:spacing w:line="460" w:lineRule="exact"/>
        <w:ind w:firstLine="560"/>
        <w:jc w:val="left"/>
        <w:rPr>
          <w:rFonts w:hint="eastAsia" w:ascii="宋体" w:hAnsi="宋体" w:cs="宋体"/>
          <w:caps/>
          <w:color w:val="auto"/>
          <w:sz w:val="28"/>
          <w:szCs w:val="28"/>
          <w:highlight w:val="none"/>
        </w:rPr>
      </w:pPr>
      <w:r>
        <w:rPr>
          <w:rFonts w:hint="eastAsia" w:ascii="宋体" w:hAnsi="宋体" w:cs="宋体"/>
          <w:caps/>
          <w:color w:val="auto"/>
          <w:sz w:val="28"/>
          <w:szCs w:val="28"/>
          <w:highlight w:val="none"/>
        </w:rPr>
        <w:t>验收方案：在接到中标人以书面形式提出验收申请后，</w:t>
      </w:r>
      <w:r>
        <w:rPr>
          <w:rFonts w:hint="eastAsia" w:ascii="宋体" w:hAnsi="宋体" w:cs="宋体"/>
          <w:caps/>
          <w:color w:val="auto"/>
          <w:sz w:val="28"/>
          <w:szCs w:val="28"/>
          <w:highlight w:val="none"/>
          <w:lang w:eastAsia="zh-CN"/>
        </w:rPr>
        <w:t>采购人</w:t>
      </w:r>
      <w:r>
        <w:rPr>
          <w:rFonts w:hint="eastAsia" w:ascii="宋体" w:hAnsi="宋体" w:cs="宋体"/>
          <w:caps/>
          <w:color w:val="auto"/>
          <w:sz w:val="28"/>
          <w:szCs w:val="28"/>
          <w:highlight w:val="none"/>
        </w:rPr>
        <w:t>在5个工作日内及时组织相关专业技术人员及专家开展现场验收，中标人需配合完成项目所有内容验收工作，验收通过后出具报告，作为支付货款的依据。</w:t>
      </w:r>
    </w:p>
    <w:p w14:paraId="596A08DE">
      <w:pPr>
        <w:spacing w:line="460" w:lineRule="exact"/>
        <w:ind w:firstLine="560"/>
        <w:jc w:val="left"/>
        <w:rPr>
          <w:rFonts w:hint="eastAsia" w:ascii="宋体" w:hAnsi="宋体" w:eastAsia="宋体" w:cs="宋体"/>
          <w:caps/>
          <w:color w:val="auto"/>
          <w:sz w:val="28"/>
          <w:szCs w:val="28"/>
          <w:highlight w:val="none"/>
          <w:lang w:eastAsia="zh-CN"/>
        </w:rPr>
      </w:pPr>
      <w:r>
        <w:rPr>
          <w:rFonts w:hint="eastAsia" w:ascii="宋体" w:hAnsi="宋体" w:cs="宋体"/>
          <w:caps/>
          <w:color w:val="auto"/>
          <w:sz w:val="28"/>
          <w:szCs w:val="28"/>
          <w:highlight w:val="none"/>
        </w:rPr>
        <w:t>教室声学指标要求：按照GB 50371-2006和GB/T 45657-2025的标准，扩声系统安装完成后，①声场不均匀度≤8dB（1kHz）；②语言传输指数STI≥0.6；③最大声压级≥90dB；④系统噪声级≤NR-30。项目验收时提供测试报告</w:t>
      </w:r>
      <w:r>
        <w:rPr>
          <w:rFonts w:hint="eastAsia" w:ascii="宋体" w:hAnsi="宋体" w:cs="宋体"/>
          <w:caps/>
          <w:color w:val="auto"/>
          <w:sz w:val="28"/>
          <w:szCs w:val="28"/>
          <w:highlight w:val="none"/>
          <w:lang w:eastAsia="zh-CN"/>
        </w:rPr>
        <w:t>。</w:t>
      </w:r>
    </w:p>
    <w:p w14:paraId="1B008D95">
      <w:pPr>
        <w:spacing w:line="460" w:lineRule="exact"/>
        <w:ind w:firstLine="560"/>
        <w:contextualSpacing/>
        <w:rPr>
          <w:rFonts w:ascii="宋体" w:hAnsi="宋体" w:cs="宋体"/>
          <w:b/>
          <w:bCs w:val="0"/>
          <w:color w:val="auto"/>
          <w:sz w:val="28"/>
          <w:szCs w:val="28"/>
          <w:highlight w:val="none"/>
        </w:rPr>
      </w:pPr>
      <w:r>
        <w:rPr>
          <w:rFonts w:hint="eastAsia" w:ascii="宋体" w:hAnsi="宋体" w:cs="宋体"/>
          <w:b/>
          <w:bCs w:val="0"/>
          <w:color w:val="auto"/>
          <w:sz w:val="28"/>
          <w:szCs w:val="28"/>
          <w:highlight w:val="none"/>
          <w:lang w:val="en-US" w:eastAsia="zh-CN"/>
        </w:rPr>
        <w:t>八</w:t>
      </w:r>
      <w:r>
        <w:rPr>
          <w:rFonts w:hint="eastAsia" w:ascii="宋体" w:hAnsi="宋体" w:cs="宋体"/>
          <w:b/>
          <w:bCs w:val="0"/>
          <w:color w:val="auto"/>
          <w:sz w:val="28"/>
          <w:szCs w:val="28"/>
          <w:highlight w:val="none"/>
        </w:rPr>
        <w:t>、付款方式</w:t>
      </w:r>
    </w:p>
    <w:p w14:paraId="07C22D52">
      <w:pPr>
        <w:spacing w:line="460" w:lineRule="exact"/>
        <w:ind w:firstLine="560"/>
        <w:contextualSpacing/>
        <w:rPr>
          <w:rFonts w:ascii="宋体" w:hAnsi="宋体" w:cs="宋体"/>
          <w:color w:val="auto"/>
          <w:sz w:val="28"/>
          <w:szCs w:val="28"/>
          <w:highlight w:val="none"/>
        </w:rPr>
      </w:pPr>
      <w:r>
        <w:rPr>
          <w:rFonts w:hint="eastAsia" w:ascii="宋体" w:hAnsi="宋体" w:cs="宋体"/>
          <w:color w:val="auto"/>
          <w:sz w:val="28"/>
          <w:szCs w:val="28"/>
          <w:highlight w:val="none"/>
        </w:rPr>
        <w:t>合同签订后</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支付合同金额的3</w:t>
      </w:r>
      <w:r>
        <w:rPr>
          <w:rFonts w:ascii="宋体" w:hAnsi="宋体" w:cs="宋体"/>
          <w:color w:val="auto"/>
          <w:sz w:val="28"/>
          <w:szCs w:val="28"/>
          <w:highlight w:val="none"/>
        </w:rPr>
        <w:t>0</w:t>
      </w:r>
      <w:r>
        <w:rPr>
          <w:rFonts w:hint="eastAsia" w:ascii="宋体" w:hAnsi="宋体" w:cs="宋体"/>
          <w:color w:val="auto"/>
          <w:sz w:val="28"/>
          <w:szCs w:val="28"/>
          <w:highlight w:val="none"/>
        </w:rPr>
        <w:t>%货款，全部货物安装调试完成并经</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验收合格后，</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自收到中标人增值税专用发票10个工作日内一次性支付剩余的7</w:t>
      </w:r>
      <w:r>
        <w:rPr>
          <w:rFonts w:ascii="宋体" w:hAnsi="宋体" w:cs="宋体"/>
          <w:color w:val="auto"/>
          <w:sz w:val="28"/>
          <w:szCs w:val="28"/>
          <w:highlight w:val="none"/>
        </w:rPr>
        <w:t>0</w:t>
      </w:r>
      <w:r>
        <w:rPr>
          <w:rFonts w:hint="eastAsia" w:ascii="宋体" w:hAnsi="宋体" w:cs="宋体"/>
          <w:color w:val="auto"/>
          <w:sz w:val="28"/>
          <w:szCs w:val="28"/>
          <w:highlight w:val="none"/>
        </w:rPr>
        <w:t>%货款。</w:t>
      </w:r>
    </w:p>
    <w:p w14:paraId="29E3D529">
      <w:pPr>
        <w:spacing w:line="520" w:lineRule="exact"/>
        <w:ind w:firstLine="562"/>
        <w:rPr>
          <w:rFonts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九</w:t>
      </w:r>
      <w:r>
        <w:rPr>
          <w:rFonts w:hint="eastAsia" w:ascii="宋体" w:hAnsi="宋体" w:cs="宋体"/>
          <w:b/>
          <w:bCs/>
          <w:color w:val="auto"/>
          <w:sz w:val="28"/>
          <w:szCs w:val="28"/>
          <w:highlight w:val="none"/>
        </w:rPr>
        <w:t>、采购需求中必须满足的实质性要求</w:t>
      </w:r>
    </w:p>
    <w:p w14:paraId="61171D92">
      <w:pPr>
        <w:spacing w:line="460" w:lineRule="exact"/>
        <w:ind w:firstLine="562"/>
        <w:rPr>
          <w:rFonts w:hint="default" w:ascii="宋体" w:hAnsi="宋体" w:eastAsia="宋体" w:cs="宋体"/>
          <w:b w:val="0"/>
          <w:bCs w:val="0"/>
          <w:i/>
          <w:iCs/>
          <w:color w:val="auto"/>
          <w:sz w:val="28"/>
          <w:szCs w:val="28"/>
          <w:highlight w:val="none"/>
          <w:u w:val="single"/>
          <w:lang w:val="en-US" w:eastAsia="zh-CN"/>
        </w:rPr>
      </w:pPr>
      <w:r>
        <w:rPr>
          <w:rFonts w:hint="eastAsia" w:ascii="宋体" w:hAnsi="宋体" w:cs="宋体"/>
          <w:b w:val="0"/>
          <w:bCs w:val="0"/>
          <w:i/>
          <w:iCs/>
          <w:color w:val="auto"/>
          <w:sz w:val="28"/>
          <w:szCs w:val="28"/>
          <w:highlight w:val="none"/>
          <w:u w:val="single"/>
          <w:lang w:val="en-US" w:eastAsia="zh-CN"/>
        </w:rPr>
        <w:t>1.★6.在质保期内免费提供满足45间教室AI分析并发处理所需的算力资源（本地或云端），支持课堂行为分析、语音转写等核心功能，并发处理能力≥45路；算力能够同时支撑AI教学评价、AI学生伴学、AI数据管理等应用，并在课后生成课堂报告及评分；提供本项目涉及教室内，招标方师生课堂教学过程中生成的所有课堂分析报告、课程分析报告等；对课堂内容进行脱敏分析，敏感词库需经学校审核批准，敏感词检测仅用于教学管理内部参考、不作为师生评价依据，检测过程需符合个人信息保护法相关规定；招标方有足够的自有算力后，免费配合招标方完成平台的迁移和本地化部署。（提供承诺函，格式详见附件），未提供或未按要求提供作无效标处理。</w:t>
      </w:r>
    </w:p>
    <w:p w14:paraId="7AD680AD">
      <w:pPr>
        <w:spacing w:line="460" w:lineRule="exact"/>
        <w:ind w:firstLine="562"/>
        <w:rPr>
          <w:rFonts w:ascii="宋体" w:hAnsi="宋体" w:cs="宋体"/>
          <w:b/>
          <w:bCs/>
          <w:color w:val="auto"/>
          <w:sz w:val="28"/>
          <w:szCs w:val="28"/>
          <w:highlight w:val="none"/>
        </w:rPr>
      </w:pPr>
      <w:r>
        <w:rPr>
          <w:rFonts w:hint="eastAsia" w:ascii="宋体" w:hAnsi="宋体" w:cs="宋体"/>
          <w:b/>
          <w:bCs/>
          <w:iCs/>
          <w:color w:val="auto"/>
          <w:sz w:val="28"/>
          <w:szCs w:val="28"/>
          <w:highlight w:val="none"/>
        </w:rPr>
        <w:t>十、</w:t>
      </w:r>
      <w:r>
        <w:rPr>
          <w:rFonts w:hint="eastAsia" w:ascii="宋体" w:hAnsi="宋体" w:cs="宋体"/>
          <w:b/>
          <w:bCs/>
          <w:color w:val="auto"/>
          <w:sz w:val="28"/>
          <w:szCs w:val="28"/>
          <w:highlight w:val="none"/>
        </w:rPr>
        <w:t>本次采购需切实履行绿色采购。</w:t>
      </w:r>
    </w:p>
    <w:p w14:paraId="1E5435D8">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12.1商品包装环保要求：应当按《关于印发〈商品包装政府采购需求标准（试行）〉、〈快递包装政府采购需求标准（试行）〉的通知》（财办库〔2020〕123号）文件执行。</w:t>
      </w:r>
    </w:p>
    <w:p w14:paraId="64E7A076">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（1）商品包装层数不得超过 3 层，空隙率不大于 40%；</w:t>
      </w:r>
    </w:p>
    <w:p w14:paraId="40C74173">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（2）商品包装尽可能使用单一材质的包装材料，如因功能需求必须使用不同材质，不同材质间应便于分离；</w:t>
      </w:r>
    </w:p>
    <w:p w14:paraId="4B1DE005">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（3）商品包装中铅、汞、镉、六价铬的总含量应不大于100mg/kg；</w:t>
      </w:r>
    </w:p>
    <w:p w14:paraId="3E606B0B">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（4）商品包装印刷使用的油墨中挥发性有机化合物(VOCs)含量应不大于 5%（以重量计）；</w:t>
      </w:r>
    </w:p>
    <w:p w14:paraId="1C616031">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（5）塑料材质商品包装上呈现的印刷颜色不得超过 6 色；</w:t>
      </w:r>
    </w:p>
    <w:p w14:paraId="55CE4293">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（6）纸质商品包装应使用 75%以上的可再生纤维原料生产；</w:t>
      </w:r>
    </w:p>
    <w:p w14:paraId="660411C1">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（7）木质商品包装的原料应来源于可持续性森林。</w:t>
      </w:r>
    </w:p>
    <w:p w14:paraId="259FF545">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12.2快递包装环保要求：</w:t>
      </w:r>
    </w:p>
    <w:p w14:paraId="4681582B">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（1）快递包装中重金属（铅、汞、镉、六价铬）总量应不大于 100mg/kg；</w:t>
      </w:r>
    </w:p>
    <w:p w14:paraId="3BBFD8C9">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（2）快递包装印刷使用的油墨中不应添加邻苯二甲酸酯，其挥发性有机化合物(VOCs)含量应不大于5%（以重量计）；</w:t>
      </w:r>
    </w:p>
    <w:p w14:paraId="5AB49F61">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（3）快递包装中使用纸基材的包装材料，纸基材中的有机氯的含量应不大于 150 mg/kg；</w:t>
      </w:r>
    </w:p>
    <w:p w14:paraId="1345DE6E">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01919435">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（5）快递中使用的塑料包装袋不得使用聚氯乙烯作为原料，且原料应为单一材质制成，生物分解率大于60%；</w:t>
      </w:r>
    </w:p>
    <w:p w14:paraId="0FFB803C">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（6）快递中使用的充气类填充物不得使用聚氯乙烯作为 原料，且原料为单一材质制成，生物分解率大于60%；</w:t>
      </w:r>
    </w:p>
    <w:p w14:paraId="7D004F11">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（7）快递中使用的集装袋应为单一材质制成，其重复使用次数应不小于 80 次；</w:t>
      </w:r>
    </w:p>
    <w:p w14:paraId="6591E892">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（8）快递中应使用幅宽不大于45mm 的生物降解胶带；</w:t>
      </w:r>
    </w:p>
    <w:p w14:paraId="0CA1170A">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（9）快递包装中不得使用溶剂型胶粘剂；</w:t>
      </w:r>
    </w:p>
    <w:p w14:paraId="295A84BD">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（11）快递应使用电子面单；</w:t>
      </w:r>
    </w:p>
    <w:p w14:paraId="6D4BDBA3">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（12）直接使用商品包装作为快递包装的商品，其商品包装满足《商品包装政府采购需求标准（试行）》即可；</w:t>
      </w:r>
    </w:p>
    <w:p w14:paraId="16D6F351">
      <w:pPr>
        <w:spacing w:line="460" w:lineRule="exact"/>
        <w:ind w:firstLine="560"/>
        <w:rPr>
          <w:rFonts w:ascii="宋体" w:hAnsi="宋体" w:cs="宋体"/>
          <w:b/>
          <w:color w:val="auto"/>
          <w:sz w:val="28"/>
          <w:szCs w:val="28"/>
          <w:highlight w:val="none"/>
        </w:rPr>
      </w:pPr>
      <w:r>
        <w:rPr>
          <w:rFonts w:hint="eastAsia" w:ascii="宋体" w:hAnsi="宋体" w:cs="宋体"/>
          <w:color w:val="auto"/>
          <w:sz w:val="28"/>
          <w:szCs w:val="28"/>
          <w:highlight w:val="none"/>
        </w:rPr>
        <w:t>（13）快递包装产品质量和封装方式应符合相关国家或行业标准技术指标要求。</w:t>
      </w:r>
    </w:p>
    <w:p w14:paraId="7A6EA489">
      <w:pPr>
        <w:spacing w:line="520" w:lineRule="exact"/>
        <w:ind w:firstLine="562"/>
        <w:rPr>
          <w:rFonts w:ascii="宋体" w:hAnsi="宋体" w:cs="宋体"/>
          <w:b/>
          <w:bCs/>
          <w:color w:val="auto"/>
          <w:sz w:val="28"/>
          <w:szCs w:val="28"/>
          <w:highlight w:val="none"/>
        </w:rPr>
      </w:pPr>
      <w:r>
        <w:rPr>
          <w:rFonts w:hint="eastAsia" w:ascii="宋体" w:hAnsi="宋体" w:cs="宋体"/>
          <w:b/>
          <w:bCs/>
          <w:color w:val="auto"/>
          <w:sz w:val="28"/>
          <w:szCs w:val="28"/>
          <w:highlight w:val="none"/>
        </w:rPr>
        <w:t>十</w:t>
      </w:r>
      <w:r>
        <w:rPr>
          <w:rFonts w:hint="eastAsia" w:ascii="宋体" w:hAnsi="宋体" w:cs="宋体"/>
          <w:b/>
          <w:bCs/>
          <w:color w:val="auto"/>
          <w:sz w:val="28"/>
          <w:szCs w:val="28"/>
          <w:highlight w:val="none"/>
          <w:lang w:val="en-US" w:eastAsia="zh-CN"/>
        </w:rPr>
        <w:t>一</w:t>
      </w:r>
      <w:r>
        <w:rPr>
          <w:rFonts w:hint="eastAsia" w:ascii="宋体" w:hAnsi="宋体" w:cs="宋体"/>
          <w:b/>
          <w:bCs/>
          <w:color w:val="auto"/>
          <w:sz w:val="28"/>
          <w:szCs w:val="28"/>
          <w:highlight w:val="none"/>
        </w:rPr>
        <w:t>、履约保证金</w:t>
      </w:r>
    </w:p>
    <w:p w14:paraId="6877DAFF">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1.本项目中标后的履约保证金为项目中标价的10%，中标人的履约保证金须在中标通知书发出之日起至合同签订前汇入</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账户（应当以数字人民币、支票、汇票或者金融机构、担保机构出具的保函等非现金形式提交），中标人凭中标通知书与</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签订合同。超期或未有协商，则视为自动放弃中标资格。</w:t>
      </w:r>
    </w:p>
    <w:p w14:paraId="0143A895">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2.中标人全部履约合同义务，经</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验收合格无质量、进度等问题的，</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在本项目质保期满并正常运行后30日内一次性退还履约保证金，</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若逾期退还履约保证金的，按照逾期部分的每日0.05%支付违约金；</w:t>
      </w:r>
    </w:p>
    <w:p w14:paraId="61BFD8FE">
      <w:pPr>
        <w:spacing w:line="460" w:lineRule="exact"/>
        <w:ind w:firstLine="560"/>
        <w:outlineLvl w:val="4"/>
        <w:rPr>
          <w:rFonts w:ascii="宋体" w:hAnsi="宋体" w:cs="宋体"/>
          <w:color w:val="auto"/>
          <w:sz w:val="28"/>
          <w:szCs w:val="28"/>
          <w:highlight w:val="none"/>
        </w:rPr>
      </w:pPr>
      <w:r>
        <w:rPr>
          <w:rFonts w:hint="eastAsia" w:ascii="宋体" w:hAnsi="宋体" w:cs="宋体"/>
          <w:color w:val="auto"/>
          <w:sz w:val="28"/>
          <w:szCs w:val="28"/>
          <w:highlight w:val="none"/>
        </w:rPr>
        <w:t>3.发生以下情况的，履约保证金不予退还或部分退还：</w:t>
      </w:r>
    </w:p>
    <w:p w14:paraId="07AD4BA8">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a.签订合同后，中标人不履行合同义务的，</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有权全额扣除履约保证金，全额不予退还，同时</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亦有权终止合同，中标人还须承担相应的法律赔偿责任。</w:t>
      </w:r>
    </w:p>
    <w:p w14:paraId="2A77496D">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b.中标人在履约过程中发生违约行为，给</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造成损失的，</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有权在中标人缴纳的履约保证金中予以扣款，以弥补</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经济损失，不足的部分中标人另外补齐。</w:t>
      </w:r>
    </w:p>
    <w:p w14:paraId="0698EE1F">
      <w:pPr>
        <w:spacing w:line="520" w:lineRule="exact"/>
        <w:ind w:firstLine="560"/>
        <w:rPr>
          <w:rFonts w:ascii="宋体" w:hAnsi="宋体" w:cs="宋体"/>
          <w:b/>
          <w:bCs/>
          <w:color w:val="auto"/>
          <w:sz w:val="28"/>
          <w:szCs w:val="28"/>
          <w:highlight w:val="none"/>
        </w:rPr>
      </w:pPr>
      <w:r>
        <w:rPr>
          <w:rFonts w:hint="eastAsia" w:ascii="宋体" w:hAnsi="宋体" w:cs="宋体"/>
          <w:color w:val="auto"/>
          <w:sz w:val="28"/>
          <w:szCs w:val="28"/>
          <w:highlight w:val="none"/>
        </w:rPr>
        <w:t>4.以履约保函（保险）形式向</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缴纳的，按照《关于在全省政府采购领域推行电子履约保函（保险）的通知》，登录江苏政府采购网，选择“保险保函”模块，进行相关操作。投标人可登录江苏政府采购网“资料下载”栏目下载“政府采购电子履约（保函）保险操作手册（网址：</w:t>
      </w:r>
      <w:r>
        <w:rPr>
          <w:rFonts w:hint="eastAsia" w:ascii="宋体" w:hAnsi="宋体" w:cs="宋体"/>
          <w:color w:val="auto"/>
          <w:sz w:val="28"/>
          <w:szCs w:val="28"/>
          <w:highlight w:val="none"/>
          <w:lang w:eastAsia="zh-CN"/>
        </w:rPr>
        <w:t>http://www.ccgp-jiangsu.gov.cn/jiangsu/zlxz/</w:t>
      </w:r>
      <w:r>
        <w:rPr>
          <w:rFonts w:hint="eastAsia" w:ascii="宋体" w:hAnsi="宋体" w:cs="宋体"/>
          <w:color w:val="auto"/>
          <w:sz w:val="28"/>
          <w:szCs w:val="28"/>
          <w:highlight w:val="none"/>
        </w:rPr>
        <w:t xml:space="preserve">)。 </w:t>
      </w:r>
    </w:p>
    <w:p w14:paraId="3E684A79">
      <w:pPr>
        <w:tabs>
          <w:tab w:val="left" w:pos="5325"/>
        </w:tabs>
        <w:spacing w:line="460" w:lineRule="exact"/>
        <w:ind w:firstLine="562"/>
        <w:contextualSpacing/>
        <w:rPr>
          <w:rFonts w:ascii="宋体" w:hAnsi="宋体" w:cs="宋体"/>
          <w:color w:val="auto"/>
          <w:sz w:val="28"/>
          <w:szCs w:val="28"/>
          <w:highlight w:val="none"/>
        </w:rPr>
      </w:pPr>
      <w:r>
        <w:rPr>
          <w:rFonts w:hint="eastAsia" w:ascii="宋体" w:hAnsi="宋体" w:cs="宋体"/>
          <w:b/>
          <w:bCs/>
          <w:color w:val="auto"/>
          <w:sz w:val="28"/>
          <w:szCs w:val="28"/>
          <w:highlight w:val="none"/>
        </w:rPr>
        <w:t>十</w:t>
      </w:r>
      <w:r>
        <w:rPr>
          <w:rFonts w:hint="eastAsia" w:ascii="宋体" w:hAnsi="宋体" w:cs="宋体"/>
          <w:b/>
          <w:bCs/>
          <w:color w:val="auto"/>
          <w:sz w:val="28"/>
          <w:szCs w:val="28"/>
          <w:highlight w:val="none"/>
          <w:lang w:val="en-US" w:eastAsia="zh-CN"/>
        </w:rPr>
        <w:t>二</w:t>
      </w:r>
      <w:r>
        <w:rPr>
          <w:rFonts w:hint="eastAsia" w:ascii="宋体" w:hAnsi="宋体" w:cs="宋体"/>
          <w:b/>
          <w:bCs/>
          <w:color w:val="auto"/>
          <w:sz w:val="28"/>
          <w:szCs w:val="28"/>
          <w:highlight w:val="none"/>
        </w:rPr>
        <w:t>、招标项目涉及到的现场勘察</w:t>
      </w:r>
      <w:r>
        <w:rPr>
          <w:rFonts w:hint="eastAsia" w:ascii="宋体" w:hAnsi="宋体" w:cs="宋体"/>
          <w:color w:val="auto"/>
          <w:sz w:val="28"/>
          <w:szCs w:val="28"/>
          <w:highlight w:val="none"/>
        </w:rPr>
        <w:t xml:space="preserve"> </w:t>
      </w:r>
    </w:p>
    <w:p w14:paraId="00CCA61B">
      <w:pPr>
        <w:tabs>
          <w:tab w:val="left" w:pos="5325"/>
        </w:tabs>
        <w:spacing w:line="460" w:lineRule="exact"/>
        <w:ind w:firstLine="560"/>
        <w:contextualSpacing/>
        <w:rPr>
          <w:rFonts w:ascii="宋体" w:hAnsi="宋体" w:cs="宋体"/>
          <w:color w:val="auto"/>
          <w:sz w:val="28"/>
          <w:szCs w:val="28"/>
          <w:highlight w:val="none"/>
        </w:rPr>
      </w:pPr>
      <w:r>
        <w:rPr>
          <w:rFonts w:hint="eastAsia" w:ascii="宋体" w:hAnsi="宋体" w:cs="宋体"/>
          <w:color w:val="auto"/>
          <w:sz w:val="28"/>
          <w:szCs w:val="28"/>
          <w:highlight w:val="none"/>
        </w:rPr>
        <w:t>根据项目建设需求及复杂性，投标人可自行勘察现场，掌握有关现场的数据和资料。</w:t>
      </w:r>
    </w:p>
    <w:p w14:paraId="6187902F">
      <w:pPr>
        <w:pStyle w:val="323"/>
        <w:shd w:val="clear" w:color="auto" w:fill="FFFFFF"/>
        <w:spacing w:before="0" w:beforeAutospacing="0" w:after="0" w:afterAutospacing="0" w:line="460" w:lineRule="exact"/>
        <w:ind w:firstLine="560"/>
        <w:jc w:val="both"/>
        <w:rPr>
          <w:rFonts w:cs="宋体"/>
          <w:color w:val="auto"/>
          <w:sz w:val="28"/>
          <w:szCs w:val="28"/>
          <w:highlight w:val="none"/>
        </w:rPr>
      </w:pPr>
      <w:r>
        <w:rPr>
          <w:rFonts w:hint="eastAsia" w:cs="宋体"/>
          <w:color w:val="auto"/>
          <w:sz w:val="28"/>
          <w:szCs w:val="28"/>
          <w:highlight w:val="none"/>
        </w:rPr>
        <w:t>1.</w:t>
      </w:r>
      <w:r>
        <w:rPr>
          <w:rFonts w:hint="eastAsia" w:ascii="宋体" w:hAnsi="宋体" w:cs="宋体"/>
          <w:color w:val="auto"/>
          <w:sz w:val="28"/>
          <w:szCs w:val="28"/>
          <w:highlight w:val="none"/>
        </w:rPr>
        <w:t>投标人</w:t>
      </w:r>
      <w:r>
        <w:rPr>
          <w:rFonts w:hint="eastAsia" w:cs="宋体"/>
          <w:color w:val="auto"/>
          <w:sz w:val="28"/>
          <w:szCs w:val="28"/>
          <w:highlight w:val="none"/>
        </w:rPr>
        <w:t>可以在投标文件递交之日前对有关现场和周围环境进行勘察，以获取编制响应文件和签署合同所需的信息。勘察现场所发生的费用由供应商自己承担。</w:t>
      </w:r>
    </w:p>
    <w:p w14:paraId="63F65E68">
      <w:pPr>
        <w:pStyle w:val="323"/>
        <w:shd w:val="clear" w:color="auto" w:fill="FFFFFF"/>
        <w:spacing w:before="0" w:beforeAutospacing="0" w:after="0" w:afterAutospacing="0" w:line="460" w:lineRule="exact"/>
        <w:ind w:firstLine="560"/>
        <w:jc w:val="both"/>
        <w:rPr>
          <w:rFonts w:cs="宋体"/>
          <w:color w:val="auto"/>
          <w:sz w:val="28"/>
          <w:szCs w:val="28"/>
          <w:highlight w:val="none"/>
        </w:rPr>
      </w:pPr>
      <w:r>
        <w:rPr>
          <w:rFonts w:hint="eastAsia" w:cs="宋体"/>
          <w:color w:val="auto"/>
          <w:sz w:val="28"/>
          <w:szCs w:val="28"/>
          <w:highlight w:val="none"/>
        </w:rPr>
        <w:t>2.</w:t>
      </w:r>
      <w:r>
        <w:rPr>
          <w:rFonts w:hint="eastAsia" w:cs="宋体"/>
          <w:color w:val="auto"/>
          <w:sz w:val="28"/>
          <w:szCs w:val="28"/>
          <w:highlight w:val="none"/>
          <w:lang w:eastAsia="zh-CN"/>
        </w:rPr>
        <w:t>采购人</w:t>
      </w:r>
      <w:r>
        <w:rPr>
          <w:rFonts w:hint="eastAsia" w:cs="宋体"/>
          <w:color w:val="auto"/>
          <w:sz w:val="28"/>
          <w:szCs w:val="28"/>
          <w:highlight w:val="none"/>
        </w:rPr>
        <w:t>向投标人提供的有关现场的资料和数据，是</w:t>
      </w:r>
      <w:r>
        <w:rPr>
          <w:rFonts w:hint="eastAsia" w:cs="宋体"/>
          <w:color w:val="auto"/>
          <w:sz w:val="28"/>
          <w:szCs w:val="28"/>
          <w:highlight w:val="none"/>
          <w:lang w:eastAsia="zh-CN"/>
        </w:rPr>
        <w:t>采购人</w:t>
      </w:r>
      <w:r>
        <w:rPr>
          <w:rFonts w:hint="eastAsia" w:cs="宋体"/>
          <w:color w:val="auto"/>
          <w:sz w:val="28"/>
          <w:szCs w:val="28"/>
          <w:highlight w:val="none"/>
        </w:rPr>
        <w:t>现有的并认为能使供应商可利用的资料。</w:t>
      </w:r>
      <w:r>
        <w:rPr>
          <w:rFonts w:hint="eastAsia" w:cs="宋体"/>
          <w:color w:val="auto"/>
          <w:sz w:val="28"/>
          <w:szCs w:val="28"/>
          <w:highlight w:val="none"/>
          <w:lang w:eastAsia="zh-CN"/>
        </w:rPr>
        <w:t>采购人</w:t>
      </w:r>
      <w:r>
        <w:rPr>
          <w:rFonts w:hint="eastAsia" w:cs="宋体"/>
          <w:color w:val="auto"/>
          <w:sz w:val="28"/>
          <w:szCs w:val="28"/>
          <w:highlight w:val="none"/>
        </w:rPr>
        <w:t>对投标人由此而做出的推论、理解和结论概不负责。</w:t>
      </w:r>
    </w:p>
    <w:p w14:paraId="453DE9B5">
      <w:pPr>
        <w:pStyle w:val="323"/>
        <w:shd w:val="clear" w:color="auto" w:fill="FFFFFF"/>
        <w:spacing w:before="0" w:beforeAutospacing="0" w:after="0" w:afterAutospacing="0" w:line="460" w:lineRule="exact"/>
        <w:ind w:firstLine="560"/>
        <w:jc w:val="both"/>
        <w:rPr>
          <w:rFonts w:cs="宋体"/>
          <w:color w:val="auto"/>
          <w:sz w:val="28"/>
          <w:szCs w:val="28"/>
          <w:highlight w:val="none"/>
        </w:rPr>
      </w:pPr>
      <w:r>
        <w:rPr>
          <w:rFonts w:hint="eastAsia" w:cs="宋体"/>
          <w:color w:val="auto"/>
          <w:sz w:val="28"/>
          <w:szCs w:val="28"/>
          <w:highlight w:val="none"/>
        </w:rPr>
        <w:t>3.经</w:t>
      </w:r>
      <w:r>
        <w:rPr>
          <w:rFonts w:hint="eastAsia" w:cs="宋体"/>
          <w:color w:val="auto"/>
          <w:sz w:val="28"/>
          <w:szCs w:val="28"/>
          <w:highlight w:val="none"/>
          <w:lang w:eastAsia="zh-CN"/>
        </w:rPr>
        <w:t>采购人</w:t>
      </w:r>
      <w:r>
        <w:rPr>
          <w:rFonts w:hint="eastAsia" w:cs="宋体"/>
          <w:color w:val="auto"/>
          <w:sz w:val="28"/>
          <w:szCs w:val="28"/>
          <w:highlight w:val="none"/>
        </w:rPr>
        <w:t>允许，投标人可为勘察目的进入</w:t>
      </w:r>
      <w:r>
        <w:rPr>
          <w:rFonts w:hint="eastAsia" w:cs="宋体"/>
          <w:color w:val="auto"/>
          <w:sz w:val="28"/>
          <w:szCs w:val="28"/>
          <w:highlight w:val="none"/>
          <w:lang w:eastAsia="zh-CN"/>
        </w:rPr>
        <w:t>采购人</w:t>
      </w:r>
      <w:r>
        <w:rPr>
          <w:rFonts w:hint="eastAsia" w:cs="宋体"/>
          <w:color w:val="auto"/>
          <w:sz w:val="28"/>
          <w:szCs w:val="28"/>
          <w:highlight w:val="none"/>
        </w:rPr>
        <w:t>的项目现场，但投标人不得因此使</w:t>
      </w:r>
      <w:r>
        <w:rPr>
          <w:rFonts w:hint="eastAsia" w:cs="宋体"/>
          <w:color w:val="auto"/>
          <w:sz w:val="28"/>
          <w:szCs w:val="28"/>
          <w:highlight w:val="none"/>
          <w:lang w:eastAsia="zh-CN"/>
        </w:rPr>
        <w:t>采购人</w:t>
      </w:r>
      <w:r>
        <w:rPr>
          <w:rFonts w:hint="eastAsia" w:cs="宋体"/>
          <w:color w:val="auto"/>
          <w:sz w:val="28"/>
          <w:szCs w:val="28"/>
          <w:highlight w:val="none"/>
        </w:rPr>
        <w:t>承担有关的责任和蒙受损失。投标人应承担勘察现场的责任和风险。</w:t>
      </w:r>
    </w:p>
    <w:p w14:paraId="169233AE">
      <w:pPr>
        <w:pStyle w:val="323"/>
        <w:shd w:val="clear" w:color="auto" w:fill="FFFFFF"/>
        <w:spacing w:before="0" w:beforeAutospacing="0" w:after="0" w:afterAutospacing="0" w:line="460" w:lineRule="exact"/>
        <w:ind w:firstLine="560"/>
        <w:jc w:val="both"/>
        <w:rPr>
          <w:rFonts w:hint="eastAsia" w:ascii="宋体" w:hAnsi="宋体" w:eastAsia="宋体" w:cs="宋体"/>
          <w:color w:val="auto"/>
          <w:sz w:val="28"/>
          <w:szCs w:val="28"/>
          <w:highlight w:val="none"/>
        </w:rPr>
      </w:pPr>
      <w:r>
        <w:rPr>
          <w:rFonts w:hint="eastAsia" w:cs="宋体"/>
          <w:color w:val="auto"/>
          <w:sz w:val="28"/>
          <w:szCs w:val="28"/>
          <w:highlight w:val="none"/>
        </w:rPr>
        <w:t>4.在现场勘察时，熟悉施工及制作安装现场、现场周围交通道路等情况，以获得一切可能影响其投标的直接资料。投标人中标后，不</w:t>
      </w:r>
      <w:r>
        <w:rPr>
          <w:rFonts w:hint="eastAsia" w:ascii="宋体" w:hAnsi="宋体" w:eastAsia="宋体" w:cs="宋体"/>
          <w:color w:val="auto"/>
          <w:sz w:val="28"/>
          <w:szCs w:val="28"/>
          <w:highlight w:val="none"/>
        </w:rPr>
        <w:t>得以不完全了解现场情况为理由而向</w:t>
      </w:r>
      <w:r>
        <w:rPr>
          <w:rFonts w:hint="eastAsia" w:ascii="宋体" w:hAnsi="宋体" w:eastAsia="宋体" w:cs="宋体"/>
          <w:color w:val="auto"/>
          <w:sz w:val="28"/>
          <w:szCs w:val="28"/>
          <w:highlight w:val="none"/>
          <w:lang w:eastAsia="zh-CN"/>
        </w:rPr>
        <w:t>采购人</w:t>
      </w:r>
      <w:r>
        <w:rPr>
          <w:rFonts w:hint="eastAsia" w:ascii="宋体" w:hAnsi="宋体" w:eastAsia="宋体" w:cs="宋体"/>
          <w:color w:val="auto"/>
          <w:sz w:val="28"/>
          <w:szCs w:val="28"/>
          <w:highlight w:val="none"/>
        </w:rPr>
        <w:t>提出任何索赔的要求，对此</w:t>
      </w:r>
      <w:r>
        <w:rPr>
          <w:rFonts w:hint="eastAsia" w:ascii="宋体" w:hAnsi="宋体" w:eastAsia="宋体" w:cs="宋体"/>
          <w:color w:val="auto"/>
          <w:sz w:val="28"/>
          <w:szCs w:val="28"/>
          <w:highlight w:val="none"/>
          <w:lang w:eastAsia="zh-CN"/>
        </w:rPr>
        <w:t>采购人</w:t>
      </w:r>
      <w:r>
        <w:rPr>
          <w:rFonts w:hint="eastAsia" w:ascii="宋体" w:hAnsi="宋体" w:eastAsia="宋体" w:cs="宋体"/>
          <w:color w:val="auto"/>
          <w:sz w:val="28"/>
          <w:szCs w:val="28"/>
          <w:highlight w:val="none"/>
        </w:rPr>
        <w:t>不承担任何责任并将不作任何答复与考虑。</w:t>
      </w:r>
    </w:p>
    <w:p w14:paraId="0CEFD993">
      <w:pPr>
        <w:pStyle w:val="323"/>
        <w:shd w:val="clear" w:color="auto" w:fill="FFFFFF"/>
        <w:spacing w:before="0" w:beforeAutospacing="0" w:after="0" w:afterAutospacing="0" w:line="460" w:lineRule="exact"/>
        <w:ind w:firstLine="560"/>
        <w:jc w:val="both"/>
        <w:rPr>
          <w:rFonts w:hint="default" w:ascii="宋体" w:hAnsi="宋体" w:eastAsia="宋体" w:cs="宋体"/>
          <w:b/>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5.现场踏勘时间为 2026年 7月</w:t>
      </w:r>
      <w:r>
        <w:rPr>
          <w:rFonts w:hint="eastAsia" w:cs="宋体"/>
          <w:color w:val="auto"/>
          <w:sz w:val="28"/>
          <w:szCs w:val="28"/>
          <w:highlight w:val="none"/>
          <w:lang w:val="en-US" w:eastAsia="zh-CN"/>
        </w:rPr>
        <w:t>15</w:t>
      </w:r>
      <w:r>
        <w:rPr>
          <w:rFonts w:hint="eastAsia" w:ascii="宋体" w:hAnsi="宋体" w:eastAsia="宋体" w:cs="宋体"/>
          <w:color w:val="auto"/>
          <w:sz w:val="28"/>
          <w:szCs w:val="28"/>
          <w:highlight w:val="none"/>
          <w:lang w:val="en-US" w:eastAsia="zh-CN"/>
        </w:rPr>
        <w:t>日 - 7月</w:t>
      </w:r>
      <w:r>
        <w:rPr>
          <w:rFonts w:hint="eastAsia" w:cs="宋体"/>
          <w:color w:val="auto"/>
          <w:sz w:val="28"/>
          <w:szCs w:val="28"/>
          <w:highlight w:val="none"/>
          <w:lang w:val="en-US" w:eastAsia="zh-CN"/>
        </w:rPr>
        <w:t>24</w:t>
      </w:r>
      <w:r>
        <w:rPr>
          <w:rFonts w:hint="eastAsia" w:ascii="宋体" w:hAnsi="宋体" w:eastAsia="宋体" w:cs="宋体"/>
          <w:color w:val="auto"/>
          <w:sz w:val="28"/>
          <w:szCs w:val="28"/>
          <w:highlight w:val="none"/>
          <w:lang w:val="en-US" w:eastAsia="zh-CN"/>
        </w:rPr>
        <w:t>日（8：00-11:00，14：00-17:00），联系人：</w:t>
      </w:r>
      <w:r>
        <w:rPr>
          <w:rFonts w:hint="eastAsia" w:cs="宋体"/>
          <w:color w:val="auto"/>
          <w:sz w:val="28"/>
          <w:szCs w:val="28"/>
          <w:highlight w:val="none"/>
          <w:lang w:val="en-US" w:eastAsia="zh-CN"/>
        </w:rPr>
        <w:t>秦俊13646289011</w:t>
      </w:r>
      <w:r>
        <w:rPr>
          <w:rFonts w:hint="eastAsia" w:ascii="宋体" w:hAnsi="宋体" w:eastAsia="宋体" w:cs="宋体"/>
          <w:color w:val="auto"/>
          <w:sz w:val="28"/>
          <w:szCs w:val="28"/>
          <w:highlight w:val="none"/>
          <w:lang w:val="en-US" w:eastAsia="zh-CN"/>
        </w:rPr>
        <w:t xml:space="preserve"> （提前预约）。</w:t>
      </w:r>
    </w:p>
    <w:p w14:paraId="36F3A8A1">
      <w:pPr>
        <w:spacing w:line="520" w:lineRule="exact"/>
        <w:ind w:firstLine="562"/>
        <w:rPr>
          <w:rFonts w:ascii="宋体" w:hAnsi="宋体" w:cs="宋体"/>
          <w:b/>
          <w:bCs/>
          <w:color w:val="auto"/>
          <w:sz w:val="28"/>
          <w:szCs w:val="28"/>
          <w:highlight w:val="none"/>
        </w:rPr>
      </w:pPr>
      <w:r>
        <w:rPr>
          <w:rFonts w:hint="eastAsia" w:ascii="宋体" w:hAnsi="宋体" w:cs="宋体"/>
          <w:b/>
          <w:bCs/>
          <w:color w:val="auto"/>
          <w:sz w:val="28"/>
          <w:szCs w:val="28"/>
          <w:highlight w:val="none"/>
        </w:rPr>
        <w:t>十</w:t>
      </w:r>
      <w:r>
        <w:rPr>
          <w:rFonts w:hint="eastAsia" w:ascii="宋体" w:hAnsi="宋体" w:cs="宋体"/>
          <w:b/>
          <w:bCs/>
          <w:color w:val="auto"/>
          <w:sz w:val="28"/>
          <w:szCs w:val="28"/>
          <w:highlight w:val="none"/>
          <w:lang w:val="en-US" w:eastAsia="zh-CN"/>
        </w:rPr>
        <w:t>三</w:t>
      </w:r>
      <w:r>
        <w:rPr>
          <w:rFonts w:hint="eastAsia" w:ascii="宋体" w:hAnsi="宋体" w:cs="宋体"/>
          <w:b/>
          <w:bCs/>
          <w:color w:val="auto"/>
          <w:sz w:val="28"/>
          <w:szCs w:val="28"/>
          <w:highlight w:val="none"/>
        </w:rPr>
        <w:t>、合同文本</w:t>
      </w:r>
    </w:p>
    <w:p w14:paraId="0C13D601">
      <w:pPr>
        <w:rPr>
          <w:rFonts w:ascii="宋体" w:hAnsi="宋体" w:cs="宋体"/>
          <w:color w:val="auto"/>
          <w:sz w:val="32"/>
          <w:highlight w:val="none"/>
        </w:rPr>
      </w:pPr>
      <w:r>
        <w:rPr>
          <w:rFonts w:hint="eastAsia" w:ascii="宋体" w:hAnsi="宋体" w:cs="宋体"/>
          <w:color w:val="auto"/>
          <w:sz w:val="32"/>
          <w:highlight w:val="none"/>
        </w:rPr>
        <w:br w:type="page" w:clear="all"/>
      </w:r>
    </w:p>
    <w:p w14:paraId="07481AA1">
      <w:pPr>
        <w:jc w:val="center"/>
        <w:rPr>
          <w:rFonts w:hint="eastAsia" w:ascii="宋体" w:hAnsi="宋体" w:cs="宋体"/>
          <w:b/>
          <w:bCs/>
          <w:color w:val="auto"/>
          <w:sz w:val="28"/>
          <w:szCs w:val="28"/>
          <w:highlight w:val="none"/>
        </w:rPr>
      </w:pPr>
    </w:p>
    <w:p w14:paraId="7EAFDDD9">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（本合同格式仅为招标文件提供之范本，部分条款可在实际签订时根据项目情况由甲乙双方另行协商约定。）</w:t>
      </w:r>
    </w:p>
    <w:p w14:paraId="4533B98F">
      <w:pPr>
        <w:pStyle w:val="8"/>
        <w:spacing w:line="360" w:lineRule="auto"/>
        <w:ind w:right="210" w:firstLine="859"/>
        <w:contextualSpacing/>
        <w:jc w:val="center"/>
        <w:rPr>
          <w:rFonts w:hint="eastAsia" w:ascii="宋体" w:hAnsi="宋体" w:cs="宋体"/>
          <w:color w:val="auto"/>
          <w:sz w:val="40"/>
          <w:szCs w:val="40"/>
          <w:highlight w:val="none"/>
        </w:rPr>
      </w:pPr>
      <w:r>
        <w:rPr>
          <w:rFonts w:hint="eastAsia" w:ascii="宋体" w:hAnsi="宋体" w:cs="宋体"/>
          <w:b/>
          <w:color w:val="auto"/>
          <w:sz w:val="40"/>
          <w:szCs w:val="40"/>
          <w:highlight w:val="none"/>
        </w:rPr>
        <w:t>合  同</w:t>
      </w:r>
    </w:p>
    <w:p w14:paraId="549CCAE2">
      <w:pPr>
        <w:pStyle w:val="8"/>
        <w:spacing w:line="360" w:lineRule="auto"/>
        <w:ind w:right="210" w:firstLine="599"/>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合同编号</w:t>
      </w:r>
    </w:p>
    <w:p w14:paraId="0142A747">
      <w:pPr>
        <w:pStyle w:val="8"/>
        <w:spacing w:line="360" w:lineRule="auto"/>
        <w:ind w:right="210" w:firstLine="599"/>
        <w:contextualSpacing/>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甲方（需方）：</w:t>
      </w:r>
      <w:r>
        <w:rPr>
          <w:rFonts w:hint="eastAsia" w:ascii="宋体" w:hAnsi="宋体" w:cs="宋体"/>
          <w:bCs/>
          <w:color w:val="auto"/>
          <w:sz w:val="28"/>
          <w:szCs w:val="28"/>
          <w:highlight w:val="none"/>
          <w:lang w:eastAsia="zh-CN"/>
        </w:rPr>
        <w:t>南通职业大学</w:t>
      </w:r>
    </w:p>
    <w:p w14:paraId="7C78D31E">
      <w:pPr>
        <w:pStyle w:val="8"/>
        <w:spacing w:line="360" w:lineRule="auto"/>
        <w:ind w:right="210" w:firstLine="599"/>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乙方（供方）：</w:t>
      </w:r>
    </w:p>
    <w:p w14:paraId="24F2A4EC">
      <w:pPr>
        <w:pStyle w:val="8"/>
        <w:spacing w:line="360" w:lineRule="auto"/>
        <w:ind w:right="210" w:firstLine="599"/>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签订时间：</w:t>
      </w:r>
    </w:p>
    <w:p w14:paraId="69683B41">
      <w:pPr>
        <w:pStyle w:val="8"/>
        <w:spacing w:line="360" w:lineRule="auto"/>
        <w:ind w:right="210" w:firstLine="599"/>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甲乙双方根据《中华人民共和国政府采购法》及有关规定和</w:t>
      </w:r>
      <w:r>
        <w:rPr>
          <w:rFonts w:hint="eastAsia" w:ascii="宋体" w:hAnsi="宋体" w:cs="宋体"/>
          <w:color w:val="auto"/>
          <w:sz w:val="28"/>
          <w:szCs w:val="28"/>
          <w:highlight w:val="none"/>
          <w:lang w:eastAsia="zh-CN"/>
        </w:rPr>
        <w:t>南通职业大学</w:t>
      </w:r>
      <w:r>
        <w:rPr>
          <w:rFonts w:hint="eastAsia" w:ascii="宋体" w:hAnsi="宋体" w:cs="宋体"/>
          <w:color w:val="auto"/>
          <w:sz w:val="28"/>
          <w:szCs w:val="28"/>
          <w:highlight w:val="none"/>
        </w:rPr>
        <w:t>关于</w:t>
      </w:r>
      <w:r>
        <w:rPr>
          <w:rFonts w:hint="eastAsia" w:ascii="宋体" w:hAnsi="宋体" w:cs="宋体"/>
          <w:color w:val="auto"/>
          <w:sz w:val="28"/>
          <w:szCs w:val="28"/>
          <w:highlight w:val="none"/>
          <w:u w:val="single"/>
          <w:lang w:val="en-US" w:eastAsia="zh-CN"/>
        </w:rPr>
        <w:t xml:space="preserve">       （项目名称） </w:t>
      </w:r>
      <w:r>
        <w:rPr>
          <w:rFonts w:hint="eastAsia" w:ascii="宋体" w:hAnsi="宋体" w:cs="宋体"/>
          <w:color w:val="auto"/>
          <w:sz w:val="28"/>
          <w:szCs w:val="28"/>
          <w:highlight w:val="none"/>
        </w:rPr>
        <w:t>采购的结果，并依照本项目的具体情况，本着平等合作、友好互利的原则，同意按下述条款和条件签订本合同（以下简称：“合同”），双方共同遵守。条款如下：</w:t>
      </w:r>
    </w:p>
    <w:p w14:paraId="677584BE">
      <w:pPr>
        <w:pStyle w:val="332"/>
        <w:keepNext w:val="0"/>
        <w:keepLines w:val="0"/>
        <w:pageBreakBefore w:val="0"/>
        <w:widowControl w:val="0"/>
        <w:spacing w:before="120" w:after="120" w:line="460" w:lineRule="exact"/>
        <w:ind w:firstLine="562"/>
        <w:rPr>
          <w:rFonts w:hAnsi="宋体" w:cs="宋体"/>
          <w:b/>
          <w:color w:val="auto"/>
          <w:sz w:val="28"/>
          <w:szCs w:val="28"/>
          <w:highlight w:val="none"/>
        </w:rPr>
      </w:pPr>
      <w:bookmarkStart w:id="147" w:name="_Toc26259"/>
      <w:bookmarkStart w:id="148" w:name="_Toc30320"/>
      <w:r>
        <w:rPr>
          <w:rFonts w:hint="eastAsia" w:hAnsi="宋体" w:cs="宋体"/>
          <w:b/>
          <w:color w:val="auto"/>
          <w:sz w:val="28"/>
          <w:szCs w:val="28"/>
          <w:highlight w:val="none"/>
        </w:rPr>
        <w:t>一、合同内容</w:t>
      </w:r>
    </w:p>
    <w:p w14:paraId="069F15CE">
      <w:pPr>
        <w:pStyle w:val="332"/>
        <w:keepNext w:val="0"/>
        <w:keepLines w:val="0"/>
        <w:pageBreakBefore w:val="0"/>
        <w:widowControl w:val="0"/>
        <w:spacing w:before="120" w:after="120" w:line="460" w:lineRule="exact"/>
        <w:ind w:firstLine="560"/>
        <w:rPr>
          <w:rFonts w:hAnsi="宋体" w:cs="宋体"/>
          <w:color w:val="auto"/>
          <w:sz w:val="28"/>
          <w:szCs w:val="28"/>
          <w:highlight w:val="none"/>
        </w:rPr>
      </w:pPr>
      <w:r>
        <w:rPr>
          <w:rFonts w:hint="eastAsia" w:hAnsi="宋体" w:cs="宋体"/>
          <w:color w:val="auto"/>
          <w:sz w:val="28"/>
          <w:szCs w:val="28"/>
          <w:highlight w:val="none"/>
        </w:rPr>
        <w:t>1.1 乙方负责向甲方提供以下货物：</w:t>
      </w:r>
    </w:p>
    <w:tbl>
      <w:tblPr>
        <w:tblStyle w:val="49"/>
        <w:tblW w:w="98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1560"/>
        <w:gridCol w:w="1455"/>
        <w:gridCol w:w="855"/>
        <w:gridCol w:w="840"/>
        <w:gridCol w:w="1064"/>
        <w:gridCol w:w="945"/>
        <w:gridCol w:w="720"/>
        <w:gridCol w:w="840"/>
        <w:gridCol w:w="840"/>
      </w:tblGrid>
      <w:tr w14:paraId="35625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1" w:type="dxa"/>
            <w:shd w:val="clear" w:color="auto" w:fill="auto"/>
            <w:noWrap w:val="0"/>
            <w:tcMar>
              <w:top w:w="57" w:type="dxa"/>
              <w:left w:w="57" w:type="dxa"/>
              <w:bottom w:w="57" w:type="dxa"/>
              <w:right w:w="57" w:type="dxa"/>
            </w:tcMar>
            <w:vAlign w:val="center"/>
          </w:tcPr>
          <w:p w14:paraId="5B1ADD80">
            <w:pPr>
              <w:pStyle w:val="48"/>
              <w:keepNext w:val="0"/>
              <w:keepLines w:val="0"/>
              <w:pageBreakBefore w:val="0"/>
              <w:widowControl w:val="0"/>
              <w:spacing w:after="0" w:line="320" w:lineRule="exact"/>
              <w:ind w:left="0" w:firstLine="0"/>
              <w:jc w:val="center"/>
              <w:rPr>
                <w:rFonts w:hint="eastAsia" w:ascii="宋体" w:hAnsi="宋体" w:eastAsia="仿宋_GB2312" w:cs="宋体"/>
                <w:color w:val="auto"/>
                <w:sz w:val="28"/>
                <w:szCs w:val="28"/>
                <w:highlight w:val="none"/>
                <w:lang w:val="en-US" w:eastAsia="zh-CN"/>
              </w:rPr>
            </w:pPr>
            <w:r>
              <w:rPr>
                <w:rFonts w:hint="eastAsia" w:ascii="宋体" w:hAnsi="宋体" w:cs="宋体"/>
                <w:color w:val="auto"/>
                <w:sz w:val="28"/>
                <w:szCs w:val="28"/>
                <w:highlight w:val="none"/>
                <w:lang w:val="en-US" w:eastAsia="zh-CN"/>
              </w:rPr>
              <w:t>序号</w:t>
            </w:r>
          </w:p>
        </w:tc>
        <w:tc>
          <w:tcPr>
            <w:tcW w:w="1560" w:type="dxa"/>
            <w:shd w:val="clear" w:color="auto" w:fill="auto"/>
            <w:noWrap w:val="0"/>
            <w:tcMar>
              <w:top w:w="57" w:type="dxa"/>
              <w:left w:w="57" w:type="dxa"/>
              <w:bottom w:w="57" w:type="dxa"/>
              <w:right w:w="57" w:type="dxa"/>
            </w:tcMar>
            <w:vAlign w:val="center"/>
          </w:tcPr>
          <w:p w14:paraId="1D646E8D">
            <w:pPr>
              <w:pStyle w:val="48"/>
              <w:keepNext w:val="0"/>
              <w:keepLines w:val="0"/>
              <w:pageBreakBefore w:val="0"/>
              <w:widowControl w:val="0"/>
              <w:spacing w:after="0" w:line="320" w:lineRule="exact"/>
              <w:ind w:left="0"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产品名称</w:t>
            </w:r>
          </w:p>
        </w:tc>
        <w:tc>
          <w:tcPr>
            <w:tcW w:w="1455" w:type="dxa"/>
            <w:shd w:val="clear" w:color="auto" w:fill="auto"/>
            <w:noWrap w:val="0"/>
            <w:tcMar>
              <w:top w:w="57" w:type="dxa"/>
              <w:left w:w="57" w:type="dxa"/>
              <w:bottom w:w="57" w:type="dxa"/>
              <w:right w:w="57" w:type="dxa"/>
            </w:tcMar>
            <w:vAlign w:val="center"/>
          </w:tcPr>
          <w:p w14:paraId="4A79F7ED">
            <w:pPr>
              <w:pStyle w:val="48"/>
              <w:keepNext w:val="0"/>
              <w:keepLines w:val="0"/>
              <w:pageBreakBefore w:val="0"/>
              <w:widowControl w:val="0"/>
              <w:spacing w:after="0" w:line="320" w:lineRule="exact"/>
              <w:ind w:left="0"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产品规格、型号</w:t>
            </w:r>
          </w:p>
        </w:tc>
        <w:tc>
          <w:tcPr>
            <w:tcW w:w="855" w:type="dxa"/>
            <w:shd w:val="clear" w:color="auto" w:fill="auto"/>
            <w:noWrap w:val="0"/>
            <w:tcMar>
              <w:top w:w="57" w:type="dxa"/>
              <w:left w:w="57" w:type="dxa"/>
              <w:bottom w:w="57" w:type="dxa"/>
              <w:right w:w="57" w:type="dxa"/>
            </w:tcMar>
            <w:vAlign w:val="center"/>
          </w:tcPr>
          <w:p w14:paraId="711DD38F">
            <w:pPr>
              <w:pStyle w:val="48"/>
              <w:keepNext w:val="0"/>
              <w:keepLines w:val="0"/>
              <w:pageBreakBefore w:val="0"/>
              <w:widowControl w:val="0"/>
              <w:spacing w:after="0" w:line="320" w:lineRule="exact"/>
              <w:ind w:left="0"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品牌</w:t>
            </w:r>
          </w:p>
        </w:tc>
        <w:tc>
          <w:tcPr>
            <w:tcW w:w="840" w:type="dxa"/>
            <w:shd w:val="clear" w:color="auto" w:fill="auto"/>
            <w:noWrap w:val="0"/>
            <w:tcMar>
              <w:top w:w="57" w:type="dxa"/>
              <w:left w:w="57" w:type="dxa"/>
              <w:bottom w:w="57" w:type="dxa"/>
              <w:right w:w="57" w:type="dxa"/>
            </w:tcMar>
            <w:vAlign w:val="center"/>
          </w:tcPr>
          <w:p w14:paraId="01EE2964">
            <w:pPr>
              <w:pStyle w:val="48"/>
              <w:keepNext w:val="0"/>
              <w:keepLines w:val="0"/>
              <w:pageBreakBefore w:val="0"/>
              <w:widowControl w:val="0"/>
              <w:spacing w:after="0" w:line="320" w:lineRule="exact"/>
              <w:ind w:left="0"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单位</w:t>
            </w:r>
          </w:p>
        </w:tc>
        <w:tc>
          <w:tcPr>
            <w:tcW w:w="1064" w:type="dxa"/>
            <w:shd w:val="clear" w:color="auto" w:fill="auto"/>
            <w:noWrap w:val="0"/>
            <w:tcMar>
              <w:top w:w="57" w:type="dxa"/>
              <w:left w:w="57" w:type="dxa"/>
              <w:bottom w:w="57" w:type="dxa"/>
              <w:right w:w="57" w:type="dxa"/>
            </w:tcMar>
            <w:vAlign w:val="center"/>
          </w:tcPr>
          <w:p w14:paraId="2BDDC973">
            <w:pPr>
              <w:pStyle w:val="48"/>
              <w:keepNext w:val="0"/>
              <w:keepLines w:val="0"/>
              <w:pageBreakBefore w:val="0"/>
              <w:widowControl w:val="0"/>
              <w:spacing w:after="0" w:line="320" w:lineRule="exact"/>
              <w:ind w:left="0" w:firstLine="0"/>
              <w:jc w:val="center"/>
              <w:rPr>
                <w:color w:val="auto"/>
                <w:sz w:val="28"/>
                <w:szCs w:val="20"/>
                <w:highlight w:val="none"/>
              </w:rPr>
            </w:pPr>
            <w:r>
              <w:rPr>
                <w:rFonts w:hint="eastAsia" w:ascii="宋体" w:hAnsi="宋体" w:cs="宋体"/>
                <w:color w:val="auto"/>
                <w:sz w:val="28"/>
                <w:szCs w:val="28"/>
                <w:highlight w:val="none"/>
              </w:rPr>
              <w:t>数量</w:t>
            </w:r>
          </w:p>
        </w:tc>
        <w:tc>
          <w:tcPr>
            <w:tcW w:w="945" w:type="dxa"/>
            <w:noWrap w:val="0"/>
            <w:tcMar>
              <w:top w:w="57" w:type="dxa"/>
              <w:left w:w="57" w:type="dxa"/>
              <w:bottom w:w="57" w:type="dxa"/>
              <w:right w:w="57" w:type="dxa"/>
            </w:tcMar>
            <w:vAlign w:val="center"/>
          </w:tcPr>
          <w:p w14:paraId="04D9BBEE">
            <w:pPr>
              <w:keepNext w:val="0"/>
              <w:keepLines w:val="0"/>
              <w:pageBreakBefore w:val="0"/>
              <w:widowControl w:val="0"/>
              <w:spacing w:line="320" w:lineRule="exact"/>
              <w:ind w:left="0"/>
              <w:jc w:val="center"/>
              <w:rPr>
                <w:rFonts w:ascii="宋体" w:hAnsi="宋体" w:cs="宋体"/>
                <w:color w:val="auto"/>
                <w:sz w:val="28"/>
                <w:szCs w:val="28"/>
                <w:highlight w:val="none"/>
              </w:rPr>
            </w:pPr>
            <w:r>
              <w:rPr>
                <w:rFonts w:hint="eastAsia" w:ascii="宋体" w:hAnsi="宋体" w:cs="宋体"/>
                <w:color w:val="auto"/>
                <w:sz w:val="28"/>
                <w:szCs w:val="36"/>
                <w:highlight w:val="none"/>
              </w:rPr>
              <w:t>制造商名称</w:t>
            </w:r>
          </w:p>
        </w:tc>
        <w:tc>
          <w:tcPr>
            <w:tcW w:w="720" w:type="dxa"/>
            <w:noWrap w:val="0"/>
            <w:tcMar>
              <w:top w:w="57" w:type="dxa"/>
              <w:left w:w="57" w:type="dxa"/>
              <w:bottom w:w="57" w:type="dxa"/>
              <w:right w:w="57" w:type="dxa"/>
            </w:tcMar>
            <w:vAlign w:val="center"/>
          </w:tcPr>
          <w:p w14:paraId="4FC44BEF">
            <w:pPr>
              <w:keepNext w:val="0"/>
              <w:keepLines w:val="0"/>
              <w:pageBreakBefore w:val="0"/>
              <w:widowControl w:val="0"/>
              <w:spacing w:line="320" w:lineRule="exact"/>
              <w:ind w:left="0"/>
              <w:jc w:val="center"/>
              <w:rPr>
                <w:rFonts w:ascii="宋体" w:hAnsi="宋体" w:cs="宋体"/>
                <w:color w:val="auto"/>
                <w:sz w:val="28"/>
                <w:szCs w:val="28"/>
                <w:highlight w:val="none"/>
              </w:rPr>
            </w:pPr>
            <w:r>
              <w:rPr>
                <w:rFonts w:hint="eastAsia" w:ascii="宋体" w:hAnsi="宋体" w:cs="宋体"/>
                <w:color w:val="auto"/>
                <w:sz w:val="28"/>
                <w:szCs w:val="36"/>
                <w:highlight w:val="none"/>
              </w:rPr>
              <w:t>产地</w:t>
            </w:r>
          </w:p>
        </w:tc>
        <w:tc>
          <w:tcPr>
            <w:tcW w:w="840" w:type="dxa"/>
            <w:noWrap w:val="0"/>
            <w:tcMar>
              <w:top w:w="57" w:type="dxa"/>
              <w:left w:w="57" w:type="dxa"/>
              <w:bottom w:w="57" w:type="dxa"/>
              <w:right w:w="57" w:type="dxa"/>
            </w:tcMar>
            <w:vAlign w:val="center"/>
          </w:tcPr>
          <w:p w14:paraId="72B3F0F3">
            <w:pPr>
              <w:keepNext w:val="0"/>
              <w:keepLines w:val="0"/>
              <w:pageBreakBefore w:val="0"/>
              <w:widowControl w:val="0"/>
              <w:spacing w:line="320" w:lineRule="exact"/>
              <w:ind w:left="0"/>
              <w:jc w:val="center"/>
              <w:rPr>
                <w:rFonts w:ascii="宋体" w:hAnsi="宋体" w:cs="宋体"/>
                <w:color w:val="auto"/>
                <w:sz w:val="28"/>
                <w:szCs w:val="28"/>
                <w:highlight w:val="none"/>
              </w:rPr>
            </w:pPr>
            <w:r>
              <w:rPr>
                <w:rFonts w:hint="eastAsia" w:ascii="宋体" w:hAnsi="宋体" w:cs="宋体"/>
                <w:color w:val="auto"/>
                <w:sz w:val="28"/>
                <w:szCs w:val="28"/>
                <w:highlight w:val="none"/>
              </w:rPr>
              <w:t>单价（元）</w:t>
            </w:r>
          </w:p>
        </w:tc>
        <w:tc>
          <w:tcPr>
            <w:tcW w:w="840" w:type="dxa"/>
            <w:noWrap w:val="0"/>
            <w:tcMar>
              <w:top w:w="57" w:type="dxa"/>
              <w:left w:w="57" w:type="dxa"/>
              <w:bottom w:w="57" w:type="dxa"/>
              <w:right w:w="57" w:type="dxa"/>
            </w:tcMar>
            <w:vAlign w:val="center"/>
          </w:tcPr>
          <w:p w14:paraId="514F6BB0">
            <w:pPr>
              <w:keepNext w:val="0"/>
              <w:keepLines w:val="0"/>
              <w:pageBreakBefore w:val="0"/>
              <w:widowControl w:val="0"/>
              <w:spacing w:line="320" w:lineRule="exact"/>
              <w:ind w:left="0"/>
              <w:jc w:val="center"/>
              <w:rPr>
                <w:rFonts w:ascii="宋体" w:hAnsi="宋体" w:cs="宋体"/>
                <w:color w:val="auto"/>
                <w:sz w:val="28"/>
                <w:szCs w:val="28"/>
                <w:highlight w:val="none"/>
              </w:rPr>
            </w:pPr>
            <w:r>
              <w:rPr>
                <w:rFonts w:hint="eastAsia" w:ascii="宋体" w:hAnsi="宋体" w:cs="宋体"/>
                <w:color w:val="auto"/>
                <w:sz w:val="28"/>
                <w:szCs w:val="28"/>
                <w:highlight w:val="none"/>
              </w:rPr>
              <w:t>总价（元）</w:t>
            </w:r>
          </w:p>
        </w:tc>
      </w:tr>
      <w:tr w14:paraId="02412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681" w:type="dxa"/>
            <w:noWrap w:val="0"/>
            <w:tcMar>
              <w:top w:w="57" w:type="dxa"/>
              <w:left w:w="57" w:type="dxa"/>
              <w:bottom w:w="57" w:type="dxa"/>
              <w:right w:w="57" w:type="dxa"/>
            </w:tcMar>
            <w:vAlign w:val="center"/>
          </w:tcPr>
          <w:p w14:paraId="101CAA8A">
            <w:pPr>
              <w:pStyle w:val="48"/>
              <w:keepNext w:val="0"/>
              <w:keepLines w:val="0"/>
              <w:pageBreakBefore w:val="0"/>
              <w:widowControl w:val="0"/>
              <w:spacing w:after="0" w:line="320" w:lineRule="exact"/>
              <w:ind w:left="0"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1</w:t>
            </w:r>
          </w:p>
        </w:tc>
        <w:tc>
          <w:tcPr>
            <w:tcW w:w="1560" w:type="dxa"/>
            <w:noWrap w:val="0"/>
            <w:tcMar>
              <w:top w:w="57" w:type="dxa"/>
              <w:left w:w="57" w:type="dxa"/>
              <w:bottom w:w="57" w:type="dxa"/>
              <w:right w:w="57" w:type="dxa"/>
            </w:tcMar>
            <w:vAlign w:val="center"/>
          </w:tcPr>
          <w:p w14:paraId="641B5D8F">
            <w:pPr>
              <w:pStyle w:val="48"/>
              <w:keepNext w:val="0"/>
              <w:keepLines w:val="0"/>
              <w:pageBreakBefore w:val="0"/>
              <w:widowControl w:val="0"/>
              <w:spacing w:after="0" w:line="320" w:lineRule="exact"/>
              <w:ind w:left="0" w:firstLine="0"/>
              <w:jc w:val="center"/>
              <w:rPr>
                <w:rFonts w:ascii="宋体" w:hAnsi="宋体" w:cs="宋体"/>
                <w:color w:val="auto"/>
                <w:sz w:val="28"/>
                <w:szCs w:val="28"/>
                <w:highlight w:val="none"/>
              </w:rPr>
            </w:pPr>
          </w:p>
        </w:tc>
        <w:tc>
          <w:tcPr>
            <w:tcW w:w="1455" w:type="dxa"/>
            <w:noWrap w:val="0"/>
            <w:tcMar>
              <w:top w:w="57" w:type="dxa"/>
              <w:left w:w="57" w:type="dxa"/>
              <w:bottom w:w="57" w:type="dxa"/>
              <w:right w:w="57" w:type="dxa"/>
            </w:tcMar>
            <w:vAlign w:val="center"/>
          </w:tcPr>
          <w:p w14:paraId="212E2E9E">
            <w:pPr>
              <w:pStyle w:val="48"/>
              <w:keepNext w:val="0"/>
              <w:keepLines w:val="0"/>
              <w:pageBreakBefore w:val="0"/>
              <w:widowControl w:val="0"/>
              <w:spacing w:after="0" w:line="320" w:lineRule="exact"/>
              <w:ind w:left="0" w:firstLine="0"/>
              <w:jc w:val="center"/>
              <w:rPr>
                <w:rFonts w:ascii="宋体" w:hAnsi="宋体" w:cs="宋体"/>
                <w:color w:val="auto"/>
                <w:sz w:val="28"/>
                <w:szCs w:val="28"/>
                <w:highlight w:val="none"/>
              </w:rPr>
            </w:pPr>
          </w:p>
        </w:tc>
        <w:tc>
          <w:tcPr>
            <w:tcW w:w="855" w:type="dxa"/>
            <w:noWrap w:val="0"/>
            <w:tcMar>
              <w:top w:w="57" w:type="dxa"/>
              <w:left w:w="57" w:type="dxa"/>
              <w:bottom w:w="57" w:type="dxa"/>
              <w:right w:w="57" w:type="dxa"/>
            </w:tcMar>
            <w:vAlign w:val="center"/>
          </w:tcPr>
          <w:p w14:paraId="064AFEE4">
            <w:pPr>
              <w:pStyle w:val="48"/>
              <w:keepNext w:val="0"/>
              <w:keepLines w:val="0"/>
              <w:pageBreakBefore w:val="0"/>
              <w:widowControl w:val="0"/>
              <w:spacing w:after="0" w:line="320" w:lineRule="exact"/>
              <w:ind w:left="0" w:firstLine="0"/>
              <w:jc w:val="center"/>
              <w:rPr>
                <w:rFonts w:ascii="宋体" w:hAnsi="宋体" w:cs="宋体"/>
                <w:color w:val="auto"/>
                <w:sz w:val="28"/>
                <w:szCs w:val="28"/>
                <w:highlight w:val="none"/>
              </w:rPr>
            </w:pPr>
          </w:p>
        </w:tc>
        <w:tc>
          <w:tcPr>
            <w:tcW w:w="840" w:type="dxa"/>
            <w:noWrap w:val="0"/>
            <w:tcMar>
              <w:top w:w="57" w:type="dxa"/>
              <w:left w:w="57" w:type="dxa"/>
              <w:bottom w:w="57" w:type="dxa"/>
              <w:right w:w="57" w:type="dxa"/>
            </w:tcMar>
            <w:vAlign w:val="center"/>
          </w:tcPr>
          <w:p w14:paraId="5CA73385">
            <w:pPr>
              <w:keepNext w:val="0"/>
              <w:keepLines w:val="0"/>
              <w:pageBreakBefore w:val="0"/>
              <w:widowControl w:val="0"/>
              <w:spacing w:line="320" w:lineRule="exact"/>
              <w:ind w:left="0"/>
              <w:jc w:val="center"/>
              <w:rPr>
                <w:rFonts w:ascii="宋体" w:hAnsi="宋体" w:cs="宋体"/>
                <w:color w:val="auto"/>
                <w:sz w:val="28"/>
                <w:szCs w:val="28"/>
                <w:highlight w:val="none"/>
              </w:rPr>
            </w:pPr>
          </w:p>
        </w:tc>
        <w:tc>
          <w:tcPr>
            <w:tcW w:w="1064" w:type="dxa"/>
            <w:noWrap w:val="0"/>
            <w:tcMar>
              <w:top w:w="57" w:type="dxa"/>
              <w:left w:w="57" w:type="dxa"/>
              <w:bottom w:w="57" w:type="dxa"/>
              <w:right w:w="57" w:type="dxa"/>
            </w:tcMar>
            <w:vAlign w:val="center"/>
          </w:tcPr>
          <w:p w14:paraId="3C0A11FA">
            <w:pPr>
              <w:keepNext w:val="0"/>
              <w:keepLines w:val="0"/>
              <w:pageBreakBefore w:val="0"/>
              <w:widowControl w:val="0"/>
              <w:spacing w:line="320" w:lineRule="exact"/>
              <w:ind w:left="0"/>
              <w:jc w:val="center"/>
              <w:rPr>
                <w:rFonts w:ascii="宋体" w:hAnsi="宋体" w:cs="宋体"/>
                <w:color w:val="auto"/>
                <w:sz w:val="28"/>
                <w:szCs w:val="28"/>
                <w:highlight w:val="none"/>
              </w:rPr>
            </w:pPr>
          </w:p>
        </w:tc>
        <w:tc>
          <w:tcPr>
            <w:tcW w:w="945" w:type="dxa"/>
            <w:noWrap w:val="0"/>
            <w:tcMar>
              <w:top w:w="57" w:type="dxa"/>
              <w:left w:w="57" w:type="dxa"/>
              <w:bottom w:w="57" w:type="dxa"/>
              <w:right w:w="57" w:type="dxa"/>
            </w:tcMar>
            <w:vAlign w:val="center"/>
          </w:tcPr>
          <w:p w14:paraId="2C5FB998">
            <w:pPr>
              <w:pStyle w:val="48"/>
              <w:keepNext w:val="0"/>
              <w:keepLines w:val="0"/>
              <w:pageBreakBefore w:val="0"/>
              <w:widowControl w:val="0"/>
              <w:spacing w:after="0" w:line="320" w:lineRule="exact"/>
              <w:ind w:left="0" w:firstLine="0"/>
              <w:jc w:val="center"/>
              <w:rPr>
                <w:rFonts w:ascii="宋体" w:hAnsi="宋体" w:cs="宋体"/>
                <w:color w:val="auto"/>
                <w:sz w:val="28"/>
                <w:szCs w:val="28"/>
                <w:highlight w:val="none"/>
              </w:rPr>
            </w:pPr>
          </w:p>
        </w:tc>
        <w:tc>
          <w:tcPr>
            <w:tcW w:w="720" w:type="dxa"/>
            <w:noWrap w:val="0"/>
            <w:tcMar>
              <w:top w:w="57" w:type="dxa"/>
              <w:left w:w="57" w:type="dxa"/>
              <w:bottom w:w="57" w:type="dxa"/>
              <w:right w:w="57" w:type="dxa"/>
            </w:tcMar>
            <w:vAlign w:val="center"/>
          </w:tcPr>
          <w:p w14:paraId="7DEEB50E">
            <w:pPr>
              <w:pStyle w:val="48"/>
              <w:keepNext w:val="0"/>
              <w:keepLines w:val="0"/>
              <w:pageBreakBefore w:val="0"/>
              <w:widowControl w:val="0"/>
              <w:spacing w:after="0" w:line="320" w:lineRule="exact"/>
              <w:ind w:left="0" w:firstLine="0"/>
              <w:jc w:val="center"/>
              <w:rPr>
                <w:rFonts w:ascii="宋体" w:hAnsi="宋体" w:cs="宋体"/>
                <w:color w:val="auto"/>
                <w:sz w:val="28"/>
                <w:szCs w:val="28"/>
                <w:highlight w:val="none"/>
              </w:rPr>
            </w:pPr>
          </w:p>
        </w:tc>
        <w:tc>
          <w:tcPr>
            <w:tcW w:w="840" w:type="dxa"/>
            <w:noWrap w:val="0"/>
            <w:tcMar>
              <w:top w:w="57" w:type="dxa"/>
              <w:left w:w="57" w:type="dxa"/>
              <w:bottom w:w="57" w:type="dxa"/>
              <w:right w:w="57" w:type="dxa"/>
            </w:tcMar>
            <w:vAlign w:val="center"/>
          </w:tcPr>
          <w:p w14:paraId="703688A5">
            <w:pPr>
              <w:pStyle w:val="48"/>
              <w:keepNext w:val="0"/>
              <w:keepLines w:val="0"/>
              <w:pageBreakBefore w:val="0"/>
              <w:widowControl w:val="0"/>
              <w:spacing w:after="0" w:line="320" w:lineRule="exact"/>
              <w:ind w:left="0" w:firstLine="0"/>
              <w:jc w:val="center"/>
              <w:rPr>
                <w:rFonts w:ascii="宋体" w:hAnsi="宋体" w:cs="宋体"/>
                <w:color w:val="auto"/>
                <w:sz w:val="28"/>
                <w:szCs w:val="28"/>
                <w:highlight w:val="none"/>
              </w:rPr>
            </w:pPr>
          </w:p>
        </w:tc>
        <w:tc>
          <w:tcPr>
            <w:tcW w:w="840" w:type="dxa"/>
            <w:noWrap w:val="0"/>
            <w:tcMar>
              <w:top w:w="57" w:type="dxa"/>
              <w:left w:w="57" w:type="dxa"/>
              <w:bottom w:w="57" w:type="dxa"/>
              <w:right w:w="57" w:type="dxa"/>
            </w:tcMar>
            <w:vAlign w:val="center"/>
          </w:tcPr>
          <w:p w14:paraId="120A8B4F">
            <w:pPr>
              <w:pStyle w:val="48"/>
              <w:keepNext w:val="0"/>
              <w:keepLines w:val="0"/>
              <w:pageBreakBefore w:val="0"/>
              <w:widowControl w:val="0"/>
              <w:spacing w:after="0" w:line="320" w:lineRule="exact"/>
              <w:ind w:left="0" w:firstLine="0"/>
              <w:jc w:val="center"/>
              <w:rPr>
                <w:rFonts w:ascii="宋体" w:hAnsi="宋体" w:cs="宋体"/>
                <w:color w:val="auto"/>
                <w:sz w:val="28"/>
                <w:szCs w:val="28"/>
                <w:highlight w:val="none"/>
              </w:rPr>
            </w:pPr>
          </w:p>
        </w:tc>
      </w:tr>
      <w:tr w14:paraId="0B2DF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81" w:type="dxa"/>
            <w:noWrap w:val="0"/>
            <w:tcMar>
              <w:top w:w="57" w:type="dxa"/>
              <w:left w:w="57" w:type="dxa"/>
              <w:bottom w:w="57" w:type="dxa"/>
              <w:right w:w="57" w:type="dxa"/>
            </w:tcMar>
            <w:vAlign w:val="center"/>
          </w:tcPr>
          <w:p w14:paraId="49F4AB64">
            <w:pPr>
              <w:pStyle w:val="48"/>
              <w:keepNext w:val="0"/>
              <w:keepLines w:val="0"/>
              <w:pageBreakBefore w:val="0"/>
              <w:widowControl w:val="0"/>
              <w:spacing w:after="0" w:line="320" w:lineRule="exact"/>
              <w:ind w:left="0"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2</w:t>
            </w:r>
          </w:p>
        </w:tc>
        <w:tc>
          <w:tcPr>
            <w:tcW w:w="1560" w:type="dxa"/>
            <w:noWrap w:val="0"/>
            <w:tcMar>
              <w:top w:w="57" w:type="dxa"/>
              <w:left w:w="57" w:type="dxa"/>
              <w:bottom w:w="57" w:type="dxa"/>
              <w:right w:w="57" w:type="dxa"/>
            </w:tcMar>
            <w:vAlign w:val="center"/>
          </w:tcPr>
          <w:p w14:paraId="7B8EA923">
            <w:pPr>
              <w:keepNext w:val="0"/>
              <w:keepLines w:val="0"/>
              <w:pageBreakBefore w:val="0"/>
              <w:widowControl w:val="0"/>
              <w:spacing w:line="320" w:lineRule="exact"/>
              <w:ind w:left="0"/>
              <w:jc w:val="center"/>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p>
        </w:tc>
        <w:tc>
          <w:tcPr>
            <w:tcW w:w="1455" w:type="dxa"/>
            <w:noWrap w:val="0"/>
            <w:tcMar>
              <w:top w:w="57" w:type="dxa"/>
              <w:left w:w="57" w:type="dxa"/>
              <w:bottom w:w="57" w:type="dxa"/>
              <w:right w:w="57" w:type="dxa"/>
            </w:tcMar>
            <w:vAlign w:val="center"/>
          </w:tcPr>
          <w:p w14:paraId="20364098">
            <w:pPr>
              <w:pStyle w:val="48"/>
              <w:keepNext w:val="0"/>
              <w:keepLines w:val="0"/>
              <w:pageBreakBefore w:val="0"/>
              <w:widowControl w:val="0"/>
              <w:spacing w:after="0" w:line="320" w:lineRule="exact"/>
              <w:ind w:left="0" w:firstLine="0"/>
              <w:jc w:val="center"/>
              <w:rPr>
                <w:rFonts w:ascii="宋体" w:hAnsi="宋体" w:cs="宋体"/>
                <w:color w:val="auto"/>
                <w:sz w:val="28"/>
                <w:szCs w:val="28"/>
                <w:highlight w:val="none"/>
              </w:rPr>
            </w:pPr>
          </w:p>
        </w:tc>
        <w:tc>
          <w:tcPr>
            <w:tcW w:w="855" w:type="dxa"/>
            <w:noWrap w:val="0"/>
            <w:tcMar>
              <w:top w:w="57" w:type="dxa"/>
              <w:left w:w="57" w:type="dxa"/>
              <w:bottom w:w="57" w:type="dxa"/>
              <w:right w:w="57" w:type="dxa"/>
            </w:tcMar>
            <w:vAlign w:val="center"/>
          </w:tcPr>
          <w:p w14:paraId="494527CB">
            <w:pPr>
              <w:pStyle w:val="48"/>
              <w:keepNext w:val="0"/>
              <w:keepLines w:val="0"/>
              <w:pageBreakBefore w:val="0"/>
              <w:widowControl w:val="0"/>
              <w:spacing w:after="0" w:line="320" w:lineRule="exact"/>
              <w:ind w:left="0" w:firstLine="0"/>
              <w:jc w:val="center"/>
              <w:rPr>
                <w:rFonts w:ascii="宋体" w:hAnsi="宋体" w:cs="宋体"/>
                <w:color w:val="auto"/>
                <w:sz w:val="28"/>
                <w:szCs w:val="28"/>
                <w:highlight w:val="none"/>
              </w:rPr>
            </w:pPr>
          </w:p>
        </w:tc>
        <w:tc>
          <w:tcPr>
            <w:tcW w:w="840" w:type="dxa"/>
            <w:noWrap w:val="0"/>
            <w:tcMar>
              <w:top w:w="57" w:type="dxa"/>
              <w:left w:w="57" w:type="dxa"/>
              <w:bottom w:w="57" w:type="dxa"/>
              <w:right w:w="57" w:type="dxa"/>
            </w:tcMar>
            <w:vAlign w:val="center"/>
          </w:tcPr>
          <w:p w14:paraId="36CF326F">
            <w:pPr>
              <w:keepNext w:val="0"/>
              <w:keepLines w:val="0"/>
              <w:pageBreakBefore w:val="0"/>
              <w:widowControl w:val="0"/>
              <w:spacing w:line="320" w:lineRule="exact"/>
              <w:ind w:left="0"/>
              <w:jc w:val="center"/>
              <w:rPr>
                <w:rFonts w:ascii="宋体" w:hAnsi="宋体" w:cs="宋体"/>
                <w:color w:val="auto"/>
                <w:sz w:val="28"/>
                <w:szCs w:val="28"/>
                <w:highlight w:val="none"/>
              </w:rPr>
            </w:pPr>
          </w:p>
        </w:tc>
        <w:tc>
          <w:tcPr>
            <w:tcW w:w="1064" w:type="dxa"/>
            <w:noWrap w:val="0"/>
            <w:tcMar>
              <w:top w:w="57" w:type="dxa"/>
              <w:left w:w="57" w:type="dxa"/>
              <w:bottom w:w="57" w:type="dxa"/>
              <w:right w:w="57" w:type="dxa"/>
            </w:tcMar>
            <w:vAlign w:val="center"/>
          </w:tcPr>
          <w:p w14:paraId="471B10A3">
            <w:pPr>
              <w:keepNext w:val="0"/>
              <w:keepLines w:val="0"/>
              <w:pageBreakBefore w:val="0"/>
              <w:widowControl w:val="0"/>
              <w:spacing w:line="320" w:lineRule="exact"/>
              <w:ind w:left="0"/>
              <w:jc w:val="center"/>
              <w:rPr>
                <w:rFonts w:ascii="宋体" w:hAnsi="宋体" w:cs="宋体"/>
                <w:color w:val="auto"/>
                <w:sz w:val="28"/>
                <w:szCs w:val="28"/>
                <w:highlight w:val="none"/>
              </w:rPr>
            </w:pPr>
          </w:p>
        </w:tc>
        <w:tc>
          <w:tcPr>
            <w:tcW w:w="945" w:type="dxa"/>
            <w:noWrap w:val="0"/>
            <w:tcMar>
              <w:top w:w="57" w:type="dxa"/>
              <w:left w:w="57" w:type="dxa"/>
              <w:bottom w:w="57" w:type="dxa"/>
              <w:right w:w="57" w:type="dxa"/>
            </w:tcMar>
            <w:vAlign w:val="center"/>
          </w:tcPr>
          <w:p w14:paraId="054D77D8">
            <w:pPr>
              <w:pStyle w:val="48"/>
              <w:keepNext w:val="0"/>
              <w:keepLines w:val="0"/>
              <w:pageBreakBefore w:val="0"/>
              <w:widowControl w:val="0"/>
              <w:spacing w:after="0" w:line="320" w:lineRule="exact"/>
              <w:ind w:left="0" w:firstLine="0"/>
              <w:jc w:val="center"/>
              <w:rPr>
                <w:rFonts w:ascii="宋体" w:hAnsi="宋体" w:cs="宋体"/>
                <w:color w:val="auto"/>
                <w:sz w:val="28"/>
                <w:szCs w:val="28"/>
                <w:highlight w:val="none"/>
              </w:rPr>
            </w:pPr>
          </w:p>
        </w:tc>
        <w:tc>
          <w:tcPr>
            <w:tcW w:w="720" w:type="dxa"/>
            <w:noWrap w:val="0"/>
            <w:tcMar>
              <w:top w:w="57" w:type="dxa"/>
              <w:left w:w="57" w:type="dxa"/>
              <w:bottom w:w="57" w:type="dxa"/>
              <w:right w:w="57" w:type="dxa"/>
            </w:tcMar>
            <w:vAlign w:val="center"/>
          </w:tcPr>
          <w:p w14:paraId="5EDAB9F9">
            <w:pPr>
              <w:pStyle w:val="48"/>
              <w:keepNext w:val="0"/>
              <w:keepLines w:val="0"/>
              <w:pageBreakBefore w:val="0"/>
              <w:widowControl w:val="0"/>
              <w:spacing w:after="0" w:line="320" w:lineRule="exact"/>
              <w:ind w:left="0" w:firstLine="0"/>
              <w:jc w:val="center"/>
              <w:rPr>
                <w:rFonts w:ascii="宋体" w:hAnsi="宋体" w:cs="宋体"/>
                <w:color w:val="auto"/>
                <w:sz w:val="28"/>
                <w:szCs w:val="28"/>
                <w:highlight w:val="none"/>
              </w:rPr>
            </w:pPr>
          </w:p>
        </w:tc>
        <w:tc>
          <w:tcPr>
            <w:tcW w:w="840" w:type="dxa"/>
            <w:noWrap w:val="0"/>
            <w:tcMar>
              <w:top w:w="57" w:type="dxa"/>
              <w:left w:w="57" w:type="dxa"/>
              <w:bottom w:w="57" w:type="dxa"/>
              <w:right w:w="57" w:type="dxa"/>
            </w:tcMar>
            <w:vAlign w:val="center"/>
          </w:tcPr>
          <w:p w14:paraId="0A14D9F9">
            <w:pPr>
              <w:pStyle w:val="48"/>
              <w:keepNext w:val="0"/>
              <w:keepLines w:val="0"/>
              <w:pageBreakBefore w:val="0"/>
              <w:widowControl w:val="0"/>
              <w:spacing w:after="0" w:line="320" w:lineRule="exact"/>
              <w:ind w:left="0" w:firstLine="0"/>
              <w:jc w:val="center"/>
              <w:rPr>
                <w:rFonts w:ascii="宋体" w:hAnsi="宋体" w:cs="宋体"/>
                <w:color w:val="auto"/>
                <w:sz w:val="28"/>
                <w:szCs w:val="28"/>
                <w:highlight w:val="none"/>
              </w:rPr>
            </w:pPr>
          </w:p>
        </w:tc>
        <w:tc>
          <w:tcPr>
            <w:tcW w:w="840" w:type="dxa"/>
            <w:noWrap w:val="0"/>
            <w:tcMar>
              <w:top w:w="57" w:type="dxa"/>
              <w:left w:w="57" w:type="dxa"/>
              <w:bottom w:w="57" w:type="dxa"/>
              <w:right w:w="57" w:type="dxa"/>
            </w:tcMar>
            <w:vAlign w:val="center"/>
          </w:tcPr>
          <w:p w14:paraId="34137A8E">
            <w:pPr>
              <w:pStyle w:val="48"/>
              <w:keepNext w:val="0"/>
              <w:keepLines w:val="0"/>
              <w:pageBreakBefore w:val="0"/>
              <w:widowControl w:val="0"/>
              <w:spacing w:after="0" w:line="320" w:lineRule="exact"/>
              <w:ind w:left="0" w:firstLine="0"/>
              <w:jc w:val="center"/>
              <w:rPr>
                <w:rFonts w:ascii="宋体" w:hAnsi="宋体" w:cs="宋体"/>
                <w:color w:val="auto"/>
                <w:sz w:val="28"/>
                <w:szCs w:val="28"/>
                <w:highlight w:val="none"/>
              </w:rPr>
            </w:pPr>
          </w:p>
        </w:tc>
      </w:tr>
      <w:tr w14:paraId="55740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960" w:type="dxa"/>
            <w:gridSpan w:val="9"/>
            <w:noWrap w:val="0"/>
            <w:tcMar>
              <w:top w:w="57" w:type="dxa"/>
              <w:left w:w="57" w:type="dxa"/>
              <w:bottom w:w="57" w:type="dxa"/>
              <w:right w:w="57" w:type="dxa"/>
            </w:tcMar>
            <w:vAlign w:val="center"/>
          </w:tcPr>
          <w:p w14:paraId="07D7FBB1">
            <w:pPr>
              <w:pStyle w:val="48"/>
              <w:keepNext w:val="0"/>
              <w:keepLines w:val="0"/>
              <w:pageBreakBefore w:val="0"/>
              <w:widowControl w:val="0"/>
              <w:spacing w:after="0" w:line="320" w:lineRule="exact"/>
              <w:ind w:left="0"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合计（元）</w:t>
            </w:r>
          </w:p>
        </w:tc>
        <w:tc>
          <w:tcPr>
            <w:tcW w:w="840" w:type="dxa"/>
            <w:noWrap w:val="0"/>
            <w:tcMar>
              <w:top w:w="57" w:type="dxa"/>
              <w:left w:w="57" w:type="dxa"/>
              <w:bottom w:w="57" w:type="dxa"/>
              <w:right w:w="57" w:type="dxa"/>
            </w:tcMar>
            <w:vAlign w:val="center"/>
          </w:tcPr>
          <w:p w14:paraId="49DAB1E3">
            <w:pPr>
              <w:pStyle w:val="48"/>
              <w:keepNext w:val="0"/>
              <w:keepLines w:val="0"/>
              <w:pageBreakBefore w:val="0"/>
              <w:widowControl w:val="0"/>
              <w:spacing w:after="0" w:line="320" w:lineRule="exact"/>
              <w:ind w:left="0" w:firstLine="0"/>
              <w:jc w:val="center"/>
              <w:rPr>
                <w:rFonts w:ascii="宋体" w:hAnsi="宋体" w:cs="宋体"/>
                <w:color w:val="auto"/>
                <w:sz w:val="28"/>
                <w:szCs w:val="28"/>
                <w:highlight w:val="none"/>
              </w:rPr>
            </w:pPr>
          </w:p>
        </w:tc>
      </w:tr>
    </w:tbl>
    <w:p w14:paraId="648D5633">
      <w:pPr>
        <w:pStyle w:val="332"/>
        <w:keepNext w:val="0"/>
        <w:keepLines w:val="0"/>
        <w:pageBreakBefore w:val="0"/>
        <w:widowControl w:val="0"/>
        <w:spacing w:line="460" w:lineRule="exact"/>
        <w:ind w:left="0" w:firstLine="560"/>
        <w:rPr>
          <w:rFonts w:hAnsi="宋体" w:cs="宋体"/>
          <w:color w:val="auto"/>
          <w:sz w:val="28"/>
          <w:szCs w:val="28"/>
          <w:highlight w:val="none"/>
        </w:rPr>
      </w:pPr>
      <w:r>
        <w:rPr>
          <w:rFonts w:hint="eastAsia" w:hAnsi="宋体" w:cs="宋体"/>
          <w:color w:val="auto"/>
          <w:sz w:val="28"/>
          <w:szCs w:val="28"/>
          <w:highlight w:val="none"/>
        </w:rPr>
        <w:t>1.2 下列文件为本合同不可分割部分，与本合同具有同等法律效力：</w:t>
      </w:r>
    </w:p>
    <w:p w14:paraId="2C1B788C">
      <w:pPr>
        <w:pStyle w:val="332"/>
        <w:keepNext w:val="0"/>
        <w:keepLines w:val="0"/>
        <w:pageBreakBefore w:val="0"/>
        <w:widowControl w:val="0"/>
        <w:spacing w:line="460" w:lineRule="exact"/>
        <w:ind w:left="0" w:firstLine="560"/>
        <w:rPr>
          <w:rFonts w:hAnsi="宋体" w:cs="宋体"/>
          <w:color w:val="auto"/>
          <w:sz w:val="28"/>
          <w:szCs w:val="28"/>
          <w:highlight w:val="none"/>
        </w:rPr>
      </w:pPr>
      <w:r>
        <w:rPr>
          <w:rFonts w:hint="eastAsia" w:hAnsi="宋体" w:cs="宋体"/>
          <w:color w:val="auto"/>
          <w:sz w:val="28"/>
          <w:szCs w:val="28"/>
          <w:highlight w:val="none"/>
        </w:rPr>
        <w:t>1.2.1 中标（成交）通知书；</w:t>
      </w:r>
    </w:p>
    <w:p w14:paraId="2278A91A">
      <w:pPr>
        <w:pStyle w:val="332"/>
        <w:keepNext w:val="0"/>
        <w:keepLines w:val="0"/>
        <w:pageBreakBefore w:val="0"/>
        <w:widowControl w:val="0"/>
        <w:spacing w:line="460" w:lineRule="exact"/>
        <w:ind w:left="0" w:firstLine="560"/>
        <w:rPr>
          <w:rFonts w:hAnsi="宋体" w:cs="宋体"/>
          <w:color w:val="auto"/>
          <w:sz w:val="28"/>
          <w:szCs w:val="28"/>
          <w:highlight w:val="none"/>
        </w:rPr>
      </w:pPr>
      <w:r>
        <w:rPr>
          <w:rFonts w:hint="eastAsia" w:hAnsi="宋体" w:cs="宋体"/>
          <w:color w:val="auto"/>
          <w:sz w:val="28"/>
          <w:szCs w:val="28"/>
          <w:highlight w:val="none"/>
        </w:rPr>
        <w:t>1.2.2 甲方的招标（采购）文件及其它补充文件；</w:t>
      </w:r>
    </w:p>
    <w:p w14:paraId="65146D92">
      <w:pPr>
        <w:pStyle w:val="332"/>
        <w:keepNext w:val="0"/>
        <w:keepLines w:val="0"/>
        <w:pageBreakBefore w:val="0"/>
        <w:widowControl w:val="0"/>
        <w:spacing w:line="460" w:lineRule="exact"/>
        <w:ind w:left="0" w:firstLine="560"/>
        <w:rPr>
          <w:rFonts w:hAnsi="宋体" w:cs="宋体"/>
          <w:color w:val="auto"/>
          <w:sz w:val="28"/>
          <w:szCs w:val="28"/>
          <w:highlight w:val="none"/>
        </w:rPr>
      </w:pPr>
      <w:r>
        <w:rPr>
          <w:rFonts w:hint="eastAsia" w:hAnsi="宋体" w:cs="宋体"/>
          <w:color w:val="auto"/>
          <w:sz w:val="28"/>
          <w:szCs w:val="28"/>
          <w:highlight w:val="none"/>
        </w:rPr>
        <w:t>1.2.3 乙方的投标（响应）文件及其它补充文件；</w:t>
      </w:r>
    </w:p>
    <w:p w14:paraId="5DB463D7">
      <w:pPr>
        <w:pStyle w:val="332"/>
        <w:keepNext w:val="0"/>
        <w:keepLines w:val="0"/>
        <w:pageBreakBefore w:val="0"/>
        <w:widowControl w:val="0"/>
        <w:spacing w:line="460" w:lineRule="exact"/>
        <w:ind w:left="0" w:firstLine="560"/>
        <w:rPr>
          <w:rFonts w:hAnsi="宋体" w:cs="宋体"/>
          <w:color w:val="auto"/>
          <w:sz w:val="28"/>
          <w:szCs w:val="28"/>
          <w:highlight w:val="none"/>
        </w:rPr>
      </w:pPr>
      <w:r>
        <w:rPr>
          <w:rFonts w:hint="eastAsia" w:hAnsi="宋体" w:cs="宋体"/>
          <w:color w:val="auto"/>
          <w:sz w:val="28"/>
          <w:szCs w:val="28"/>
          <w:highlight w:val="none"/>
        </w:rPr>
        <w:t>1.2.4 乙方在采购过程中所作的其他书面承诺、声明、澄清等。</w:t>
      </w:r>
    </w:p>
    <w:p w14:paraId="1D85266D">
      <w:pPr>
        <w:pStyle w:val="332"/>
        <w:keepNext w:val="0"/>
        <w:keepLines w:val="0"/>
        <w:pageBreakBefore w:val="0"/>
        <w:widowControl w:val="0"/>
        <w:spacing w:line="460" w:lineRule="exact"/>
        <w:ind w:left="0" w:firstLine="562"/>
        <w:rPr>
          <w:rFonts w:hAnsi="宋体" w:cs="宋体"/>
          <w:b/>
          <w:color w:val="auto"/>
          <w:sz w:val="28"/>
          <w:szCs w:val="28"/>
          <w:highlight w:val="none"/>
        </w:rPr>
      </w:pPr>
      <w:r>
        <w:rPr>
          <w:rFonts w:hint="eastAsia" w:hAnsi="宋体" w:cs="宋体"/>
          <w:b/>
          <w:color w:val="auto"/>
          <w:sz w:val="28"/>
          <w:szCs w:val="28"/>
          <w:highlight w:val="none"/>
        </w:rPr>
        <w:t>二、合同金额与支付</w:t>
      </w:r>
    </w:p>
    <w:p w14:paraId="78B9305F">
      <w:pPr>
        <w:pStyle w:val="332"/>
        <w:keepNext w:val="0"/>
        <w:keepLines w:val="0"/>
        <w:pageBreakBefore w:val="0"/>
        <w:widowControl w:val="0"/>
        <w:spacing w:line="460" w:lineRule="exact"/>
        <w:ind w:left="0" w:firstLine="560"/>
        <w:rPr>
          <w:rFonts w:hAnsi="宋体" w:cs="宋体"/>
          <w:color w:val="auto"/>
          <w:sz w:val="28"/>
          <w:szCs w:val="28"/>
          <w:highlight w:val="none"/>
          <w:u w:val="single"/>
        </w:rPr>
      </w:pPr>
      <w:r>
        <w:rPr>
          <w:rFonts w:hint="eastAsia" w:hAnsi="宋体" w:cs="宋体"/>
          <w:color w:val="auto"/>
          <w:sz w:val="28"/>
          <w:szCs w:val="28"/>
          <w:highlight w:val="none"/>
        </w:rPr>
        <w:t>2.1 本合同总金额为（大写）：</w:t>
      </w:r>
      <w:r>
        <w:rPr>
          <w:rFonts w:hint="eastAsia" w:hAnsi="宋体" w:cs="宋体"/>
          <w:color w:val="auto"/>
          <w:sz w:val="28"/>
          <w:szCs w:val="28"/>
          <w:highlight w:val="none"/>
          <w:u w:val="single"/>
        </w:rPr>
        <w:t xml:space="preserve">                                          </w:t>
      </w:r>
    </w:p>
    <w:p w14:paraId="30DEA96C">
      <w:pPr>
        <w:pStyle w:val="332"/>
        <w:keepNext w:val="0"/>
        <w:keepLines w:val="0"/>
        <w:pageBreakBefore w:val="0"/>
        <w:widowControl w:val="0"/>
        <w:spacing w:line="460" w:lineRule="exact"/>
        <w:ind w:left="0" w:firstLine="560"/>
        <w:rPr>
          <w:rFonts w:hAnsi="宋体" w:cs="宋体"/>
          <w:color w:val="auto"/>
          <w:sz w:val="28"/>
          <w:szCs w:val="28"/>
          <w:highlight w:val="none"/>
        </w:rPr>
      </w:pPr>
      <w:r>
        <w:rPr>
          <w:rFonts w:hint="eastAsia" w:hAnsi="宋体" w:cs="宋体"/>
          <w:color w:val="auto"/>
          <w:sz w:val="28"/>
          <w:szCs w:val="28"/>
          <w:highlight w:val="none"/>
        </w:rPr>
        <w:t>（小写</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元）（注明币种）。</w:t>
      </w:r>
    </w:p>
    <w:p w14:paraId="365F25D1">
      <w:pPr>
        <w:pStyle w:val="332"/>
        <w:keepNext w:val="0"/>
        <w:keepLines w:val="0"/>
        <w:pageBreakBefore w:val="0"/>
        <w:widowControl w:val="0"/>
        <w:spacing w:line="460" w:lineRule="exact"/>
        <w:ind w:left="0" w:firstLine="560"/>
        <w:rPr>
          <w:rFonts w:hAnsi="宋体" w:cs="宋体"/>
          <w:color w:val="auto"/>
          <w:sz w:val="28"/>
          <w:szCs w:val="28"/>
          <w:highlight w:val="none"/>
        </w:rPr>
      </w:pPr>
      <w:r>
        <w:rPr>
          <w:rFonts w:hint="eastAsia" w:hAnsi="宋体" w:cs="宋体"/>
          <w:color w:val="auto"/>
          <w:sz w:val="28"/>
          <w:szCs w:val="28"/>
          <w:highlight w:val="none"/>
        </w:rPr>
        <w:t>2.2 合同金额包含项目实施所有费用，包含但不限于货物价格、税费、招标范围内所有产品、安装中的相关费用（包括安装过程中损耗、额外材料、设计费等）、辅助设施及配件费、包装、运输、装卸、调试、技术指导、培训、咨询、服务、保险、检测（含且不限于甲醛检测等）、验收合格交付使用之前以及技术和售后服务、免费保修期退运返修等其他所有费用）、验收合格交付使用之前的一切费用，甲方不再另行支付其他费用。</w:t>
      </w:r>
    </w:p>
    <w:p w14:paraId="71844D59">
      <w:pPr>
        <w:pStyle w:val="332"/>
        <w:keepNext w:val="0"/>
        <w:keepLines w:val="0"/>
        <w:pageBreakBefore w:val="0"/>
        <w:widowControl w:val="0"/>
        <w:spacing w:line="460" w:lineRule="exact"/>
        <w:ind w:left="0" w:firstLine="560"/>
        <w:rPr>
          <w:rFonts w:hAnsi="宋体" w:cs="宋体"/>
          <w:color w:val="auto"/>
          <w:sz w:val="28"/>
          <w:szCs w:val="28"/>
          <w:highlight w:val="none"/>
        </w:rPr>
      </w:pPr>
      <w:r>
        <w:rPr>
          <w:rFonts w:hint="eastAsia" w:hAnsi="宋体" w:cs="宋体"/>
          <w:color w:val="auto"/>
          <w:sz w:val="28"/>
          <w:szCs w:val="28"/>
          <w:highlight w:val="none"/>
        </w:rPr>
        <w:t>2.3支付方式：</w:t>
      </w:r>
    </w:p>
    <w:p w14:paraId="6341CBB5">
      <w:pPr>
        <w:pStyle w:val="332"/>
        <w:keepNext w:val="0"/>
        <w:keepLines w:val="0"/>
        <w:pageBreakBefore w:val="0"/>
        <w:widowControl w:val="0"/>
        <w:spacing w:line="460" w:lineRule="exact"/>
        <w:ind w:left="0" w:firstLine="560"/>
        <w:rPr>
          <w:rFonts w:hAnsi="宋体" w:cs="宋体"/>
          <w:color w:val="auto"/>
          <w:sz w:val="28"/>
          <w:szCs w:val="28"/>
          <w:highlight w:val="none"/>
        </w:rPr>
      </w:pPr>
      <w:r>
        <w:rPr>
          <w:rFonts w:hint="eastAsia" w:hAnsi="宋体" w:cs="宋体"/>
          <w:color w:val="auto"/>
          <w:sz w:val="28"/>
          <w:szCs w:val="28"/>
          <w:highlight w:val="none"/>
        </w:rPr>
        <w:t>合同签订后甲方支付合同金额的30%货款，全部货物安装调试完成并经甲方验收合格后，甲方自收到乙方增值税专用发票10个工作日内一次性支付剩余的70%货款。</w:t>
      </w:r>
    </w:p>
    <w:p w14:paraId="49869B91">
      <w:pPr>
        <w:pStyle w:val="332"/>
        <w:keepNext w:val="0"/>
        <w:keepLines w:val="0"/>
        <w:pageBreakBefore w:val="0"/>
        <w:widowControl w:val="0"/>
        <w:spacing w:line="460" w:lineRule="exact"/>
        <w:ind w:left="0" w:firstLine="562"/>
        <w:rPr>
          <w:rFonts w:hAnsi="宋体" w:cs="宋体"/>
          <w:b/>
          <w:color w:val="auto"/>
          <w:sz w:val="28"/>
          <w:szCs w:val="28"/>
          <w:highlight w:val="none"/>
        </w:rPr>
      </w:pPr>
      <w:r>
        <w:rPr>
          <w:rFonts w:hint="eastAsia" w:hAnsi="宋体" w:cs="宋体"/>
          <w:b/>
          <w:color w:val="auto"/>
          <w:sz w:val="28"/>
          <w:szCs w:val="28"/>
          <w:highlight w:val="none"/>
        </w:rPr>
        <w:t>三、履约保证金</w:t>
      </w:r>
    </w:p>
    <w:p w14:paraId="07B52A09">
      <w:pPr>
        <w:pStyle w:val="332"/>
        <w:keepNext w:val="0"/>
        <w:keepLines w:val="0"/>
        <w:pageBreakBefore w:val="0"/>
        <w:widowControl w:val="0"/>
        <w:spacing w:line="460" w:lineRule="exact"/>
        <w:ind w:left="0" w:firstLine="560"/>
        <w:rPr>
          <w:rFonts w:hAnsi="宋体" w:cs="宋体"/>
          <w:color w:val="auto"/>
          <w:sz w:val="28"/>
          <w:szCs w:val="28"/>
          <w:highlight w:val="none"/>
        </w:rPr>
      </w:pPr>
      <w:r>
        <w:rPr>
          <w:rFonts w:hint="eastAsia" w:hAnsi="宋体" w:cs="宋体"/>
          <w:color w:val="auto"/>
          <w:sz w:val="28"/>
          <w:szCs w:val="28"/>
          <w:highlight w:val="none"/>
        </w:rPr>
        <w:t>3.1本项目中标后的履约保证金为项目合同价的10%，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p>
    <w:p w14:paraId="29FC72C5">
      <w:pPr>
        <w:pStyle w:val="332"/>
        <w:keepNext w:val="0"/>
        <w:keepLines w:val="0"/>
        <w:pageBreakBefore w:val="0"/>
        <w:widowControl w:val="0"/>
        <w:spacing w:line="460" w:lineRule="exact"/>
        <w:ind w:left="0" w:firstLine="560"/>
        <w:rPr>
          <w:rFonts w:hAnsi="宋体" w:cs="宋体"/>
          <w:color w:val="auto"/>
          <w:sz w:val="28"/>
          <w:szCs w:val="28"/>
          <w:highlight w:val="none"/>
        </w:rPr>
      </w:pPr>
      <w:r>
        <w:rPr>
          <w:rFonts w:hint="eastAsia" w:hAnsi="宋体" w:cs="宋体"/>
          <w:color w:val="auto"/>
          <w:sz w:val="28"/>
          <w:szCs w:val="28"/>
          <w:highlight w:val="none"/>
        </w:rPr>
        <w:t>3.2乙方全部履约合同义务，经甲方验收合格无质量、进度等问题的，甲方在本项目质保期满并正常运行后30日内一次性退还履约保证金，甲方若逾期退还履约保证金的，按照逾期部分的每日0.05%支付违约金；</w:t>
      </w:r>
    </w:p>
    <w:p w14:paraId="5F15C965">
      <w:pPr>
        <w:pStyle w:val="332"/>
        <w:keepNext w:val="0"/>
        <w:keepLines w:val="0"/>
        <w:pageBreakBefore w:val="0"/>
        <w:widowControl w:val="0"/>
        <w:spacing w:line="460" w:lineRule="exact"/>
        <w:ind w:left="0" w:firstLine="560"/>
        <w:rPr>
          <w:rFonts w:hAnsi="宋体" w:cs="宋体"/>
          <w:color w:val="auto"/>
          <w:sz w:val="28"/>
          <w:szCs w:val="28"/>
          <w:highlight w:val="none"/>
        </w:rPr>
      </w:pPr>
      <w:bookmarkStart w:id="149" w:name="_Toc10818"/>
      <w:r>
        <w:rPr>
          <w:rFonts w:hint="eastAsia" w:hAnsi="宋体" w:cs="宋体"/>
          <w:color w:val="auto"/>
          <w:sz w:val="28"/>
          <w:szCs w:val="28"/>
          <w:highlight w:val="none"/>
        </w:rPr>
        <w:t>3.3发生以下情况的，履约保证金不予退还或部分退还：</w:t>
      </w:r>
      <w:bookmarkEnd w:id="149"/>
    </w:p>
    <w:p w14:paraId="7DCE5505">
      <w:pPr>
        <w:pStyle w:val="332"/>
        <w:keepNext w:val="0"/>
        <w:keepLines w:val="0"/>
        <w:pageBreakBefore w:val="0"/>
        <w:widowControl w:val="0"/>
        <w:spacing w:line="460" w:lineRule="exact"/>
        <w:ind w:left="0" w:firstLine="560"/>
        <w:rPr>
          <w:rFonts w:hAnsi="宋体" w:cs="宋体"/>
          <w:color w:val="auto"/>
          <w:sz w:val="28"/>
          <w:szCs w:val="28"/>
          <w:highlight w:val="none"/>
        </w:rPr>
      </w:pPr>
      <w:r>
        <w:rPr>
          <w:rFonts w:hint="eastAsia" w:hAnsi="宋体" w:cs="宋体"/>
          <w:color w:val="auto"/>
          <w:sz w:val="28"/>
          <w:szCs w:val="28"/>
          <w:highlight w:val="none"/>
        </w:rPr>
        <w:t>a.签订合同后，乙方不履行合同义务的，甲方有权全额扣除履约保证金，全额不予退还，同时甲方亦有权终止合同，乙方还须承担相应的法律赔偿责任。</w:t>
      </w:r>
    </w:p>
    <w:p w14:paraId="4A2FEED2">
      <w:pPr>
        <w:pStyle w:val="332"/>
        <w:keepNext w:val="0"/>
        <w:keepLines w:val="0"/>
        <w:pageBreakBefore w:val="0"/>
        <w:widowControl w:val="0"/>
        <w:spacing w:line="460" w:lineRule="exact"/>
        <w:ind w:left="0" w:firstLine="560"/>
        <w:rPr>
          <w:rFonts w:hAnsi="宋体" w:cs="宋体"/>
          <w:color w:val="auto"/>
          <w:sz w:val="28"/>
          <w:szCs w:val="28"/>
          <w:highlight w:val="none"/>
        </w:rPr>
      </w:pPr>
      <w:r>
        <w:rPr>
          <w:rFonts w:hint="eastAsia" w:hAnsi="宋体" w:cs="宋体"/>
          <w:color w:val="auto"/>
          <w:sz w:val="28"/>
          <w:szCs w:val="28"/>
          <w:highlight w:val="none"/>
        </w:rPr>
        <w:t>b.乙方在履约过程中发生违约行为，给甲方造成损失的，甲方有权在乙方缴纳的履约保证金中予以扣款，以弥补甲方经济损失，不足的部分乙方另外补齐。</w:t>
      </w:r>
    </w:p>
    <w:p w14:paraId="2FE22A2D">
      <w:pPr>
        <w:pStyle w:val="332"/>
        <w:keepNext w:val="0"/>
        <w:keepLines w:val="0"/>
        <w:pageBreakBefore w:val="0"/>
        <w:widowControl w:val="0"/>
        <w:spacing w:line="460" w:lineRule="exact"/>
        <w:ind w:left="0" w:firstLine="560"/>
        <w:rPr>
          <w:rFonts w:hAnsi="宋体" w:cs="宋体"/>
          <w:color w:val="auto"/>
          <w:sz w:val="28"/>
          <w:szCs w:val="28"/>
          <w:highlight w:val="none"/>
        </w:rPr>
      </w:pPr>
      <w:r>
        <w:rPr>
          <w:rFonts w:hint="eastAsia" w:hAnsi="宋体" w:cs="宋体"/>
          <w:color w:val="auto"/>
          <w:sz w:val="28"/>
          <w:szCs w:val="28"/>
          <w:highlight w:val="none"/>
        </w:rPr>
        <w:t>3.4以履约保函（保险）形式向招标人缴纳的，按照《关于在全省政府采购领域推行电子履约保函（保险）的通知》，登录江苏政府采购网，选择“保险保函”模块，进行相关操作。投标人可登录江苏政府采购网“资料下载”栏目下载“政府采购电子履约（保函）保险操作手册（网址：</w:t>
      </w:r>
      <w:r>
        <w:rPr>
          <w:rFonts w:hint="eastAsia" w:hAnsi="宋体" w:cs="宋体"/>
          <w:color w:val="auto"/>
          <w:sz w:val="28"/>
          <w:szCs w:val="28"/>
          <w:highlight w:val="none"/>
          <w:lang w:eastAsia="zh-CN"/>
        </w:rPr>
        <w:t>http://www.ccgp-jiangsu.gov.cn/jiangsu/zlxz/</w:t>
      </w:r>
      <w:r>
        <w:rPr>
          <w:rFonts w:hint="eastAsia" w:hAnsi="宋体" w:cs="宋体"/>
          <w:color w:val="auto"/>
          <w:sz w:val="28"/>
          <w:szCs w:val="28"/>
          <w:highlight w:val="none"/>
        </w:rPr>
        <w:t>)。</w:t>
      </w:r>
    </w:p>
    <w:p w14:paraId="0BFEB2D1">
      <w:pPr>
        <w:pStyle w:val="332"/>
        <w:keepNext w:val="0"/>
        <w:keepLines w:val="0"/>
        <w:pageBreakBefore w:val="0"/>
        <w:widowControl w:val="0"/>
        <w:spacing w:line="460" w:lineRule="exact"/>
        <w:ind w:left="0" w:firstLine="562"/>
        <w:rPr>
          <w:rFonts w:hAnsi="宋体" w:cs="宋体"/>
          <w:b/>
          <w:color w:val="auto"/>
          <w:sz w:val="28"/>
          <w:szCs w:val="28"/>
          <w:highlight w:val="none"/>
        </w:rPr>
      </w:pPr>
      <w:r>
        <w:rPr>
          <w:rFonts w:hint="eastAsia" w:hAnsi="宋体" w:cs="宋体"/>
          <w:b/>
          <w:color w:val="auto"/>
          <w:sz w:val="28"/>
          <w:szCs w:val="28"/>
          <w:highlight w:val="none"/>
        </w:rPr>
        <w:t>四、转包或分包</w:t>
      </w:r>
    </w:p>
    <w:p w14:paraId="7B1602A9">
      <w:pPr>
        <w:keepNext w:val="0"/>
        <w:keepLines w:val="0"/>
        <w:pageBreakBefore w:val="0"/>
        <w:widowControl w:val="0"/>
        <w:spacing w:line="460" w:lineRule="exact"/>
        <w:ind w:left="0" w:firstLine="560"/>
        <w:rPr>
          <w:rFonts w:ascii="宋体" w:hAnsi="宋体" w:cs="宋体"/>
          <w:color w:val="auto"/>
          <w:sz w:val="28"/>
          <w:szCs w:val="28"/>
          <w:highlight w:val="none"/>
        </w:rPr>
      </w:pPr>
      <w:r>
        <w:rPr>
          <w:rFonts w:hint="eastAsia" w:ascii="宋体" w:hAnsi="宋体" w:cs="宋体"/>
          <w:color w:val="auto"/>
          <w:sz w:val="28"/>
          <w:szCs w:val="28"/>
          <w:highlight w:val="none"/>
        </w:rPr>
        <w:t>4.1本合同范围的货物应由乙方直接供应，不得转让他人供应。</w:t>
      </w:r>
    </w:p>
    <w:p w14:paraId="1C654B03">
      <w:pPr>
        <w:keepNext w:val="0"/>
        <w:keepLines w:val="0"/>
        <w:pageBreakBefore w:val="0"/>
        <w:widowControl w:val="0"/>
        <w:spacing w:line="460" w:lineRule="exact"/>
        <w:ind w:left="0" w:firstLine="560"/>
        <w:rPr>
          <w:rFonts w:ascii="宋体" w:hAnsi="宋体" w:cs="宋体"/>
          <w:color w:val="auto"/>
          <w:sz w:val="28"/>
          <w:szCs w:val="28"/>
          <w:highlight w:val="none"/>
        </w:rPr>
      </w:pPr>
      <w:r>
        <w:rPr>
          <w:rFonts w:hint="eastAsia" w:ascii="宋体" w:hAnsi="宋体" w:cs="宋体"/>
          <w:color w:val="auto"/>
          <w:sz w:val="28"/>
          <w:szCs w:val="28"/>
          <w:highlight w:val="none"/>
        </w:rPr>
        <w:t>4.2 除非得到甲方的书面同意，乙方不得部分分包给他人供应。</w:t>
      </w:r>
    </w:p>
    <w:p w14:paraId="74FFB23C">
      <w:pPr>
        <w:keepNext w:val="0"/>
        <w:keepLines w:val="0"/>
        <w:pageBreakBefore w:val="0"/>
        <w:widowControl w:val="0"/>
        <w:spacing w:line="460" w:lineRule="exact"/>
        <w:ind w:left="0" w:firstLine="560"/>
        <w:rPr>
          <w:rFonts w:ascii="宋体" w:hAnsi="宋体" w:cs="宋体"/>
          <w:color w:val="auto"/>
          <w:sz w:val="28"/>
          <w:szCs w:val="28"/>
          <w:highlight w:val="none"/>
        </w:rPr>
      </w:pPr>
      <w:r>
        <w:rPr>
          <w:rFonts w:hint="eastAsia" w:ascii="宋体" w:hAnsi="宋体" w:cs="宋体"/>
          <w:color w:val="auto"/>
          <w:sz w:val="28"/>
          <w:szCs w:val="28"/>
          <w:highlight w:val="none"/>
        </w:rPr>
        <w:t>4.3如有转让和未经甲方同意的分包行为，甲方有权给予终止合同。</w:t>
      </w:r>
    </w:p>
    <w:p w14:paraId="0C9F4BC4">
      <w:pPr>
        <w:pStyle w:val="332"/>
        <w:keepNext w:val="0"/>
        <w:keepLines w:val="0"/>
        <w:pageBreakBefore w:val="0"/>
        <w:widowControl w:val="0"/>
        <w:spacing w:line="460" w:lineRule="exact"/>
        <w:ind w:left="0" w:firstLine="562"/>
        <w:rPr>
          <w:rFonts w:hAnsi="宋体" w:cs="宋体"/>
          <w:b/>
          <w:color w:val="auto"/>
          <w:sz w:val="28"/>
          <w:szCs w:val="28"/>
          <w:highlight w:val="none"/>
        </w:rPr>
      </w:pPr>
      <w:r>
        <w:rPr>
          <w:rFonts w:hint="eastAsia" w:hAnsi="宋体" w:cs="宋体"/>
          <w:b/>
          <w:color w:val="auto"/>
          <w:sz w:val="28"/>
          <w:szCs w:val="28"/>
          <w:highlight w:val="none"/>
        </w:rPr>
        <w:t>五、技术资料</w:t>
      </w:r>
    </w:p>
    <w:p w14:paraId="77A71169">
      <w:pPr>
        <w:pStyle w:val="332"/>
        <w:keepNext w:val="0"/>
        <w:keepLines w:val="0"/>
        <w:pageBreakBefore w:val="0"/>
        <w:widowControl w:val="0"/>
        <w:spacing w:line="460" w:lineRule="exact"/>
        <w:ind w:left="0" w:firstLine="560"/>
        <w:rPr>
          <w:rFonts w:hAnsi="宋体" w:cs="宋体"/>
          <w:color w:val="auto"/>
          <w:sz w:val="28"/>
          <w:szCs w:val="28"/>
          <w:highlight w:val="none"/>
        </w:rPr>
      </w:pPr>
      <w:r>
        <w:rPr>
          <w:rFonts w:hint="eastAsia" w:hAnsi="宋体" w:cs="宋体"/>
          <w:color w:val="auto"/>
          <w:sz w:val="28"/>
          <w:szCs w:val="28"/>
          <w:highlight w:val="none"/>
        </w:rPr>
        <w:t>5.1乙方应按招标（采购）文件规定的时间向甲方提供有关使用货物的技术资料。</w:t>
      </w:r>
    </w:p>
    <w:p w14:paraId="2A146DEE">
      <w:pPr>
        <w:pStyle w:val="332"/>
        <w:keepNext w:val="0"/>
        <w:keepLines w:val="0"/>
        <w:pageBreakBefore w:val="0"/>
        <w:widowControl w:val="0"/>
        <w:spacing w:line="460" w:lineRule="exact"/>
        <w:ind w:left="0" w:firstLine="560"/>
        <w:rPr>
          <w:rFonts w:hAnsi="宋体" w:cs="宋体"/>
          <w:color w:val="auto"/>
          <w:sz w:val="28"/>
          <w:szCs w:val="28"/>
          <w:highlight w:val="none"/>
        </w:rPr>
      </w:pPr>
      <w:r>
        <w:rPr>
          <w:rFonts w:hint="eastAsia" w:hAnsi="宋体" w:cs="宋体"/>
          <w:color w:val="auto"/>
          <w:sz w:val="28"/>
          <w:szCs w:val="28"/>
          <w:highlight w:val="none"/>
        </w:rPr>
        <w:t>5.2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F5F3252">
      <w:pPr>
        <w:pStyle w:val="332"/>
        <w:keepNext w:val="0"/>
        <w:keepLines w:val="0"/>
        <w:pageBreakBefore w:val="0"/>
        <w:widowControl w:val="0"/>
        <w:spacing w:line="460" w:lineRule="exact"/>
        <w:ind w:left="0" w:firstLine="562"/>
        <w:rPr>
          <w:rFonts w:hAnsi="宋体" w:cs="宋体"/>
          <w:b/>
          <w:color w:val="auto"/>
          <w:sz w:val="28"/>
          <w:szCs w:val="28"/>
          <w:highlight w:val="none"/>
        </w:rPr>
      </w:pPr>
      <w:r>
        <w:rPr>
          <w:rFonts w:hint="eastAsia" w:hAnsi="宋体" w:cs="宋体"/>
          <w:b/>
          <w:color w:val="auto"/>
          <w:sz w:val="28"/>
          <w:szCs w:val="28"/>
          <w:highlight w:val="none"/>
        </w:rPr>
        <w:t>六、知识产权</w:t>
      </w:r>
    </w:p>
    <w:p w14:paraId="10BE660D">
      <w:pPr>
        <w:keepNext w:val="0"/>
        <w:keepLines w:val="0"/>
        <w:pageBreakBefore w:val="0"/>
        <w:widowControl w:val="0"/>
        <w:spacing w:line="460" w:lineRule="exact"/>
        <w:ind w:left="0" w:firstLine="560"/>
        <w:rPr>
          <w:rFonts w:ascii="宋体" w:hAnsi="宋体" w:cs="宋体"/>
          <w:color w:val="auto"/>
          <w:sz w:val="28"/>
          <w:szCs w:val="28"/>
          <w:highlight w:val="none"/>
        </w:rPr>
      </w:pPr>
      <w:r>
        <w:rPr>
          <w:rFonts w:hint="eastAsia" w:ascii="宋体" w:hAnsi="宋体" w:cs="宋体"/>
          <w:color w:val="auto"/>
          <w:sz w:val="28"/>
          <w:szCs w:val="28"/>
          <w:highlight w:val="none"/>
        </w:rPr>
        <w:t>乙方应保证甲方在使用、接受本合同货物或其任何一部分时不受第三方提出侵犯其专利权、版权、商标权和工业设计权等知识产权的起诉。如发生侵权等争议，乙方负责处理并承担 由此引发的全部责任。</w:t>
      </w:r>
    </w:p>
    <w:p w14:paraId="09B186D2">
      <w:pPr>
        <w:pStyle w:val="332"/>
        <w:keepNext w:val="0"/>
        <w:keepLines w:val="0"/>
        <w:pageBreakBefore w:val="0"/>
        <w:widowControl w:val="0"/>
        <w:spacing w:line="460" w:lineRule="exact"/>
        <w:ind w:left="0" w:firstLine="562"/>
        <w:rPr>
          <w:rFonts w:hAnsi="宋体" w:cs="宋体"/>
          <w:color w:val="auto"/>
          <w:sz w:val="28"/>
          <w:szCs w:val="28"/>
          <w:highlight w:val="none"/>
          <w:u w:val="single"/>
        </w:rPr>
      </w:pPr>
      <w:r>
        <w:rPr>
          <w:rFonts w:hint="eastAsia" w:hAnsi="宋体" w:cs="宋体"/>
          <w:b/>
          <w:color w:val="auto"/>
          <w:sz w:val="28"/>
          <w:szCs w:val="28"/>
          <w:highlight w:val="none"/>
        </w:rPr>
        <w:t>七、产权担保</w:t>
      </w:r>
    </w:p>
    <w:p w14:paraId="3FFE7916">
      <w:pPr>
        <w:pStyle w:val="332"/>
        <w:keepNext w:val="0"/>
        <w:keepLines w:val="0"/>
        <w:pageBreakBefore w:val="0"/>
        <w:widowControl w:val="0"/>
        <w:spacing w:line="460" w:lineRule="exact"/>
        <w:ind w:left="0" w:firstLine="560"/>
        <w:rPr>
          <w:rFonts w:hAnsi="宋体" w:cs="宋体"/>
          <w:color w:val="auto"/>
          <w:sz w:val="28"/>
          <w:szCs w:val="28"/>
          <w:highlight w:val="none"/>
        </w:rPr>
      </w:pPr>
      <w:r>
        <w:rPr>
          <w:rFonts w:hint="eastAsia" w:hAnsi="宋体" w:cs="宋体"/>
          <w:color w:val="auto"/>
          <w:sz w:val="28"/>
          <w:szCs w:val="28"/>
          <w:highlight w:val="none"/>
        </w:rPr>
        <w:t>乙方保证所交付的货物的所有权完全属于乙方且无任何抵押、查封等产权瑕疵。</w:t>
      </w:r>
    </w:p>
    <w:p w14:paraId="52152F93">
      <w:pPr>
        <w:pStyle w:val="332"/>
        <w:keepNext w:val="0"/>
        <w:keepLines w:val="0"/>
        <w:pageBreakBefore w:val="0"/>
        <w:widowControl w:val="0"/>
        <w:spacing w:line="460" w:lineRule="exact"/>
        <w:ind w:left="0" w:firstLine="562"/>
        <w:rPr>
          <w:rFonts w:hAnsi="宋体" w:cs="宋体"/>
          <w:b/>
          <w:color w:val="auto"/>
          <w:sz w:val="28"/>
          <w:szCs w:val="28"/>
          <w:highlight w:val="none"/>
        </w:rPr>
      </w:pPr>
      <w:r>
        <w:rPr>
          <w:rFonts w:hint="eastAsia" w:hAnsi="宋体" w:cs="宋体"/>
          <w:b/>
          <w:color w:val="auto"/>
          <w:sz w:val="28"/>
          <w:szCs w:val="28"/>
          <w:highlight w:val="none"/>
        </w:rPr>
        <w:t>八、质量保修范围和保修期及售后服务</w:t>
      </w:r>
    </w:p>
    <w:p w14:paraId="34080C68">
      <w:pPr>
        <w:keepNext w:val="0"/>
        <w:keepLines w:val="0"/>
        <w:pageBreakBefore w:val="0"/>
        <w:widowControl w:val="0"/>
        <w:spacing w:line="460" w:lineRule="exact"/>
        <w:ind w:left="0" w:firstLine="560"/>
        <w:contextualSpacing/>
        <w:rPr>
          <w:rFonts w:ascii="宋体" w:hAnsi="宋体"/>
          <w:color w:val="auto"/>
          <w:sz w:val="28"/>
          <w:szCs w:val="28"/>
          <w:highlight w:val="none"/>
        </w:rPr>
      </w:pPr>
      <w:r>
        <w:rPr>
          <w:rFonts w:hint="eastAsia" w:ascii="宋体" w:hAnsi="宋体"/>
          <w:color w:val="auto"/>
          <w:sz w:val="28"/>
          <w:szCs w:val="28"/>
          <w:highlight w:val="none"/>
        </w:rPr>
        <w:t>8.1 乙方应按招标文件规定的货物性能、技术要求、质量标准向甲方提供未经使用的全新产品。</w:t>
      </w:r>
    </w:p>
    <w:p w14:paraId="42195D82">
      <w:pPr>
        <w:keepNext w:val="0"/>
        <w:keepLines w:val="0"/>
        <w:pageBreakBefore w:val="0"/>
        <w:widowControl w:val="0"/>
        <w:spacing w:line="460" w:lineRule="exact"/>
        <w:ind w:left="0" w:firstLine="560"/>
        <w:contextualSpacing/>
        <w:rPr>
          <w:rFonts w:ascii="宋体" w:hAnsi="宋体"/>
          <w:color w:val="auto"/>
          <w:sz w:val="28"/>
          <w:szCs w:val="28"/>
          <w:highlight w:val="none"/>
        </w:rPr>
      </w:pPr>
      <w:r>
        <w:rPr>
          <w:rFonts w:hint="eastAsia" w:ascii="宋体" w:hAnsi="宋体"/>
          <w:color w:val="auto"/>
          <w:sz w:val="28"/>
          <w:szCs w:val="28"/>
          <w:highlight w:val="none"/>
        </w:rPr>
        <w:t>8.2 在质保期内，乙方应对货物出现的质量及安全问题负责处理解决并承担一切费用。</w:t>
      </w:r>
    </w:p>
    <w:p w14:paraId="29C91CB4">
      <w:pPr>
        <w:keepNext w:val="0"/>
        <w:keepLines w:val="0"/>
        <w:pageBreakBefore w:val="0"/>
        <w:widowControl w:val="0"/>
        <w:spacing w:line="460" w:lineRule="exact"/>
        <w:ind w:left="0" w:firstLine="560"/>
        <w:contextualSpacing/>
        <w:rPr>
          <w:rFonts w:ascii="宋体" w:hAnsi="宋体" w:cs="Courier New"/>
          <w:color w:val="auto"/>
          <w:sz w:val="28"/>
          <w:szCs w:val="28"/>
          <w:highlight w:val="none"/>
        </w:rPr>
      </w:pPr>
      <w:r>
        <w:rPr>
          <w:rFonts w:hint="eastAsia" w:ascii="宋体" w:hAnsi="宋体"/>
          <w:color w:val="auto"/>
          <w:sz w:val="28"/>
          <w:szCs w:val="28"/>
          <w:highlight w:val="none"/>
        </w:rPr>
        <w:t>8.3上述的货物免费保修期为________年（自交货验收合格之日起计），因人为因素出现的故障不在免费保修范围内。超过保修期的机器设备，终生维修，维修时只收部件成本费</w:t>
      </w:r>
      <w:r>
        <w:rPr>
          <w:rFonts w:ascii="宋体" w:hAnsi="宋体" w:cs="Courier New"/>
          <w:color w:val="auto"/>
          <w:sz w:val="28"/>
          <w:szCs w:val="28"/>
          <w:highlight w:val="none"/>
        </w:rPr>
        <w:t>。</w:t>
      </w:r>
    </w:p>
    <w:p w14:paraId="1B9EE3B1">
      <w:pPr>
        <w:pStyle w:val="332"/>
        <w:keepNext w:val="0"/>
        <w:keepLines w:val="0"/>
        <w:pageBreakBefore w:val="0"/>
        <w:widowControl w:val="0"/>
        <w:spacing w:line="460" w:lineRule="exact"/>
        <w:ind w:left="0" w:firstLine="562"/>
        <w:rPr>
          <w:rFonts w:hAnsi="宋体" w:cs="宋体"/>
          <w:b/>
          <w:color w:val="auto"/>
          <w:sz w:val="28"/>
          <w:szCs w:val="28"/>
          <w:highlight w:val="none"/>
        </w:rPr>
      </w:pPr>
      <w:r>
        <w:rPr>
          <w:rFonts w:hint="eastAsia" w:hAnsi="宋体" w:cs="宋体"/>
          <w:b/>
          <w:color w:val="auto"/>
          <w:sz w:val="28"/>
          <w:szCs w:val="28"/>
          <w:highlight w:val="none"/>
        </w:rPr>
        <w:t>九、项目验收</w:t>
      </w:r>
    </w:p>
    <w:p w14:paraId="4568D2D1">
      <w:pPr>
        <w:keepNext w:val="0"/>
        <w:keepLines w:val="0"/>
        <w:pageBreakBefore w:val="0"/>
        <w:widowControl w:val="0"/>
        <w:spacing w:line="460" w:lineRule="exact"/>
        <w:ind w:left="0" w:firstLine="560"/>
        <w:contextualSpacing/>
        <w:rPr>
          <w:rFonts w:ascii="宋体" w:hAnsi="宋体"/>
          <w:color w:val="auto"/>
          <w:sz w:val="28"/>
          <w:szCs w:val="28"/>
          <w:highlight w:val="none"/>
          <w:lang w:val="zh-CN"/>
        </w:rPr>
      </w:pPr>
      <w:bookmarkStart w:id="150" w:name="OLE_LINK2"/>
      <w:bookmarkStart w:id="151" w:name="OLE_LINK1"/>
      <w:r>
        <w:rPr>
          <w:rFonts w:hint="eastAsia" w:ascii="宋体" w:hAnsi="宋体"/>
          <w:color w:val="auto"/>
          <w:sz w:val="28"/>
          <w:szCs w:val="28"/>
          <w:highlight w:val="none"/>
        </w:rPr>
        <w:t>9</w:t>
      </w:r>
      <w:r>
        <w:rPr>
          <w:rFonts w:hint="eastAsia" w:ascii="宋体" w:hAnsi="宋体"/>
          <w:color w:val="auto"/>
          <w:sz w:val="28"/>
          <w:szCs w:val="28"/>
          <w:highlight w:val="none"/>
          <w:lang w:val="zh-CN"/>
        </w:rPr>
        <w:t>.</w:t>
      </w:r>
      <w:r>
        <w:rPr>
          <w:rFonts w:hint="eastAsia" w:ascii="宋体" w:hAnsi="宋体"/>
          <w:color w:val="auto"/>
          <w:sz w:val="28"/>
          <w:szCs w:val="28"/>
          <w:highlight w:val="none"/>
        </w:rPr>
        <w:t>1乙方</w:t>
      </w:r>
      <w:r>
        <w:rPr>
          <w:rFonts w:hint="eastAsia" w:ascii="宋体" w:hAnsi="宋体"/>
          <w:color w:val="auto"/>
          <w:sz w:val="28"/>
          <w:szCs w:val="28"/>
          <w:highlight w:val="none"/>
          <w:lang w:val="zh-CN"/>
        </w:rPr>
        <w:t>货物送达后，</w:t>
      </w:r>
      <w:r>
        <w:rPr>
          <w:rFonts w:hint="eastAsia" w:ascii="宋体" w:hAnsi="宋体"/>
          <w:color w:val="auto"/>
          <w:sz w:val="28"/>
          <w:szCs w:val="28"/>
          <w:highlight w:val="none"/>
        </w:rPr>
        <w:t>甲</w:t>
      </w:r>
      <w:r>
        <w:rPr>
          <w:rFonts w:hint="eastAsia" w:ascii="宋体" w:hAnsi="宋体"/>
          <w:color w:val="auto"/>
          <w:sz w:val="28"/>
          <w:szCs w:val="28"/>
          <w:highlight w:val="none"/>
          <w:lang w:val="zh-CN"/>
        </w:rPr>
        <w:t>方对其数量、品种、规格、运输保存方式等进行检查验收，如不合格应无条件退货或换货。</w:t>
      </w:r>
    </w:p>
    <w:p w14:paraId="7CFA5245">
      <w:pPr>
        <w:keepNext w:val="0"/>
        <w:keepLines w:val="0"/>
        <w:pageBreakBefore w:val="0"/>
        <w:widowControl w:val="0"/>
        <w:spacing w:line="460" w:lineRule="exact"/>
        <w:ind w:left="0" w:firstLine="560"/>
        <w:contextualSpacing/>
        <w:rPr>
          <w:rFonts w:ascii="宋体" w:hAnsi="宋体"/>
          <w:color w:val="auto"/>
          <w:sz w:val="28"/>
          <w:szCs w:val="28"/>
          <w:highlight w:val="none"/>
        </w:rPr>
      </w:pPr>
      <w:r>
        <w:rPr>
          <w:rFonts w:hint="eastAsia" w:ascii="宋体" w:hAnsi="宋体"/>
          <w:color w:val="auto"/>
          <w:sz w:val="28"/>
          <w:szCs w:val="28"/>
          <w:highlight w:val="none"/>
        </w:rPr>
        <w:t>9.2乙方须确保所供产品材料的规格及对应品牌与投标文件保持一致，在合同履约过程中不得擅自更换。</w:t>
      </w:r>
    </w:p>
    <w:p w14:paraId="027319FD">
      <w:pPr>
        <w:keepNext w:val="0"/>
        <w:keepLines w:val="0"/>
        <w:pageBreakBefore w:val="0"/>
        <w:widowControl w:val="0"/>
        <w:spacing w:line="460" w:lineRule="exact"/>
        <w:ind w:left="0" w:firstLine="560"/>
        <w:contextualSpacing/>
        <w:rPr>
          <w:rFonts w:ascii="宋体" w:hAnsi="宋体"/>
          <w:color w:val="auto"/>
          <w:sz w:val="28"/>
          <w:szCs w:val="28"/>
          <w:highlight w:val="none"/>
        </w:rPr>
      </w:pPr>
      <w:r>
        <w:rPr>
          <w:rFonts w:hint="eastAsia" w:ascii="宋体" w:hAnsi="宋体"/>
          <w:color w:val="auto"/>
          <w:sz w:val="28"/>
          <w:szCs w:val="28"/>
          <w:highlight w:val="none"/>
        </w:rPr>
        <w:t>9.3乙方提供的货物必须达到或优于招标文件“采购清单”技术需求中各项指标参数</w:t>
      </w:r>
    </w:p>
    <w:p w14:paraId="603890D7">
      <w:pPr>
        <w:keepNext w:val="0"/>
        <w:keepLines w:val="0"/>
        <w:pageBreakBefore w:val="0"/>
        <w:widowControl w:val="0"/>
        <w:spacing w:line="460" w:lineRule="exact"/>
        <w:ind w:left="0" w:firstLine="560"/>
        <w:contextualSpacing/>
        <w:rPr>
          <w:rFonts w:ascii="宋体" w:hAnsi="宋体"/>
          <w:color w:val="auto"/>
          <w:sz w:val="28"/>
          <w:szCs w:val="28"/>
          <w:highlight w:val="none"/>
          <w:lang w:val="zh-CN"/>
        </w:rPr>
      </w:pPr>
      <w:r>
        <w:rPr>
          <w:rFonts w:hint="eastAsia" w:ascii="宋体" w:hAnsi="宋体"/>
          <w:color w:val="auto"/>
          <w:sz w:val="28"/>
          <w:szCs w:val="28"/>
          <w:highlight w:val="none"/>
        </w:rPr>
        <w:t>9</w:t>
      </w:r>
      <w:r>
        <w:rPr>
          <w:rFonts w:hint="eastAsia" w:ascii="宋体" w:hAnsi="宋体"/>
          <w:color w:val="auto"/>
          <w:sz w:val="28"/>
          <w:szCs w:val="28"/>
          <w:highlight w:val="none"/>
          <w:lang w:val="zh-CN"/>
        </w:rPr>
        <w:t>.</w:t>
      </w:r>
      <w:r>
        <w:rPr>
          <w:rFonts w:hint="eastAsia" w:ascii="宋体" w:hAnsi="宋体"/>
          <w:color w:val="auto"/>
          <w:sz w:val="28"/>
          <w:szCs w:val="28"/>
          <w:highlight w:val="none"/>
        </w:rPr>
        <w:t>4</w:t>
      </w:r>
      <w:r>
        <w:rPr>
          <w:rFonts w:hint="eastAsia" w:ascii="宋体" w:hAnsi="宋体" w:cs="宋体"/>
          <w:color w:val="auto"/>
          <w:sz w:val="28"/>
          <w:szCs w:val="28"/>
          <w:highlight w:val="none"/>
        </w:rPr>
        <w:t>全部货物安装调试</w:t>
      </w:r>
      <w:r>
        <w:rPr>
          <w:rFonts w:hint="eastAsia" w:cs="宋体"/>
          <w:color w:val="auto"/>
          <w:sz w:val="28"/>
          <w:szCs w:val="28"/>
          <w:highlight w:val="none"/>
        </w:rPr>
        <w:t>完毕后</w:t>
      </w:r>
      <w:r>
        <w:rPr>
          <w:rFonts w:hint="eastAsia" w:ascii="宋体" w:hAnsi="宋体"/>
          <w:color w:val="auto"/>
          <w:sz w:val="28"/>
          <w:szCs w:val="28"/>
          <w:highlight w:val="none"/>
          <w:lang w:val="zh-CN"/>
        </w:rPr>
        <w:t>，</w:t>
      </w:r>
      <w:r>
        <w:rPr>
          <w:rFonts w:hint="eastAsia" w:ascii="宋体" w:hAnsi="宋体"/>
          <w:color w:val="auto"/>
          <w:sz w:val="28"/>
          <w:szCs w:val="28"/>
          <w:highlight w:val="none"/>
        </w:rPr>
        <w:t>乙方</w:t>
      </w:r>
      <w:r>
        <w:rPr>
          <w:rFonts w:hint="eastAsia" w:ascii="宋体" w:hAnsi="宋体"/>
          <w:color w:val="auto"/>
          <w:sz w:val="28"/>
          <w:szCs w:val="28"/>
          <w:highlight w:val="none"/>
          <w:lang w:val="zh-CN"/>
        </w:rPr>
        <w:t>向</w:t>
      </w:r>
      <w:r>
        <w:rPr>
          <w:rFonts w:hint="eastAsia" w:ascii="宋体" w:hAnsi="宋体"/>
          <w:color w:val="auto"/>
          <w:sz w:val="28"/>
          <w:szCs w:val="28"/>
          <w:highlight w:val="none"/>
        </w:rPr>
        <w:t>甲方</w:t>
      </w:r>
      <w:r>
        <w:rPr>
          <w:rFonts w:hint="eastAsia" w:ascii="宋体" w:hAnsi="宋体"/>
          <w:color w:val="auto"/>
          <w:sz w:val="28"/>
          <w:szCs w:val="28"/>
          <w:highlight w:val="none"/>
          <w:lang w:val="zh-CN"/>
        </w:rPr>
        <w:t>提交项目验收技术资料以及终验申请单，</w:t>
      </w:r>
      <w:r>
        <w:rPr>
          <w:rFonts w:hint="eastAsia" w:ascii="宋体" w:hAnsi="宋体"/>
          <w:color w:val="auto"/>
          <w:sz w:val="28"/>
          <w:szCs w:val="28"/>
          <w:highlight w:val="none"/>
        </w:rPr>
        <w:t>甲方</w:t>
      </w:r>
      <w:r>
        <w:rPr>
          <w:rFonts w:hint="eastAsia" w:ascii="宋体" w:hAnsi="宋体"/>
          <w:color w:val="auto"/>
          <w:sz w:val="28"/>
          <w:szCs w:val="28"/>
          <w:highlight w:val="none"/>
          <w:lang w:val="zh-CN"/>
        </w:rPr>
        <w:t>收到申请后</w:t>
      </w:r>
      <w:r>
        <w:rPr>
          <w:rFonts w:hint="eastAsia" w:ascii="宋体" w:hAnsi="宋体"/>
          <w:color w:val="auto"/>
          <w:sz w:val="28"/>
          <w:szCs w:val="28"/>
          <w:highlight w:val="none"/>
        </w:rPr>
        <w:t>5</w:t>
      </w:r>
      <w:r>
        <w:rPr>
          <w:rFonts w:hint="eastAsia" w:ascii="宋体" w:hAnsi="宋体"/>
          <w:color w:val="auto"/>
          <w:sz w:val="28"/>
          <w:szCs w:val="28"/>
          <w:highlight w:val="none"/>
          <w:lang w:val="zh-CN"/>
        </w:rPr>
        <w:t>个工作日内组织终验且验收无问题后签署终验单。</w:t>
      </w:r>
    </w:p>
    <w:p w14:paraId="622DE882">
      <w:pPr>
        <w:keepNext w:val="0"/>
        <w:keepLines w:val="0"/>
        <w:pageBreakBefore w:val="0"/>
        <w:widowControl w:val="0"/>
        <w:spacing w:line="460" w:lineRule="exact"/>
        <w:ind w:left="0"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9.5质量和环保要求：按国家标准执行，无国家标准的，按行业标准执行；无国家和行业标准的，按甲方标准执行。</w:t>
      </w:r>
      <w:bookmarkEnd w:id="150"/>
      <w:bookmarkEnd w:id="151"/>
    </w:p>
    <w:p w14:paraId="2EAC1F0B">
      <w:pPr>
        <w:keepNext w:val="0"/>
        <w:keepLines w:val="0"/>
        <w:pageBreakBefore w:val="0"/>
        <w:widowControl w:val="0"/>
        <w:spacing w:line="460" w:lineRule="exact"/>
        <w:ind w:left="0" w:firstLine="560"/>
        <w:contextualSpacing/>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lang w:val="en-US" w:eastAsia="zh-CN"/>
        </w:rPr>
        <w:t xml:space="preserve">9.6 </w:t>
      </w:r>
      <w:r>
        <w:rPr>
          <w:rFonts w:hint="eastAsia" w:ascii="宋体" w:hAnsi="宋体" w:eastAsia="宋体" w:cs="宋体"/>
          <w:color w:val="auto"/>
          <w:sz w:val="28"/>
          <w:szCs w:val="28"/>
          <w:highlight w:val="none"/>
          <w:lang w:val="en-US" w:eastAsia="zh-CN" w:bidi="ar-SA"/>
        </w:rPr>
        <w:t>本项目整套扩声系统需实现全链路互联互通，满足国家教室声学建设标准。项目安装调试完成后，采购人或第三方机构开展现场实测，声场不均匀度、语言传输指数、系统噪声、最大声压级等声学指标实测合格后方可竣工验收，实测不达标不予验收。</w:t>
      </w:r>
    </w:p>
    <w:p w14:paraId="4CFA4E4A">
      <w:pPr>
        <w:pStyle w:val="332"/>
        <w:keepNext w:val="0"/>
        <w:keepLines w:val="0"/>
        <w:pageBreakBefore w:val="0"/>
        <w:widowControl w:val="0"/>
        <w:spacing w:line="460" w:lineRule="exact"/>
        <w:ind w:left="0" w:firstLine="562"/>
        <w:rPr>
          <w:rFonts w:hAnsi="宋体" w:cs="宋体"/>
          <w:b/>
          <w:color w:val="auto"/>
          <w:sz w:val="28"/>
          <w:szCs w:val="28"/>
          <w:highlight w:val="none"/>
        </w:rPr>
      </w:pPr>
      <w:r>
        <w:rPr>
          <w:rFonts w:hint="eastAsia" w:hAnsi="宋体" w:cs="宋体"/>
          <w:b/>
          <w:color w:val="auto"/>
          <w:sz w:val="28"/>
          <w:szCs w:val="28"/>
          <w:highlight w:val="none"/>
        </w:rPr>
        <w:t>十、安全责任</w:t>
      </w:r>
    </w:p>
    <w:p w14:paraId="167CB755">
      <w:pPr>
        <w:keepNext w:val="0"/>
        <w:keepLines w:val="0"/>
        <w:pageBreakBefore w:val="0"/>
        <w:widowControl w:val="0"/>
        <w:spacing w:line="460" w:lineRule="exact"/>
        <w:ind w:left="0" w:firstLine="560"/>
        <w:contextualSpacing/>
        <w:rPr>
          <w:rFonts w:ascii="宋体" w:hAnsi="宋体"/>
          <w:color w:val="auto"/>
          <w:sz w:val="28"/>
          <w:szCs w:val="28"/>
          <w:highlight w:val="none"/>
        </w:rPr>
      </w:pPr>
      <w:r>
        <w:rPr>
          <w:rFonts w:hint="eastAsia" w:ascii="宋体" w:hAnsi="宋体"/>
          <w:color w:val="auto"/>
          <w:sz w:val="28"/>
          <w:szCs w:val="28"/>
          <w:highlight w:val="none"/>
        </w:rPr>
        <w:t>10.1乙方须为进场人员购买意外伤害保险。</w:t>
      </w:r>
    </w:p>
    <w:p w14:paraId="03A44B99">
      <w:pPr>
        <w:keepNext w:val="0"/>
        <w:keepLines w:val="0"/>
        <w:pageBreakBefore w:val="0"/>
        <w:widowControl w:val="0"/>
        <w:spacing w:line="460" w:lineRule="exact"/>
        <w:ind w:left="0" w:firstLine="560"/>
        <w:contextualSpacing/>
        <w:rPr>
          <w:rFonts w:ascii="宋体" w:hAnsi="宋体"/>
          <w:color w:val="auto"/>
          <w:sz w:val="28"/>
          <w:szCs w:val="28"/>
          <w:highlight w:val="none"/>
        </w:rPr>
      </w:pPr>
      <w:r>
        <w:rPr>
          <w:rFonts w:hint="eastAsia" w:ascii="宋体" w:hAnsi="宋体"/>
          <w:color w:val="auto"/>
          <w:sz w:val="28"/>
          <w:szCs w:val="28"/>
          <w:highlight w:val="none"/>
        </w:rPr>
        <w:t>10.2乙方</w:t>
      </w:r>
      <w:r>
        <w:rPr>
          <w:rFonts w:ascii="宋体" w:hAnsi="宋体"/>
          <w:color w:val="auto"/>
          <w:sz w:val="28"/>
          <w:szCs w:val="28"/>
          <w:highlight w:val="none"/>
        </w:rPr>
        <w:t>在本项目的</w:t>
      </w:r>
      <w:r>
        <w:rPr>
          <w:rFonts w:hint="eastAsia" w:ascii="宋体" w:hAnsi="宋体"/>
          <w:color w:val="auto"/>
          <w:sz w:val="28"/>
          <w:szCs w:val="28"/>
          <w:highlight w:val="none"/>
        </w:rPr>
        <w:t>交付</w:t>
      </w:r>
      <w:r>
        <w:rPr>
          <w:rFonts w:ascii="宋体" w:hAnsi="宋体"/>
          <w:color w:val="auto"/>
          <w:sz w:val="28"/>
          <w:szCs w:val="28"/>
          <w:highlight w:val="none"/>
        </w:rPr>
        <w:t>过程中，凡出现安全事故，</w:t>
      </w:r>
      <w:r>
        <w:rPr>
          <w:rFonts w:hint="eastAsia" w:ascii="宋体" w:hAnsi="宋体"/>
          <w:color w:val="auto"/>
          <w:sz w:val="28"/>
          <w:szCs w:val="28"/>
          <w:highlight w:val="none"/>
        </w:rPr>
        <w:t>乙方</w:t>
      </w:r>
      <w:r>
        <w:rPr>
          <w:rFonts w:ascii="宋体" w:hAnsi="宋体"/>
          <w:color w:val="auto"/>
          <w:sz w:val="28"/>
          <w:szCs w:val="28"/>
          <w:highlight w:val="none"/>
        </w:rPr>
        <w:t>承担全部法律责任和赔偿全部经济损失。</w:t>
      </w:r>
    </w:p>
    <w:p w14:paraId="144CC695">
      <w:pPr>
        <w:pStyle w:val="332"/>
        <w:keepNext w:val="0"/>
        <w:keepLines w:val="0"/>
        <w:pageBreakBefore w:val="0"/>
        <w:widowControl w:val="0"/>
        <w:spacing w:line="460" w:lineRule="exact"/>
        <w:ind w:left="0" w:firstLine="562"/>
        <w:rPr>
          <w:rFonts w:hAnsi="宋体" w:cs="宋体"/>
          <w:b/>
          <w:color w:val="auto"/>
          <w:sz w:val="28"/>
          <w:szCs w:val="28"/>
          <w:highlight w:val="none"/>
        </w:rPr>
      </w:pPr>
      <w:r>
        <w:rPr>
          <w:rFonts w:hint="eastAsia" w:hAnsi="宋体" w:cs="宋体"/>
          <w:b/>
          <w:color w:val="auto"/>
          <w:sz w:val="28"/>
          <w:szCs w:val="28"/>
          <w:highlight w:val="none"/>
        </w:rPr>
        <w:t>十一、货物的包装、发运及运输</w:t>
      </w:r>
    </w:p>
    <w:p w14:paraId="58394DE4">
      <w:pPr>
        <w:keepNext w:val="0"/>
        <w:keepLines w:val="0"/>
        <w:pageBreakBefore w:val="0"/>
        <w:widowControl w:val="0"/>
        <w:spacing w:line="460" w:lineRule="exact"/>
        <w:ind w:left="0" w:firstLine="560"/>
        <w:contextualSpacing/>
        <w:rPr>
          <w:rFonts w:ascii="宋体" w:hAnsi="宋体"/>
          <w:color w:val="auto"/>
          <w:sz w:val="28"/>
          <w:szCs w:val="28"/>
          <w:highlight w:val="none"/>
        </w:rPr>
      </w:pPr>
      <w:r>
        <w:rPr>
          <w:rFonts w:hint="eastAsia" w:ascii="宋体" w:hAnsi="宋体"/>
          <w:color w:val="auto"/>
          <w:sz w:val="28"/>
          <w:szCs w:val="28"/>
          <w:highlight w:val="none"/>
        </w:rPr>
        <w:t>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61CDCA20">
      <w:pPr>
        <w:keepNext w:val="0"/>
        <w:keepLines w:val="0"/>
        <w:pageBreakBefore w:val="0"/>
        <w:widowControl w:val="0"/>
        <w:spacing w:line="460" w:lineRule="exact"/>
        <w:ind w:left="0" w:firstLine="560"/>
        <w:contextualSpacing/>
        <w:rPr>
          <w:rFonts w:ascii="宋体" w:hAnsi="宋体"/>
          <w:color w:val="auto"/>
          <w:sz w:val="28"/>
          <w:szCs w:val="28"/>
          <w:highlight w:val="none"/>
        </w:rPr>
      </w:pPr>
      <w:r>
        <w:rPr>
          <w:rFonts w:hint="eastAsia" w:ascii="宋体" w:hAnsi="宋体"/>
          <w:color w:val="auto"/>
          <w:sz w:val="28"/>
          <w:szCs w:val="28"/>
          <w:highlight w:val="none"/>
        </w:rPr>
        <w:t>11.2 使用说明书、质量检验证明书、随配附件和工具以及清单一并附于货物内。</w:t>
      </w:r>
    </w:p>
    <w:p w14:paraId="10AB9CAC">
      <w:pPr>
        <w:keepNext w:val="0"/>
        <w:keepLines w:val="0"/>
        <w:pageBreakBefore w:val="0"/>
        <w:widowControl w:val="0"/>
        <w:spacing w:line="460" w:lineRule="exact"/>
        <w:ind w:left="0" w:firstLine="560"/>
        <w:contextualSpacing/>
        <w:rPr>
          <w:rFonts w:ascii="宋体" w:hAnsi="宋体"/>
          <w:color w:val="auto"/>
          <w:sz w:val="28"/>
          <w:szCs w:val="28"/>
          <w:highlight w:val="none"/>
        </w:rPr>
      </w:pPr>
      <w:r>
        <w:rPr>
          <w:rFonts w:hint="eastAsia" w:ascii="宋体" w:hAnsi="宋体"/>
          <w:color w:val="auto"/>
          <w:sz w:val="28"/>
          <w:szCs w:val="28"/>
          <w:highlight w:val="none"/>
        </w:rPr>
        <w:t>11.3 货物在交付甲方前发生的风险均由乙方负责。</w:t>
      </w:r>
    </w:p>
    <w:p w14:paraId="2729DC1A">
      <w:pPr>
        <w:pStyle w:val="332"/>
        <w:keepNext w:val="0"/>
        <w:keepLines w:val="0"/>
        <w:pageBreakBefore w:val="0"/>
        <w:widowControl w:val="0"/>
        <w:spacing w:line="460" w:lineRule="exact"/>
        <w:ind w:left="0" w:firstLine="562"/>
        <w:rPr>
          <w:rFonts w:hAnsi="宋体" w:cs="宋体"/>
          <w:b/>
          <w:color w:val="auto"/>
          <w:sz w:val="28"/>
          <w:szCs w:val="28"/>
          <w:highlight w:val="none"/>
        </w:rPr>
      </w:pPr>
      <w:r>
        <w:rPr>
          <w:rFonts w:hint="eastAsia" w:hAnsi="宋体" w:cs="宋体"/>
          <w:b/>
          <w:color w:val="auto"/>
          <w:sz w:val="28"/>
          <w:szCs w:val="28"/>
          <w:highlight w:val="none"/>
        </w:rPr>
        <w:t>十二、违约责任</w:t>
      </w:r>
    </w:p>
    <w:p w14:paraId="01045505">
      <w:pPr>
        <w:keepNext w:val="0"/>
        <w:keepLines w:val="0"/>
        <w:pageBreakBefore w:val="0"/>
        <w:widowControl w:val="0"/>
        <w:spacing w:line="460" w:lineRule="exact"/>
        <w:ind w:left="0"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 xml:space="preserve">12.1 乙方逾期交付，按逾期总价款每日万分之五向采购人支付违约金，由甲方从待付货款中扣除。逾期超过约定日期10个工作日不能交货的，甲方可解除本合同。 </w:t>
      </w:r>
    </w:p>
    <w:p w14:paraId="5CE5DF23">
      <w:pPr>
        <w:keepNext w:val="0"/>
        <w:keepLines w:val="0"/>
        <w:pageBreakBefore w:val="0"/>
        <w:widowControl w:val="0"/>
        <w:spacing w:line="460" w:lineRule="exact"/>
        <w:ind w:left="0"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12.2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76784A10">
      <w:pPr>
        <w:keepNext w:val="0"/>
        <w:keepLines w:val="0"/>
        <w:pageBreakBefore w:val="0"/>
        <w:widowControl w:val="0"/>
        <w:spacing w:line="460" w:lineRule="exact"/>
        <w:ind w:left="0" w:firstLine="560"/>
        <w:contextualSpacing/>
        <w:rPr>
          <w:rFonts w:hint="eastAsia" w:ascii="宋体" w:hAnsi="宋体"/>
          <w:color w:val="auto"/>
          <w:sz w:val="28"/>
          <w:szCs w:val="28"/>
          <w:highlight w:val="none"/>
        </w:rPr>
      </w:pPr>
      <w:r>
        <w:rPr>
          <w:rFonts w:hint="eastAsia" w:ascii="宋体" w:hAnsi="宋体"/>
          <w:color w:val="auto"/>
          <w:sz w:val="28"/>
          <w:szCs w:val="28"/>
          <w:highlight w:val="none"/>
          <w:lang w:val="en-US" w:eastAsia="zh-CN"/>
        </w:rPr>
        <w:t>12.3乙方</w:t>
      </w:r>
      <w:r>
        <w:rPr>
          <w:rFonts w:hint="eastAsia" w:ascii="宋体" w:hAnsi="宋体"/>
          <w:color w:val="auto"/>
          <w:sz w:val="28"/>
          <w:szCs w:val="28"/>
          <w:highlight w:val="none"/>
        </w:rPr>
        <w:t>未经</w:t>
      </w:r>
      <w:r>
        <w:rPr>
          <w:rFonts w:hint="eastAsia" w:ascii="宋体" w:hAnsi="宋体"/>
          <w:color w:val="auto"/>
          <w:sz w:val="28"/>
          <w:szCs w:val="28"/>
          <w:highlight w:val="none"/>
          <w:lang w:val="en-US" w:eastAsia="zh-CN"/>
        </w:rPr>
        <w:t>甲方</w:t>
      </w:r>
      <w:r>
        <w:rPr>
          <w:rFonts w:hint="eastAsia" w:ascii="宋体" w:hAnsi="宋体"/>
          <w:color w:val="auto"/>
          <w:sz w:val="28"/>
          <w:szCs w:val="28"/>
          <w:highlight w:val="none"/>
        </w:rPr>
        <w:t>书面许可，不得变更任何投标产品品牌、规格型号，擅自更换视为严重违约，</w:t>
      </w:r>
      <w:r>
        <w:rPr>
          <w:rFonts w:hint="eastAsia" w:ascii="宋体" w:hAnsi="宋体"/>
          <w:color w:val="auto"/>
          <w:sz w:val="28"/>
          <w:szCs w:val="28"/>
          <w:highlight w:val="none"/>
          <w:lang w:val="en-US" w:eastAsia="zh-CN"/>
        </w:rPr>
        <w:t>甲方</w:t>
      </w:r>
      <w:r>
        <w:rPr>
          <w:rFonts w:hint="eastAsia" w:ascii="宋体" w:hAnsi="宋体"/>
          <w:color w:val="auto"/>
          <w:sz w:val="28"/>
          <w:szCs w:val="28"/>
          <w:highlight w:val="none"/>
        </w:rPr>
        <w:t>有权解除合同、扣除全部履约保证金。</w:t>
      </w:r>
    </w:p>
    <w:p w14:paraId="03CA0B93">
      <w:pPr>
        <w:pStyle w:val="332"/>
        <w:keepNext w:val="0"/>
        <w:keepLines w:val="0"/>
        <w:pageBreakBefore w:val="0"/>
        <w:widowControl w:val="0"/>
        <w:spacing w:line="460" w:lineRule="exact"/>
        <w:ind w:left="0" w:firstLine="562"/>
        <w:rPr>
          <w:rFonts w:hAnsi="宋体" w:cs="宋体"/>
          <w:b/>
          <w:color w:val="auto"/>
          <w:sz w:val="28"/>
          <w:szCs w:val="28"/>
          <w:highlight w:val="none"/>
        </w:rPr>
      </w:pPr>
      <w:r>
        <w:rPr>
          <w:rFonts w:hint="eastAsia" w:hAnsi="宋体" w:cs="宋体"/>
          <w:b/>
          <w:color w:val="auto"/>
          <w:sz w:val="28"/>
          <w:szCs w:val="28"/>
          <w:highlight w:val="none"/>
        </w:rPr>
        <w:t>十三、不可抗力事件处理</w:t>
      </w:r>
    </w:p>
    <w:p w14:paraId="260AFBCF">
      <w:pPr>
        <w:keepNext w:val="0"/>
        <w:keepLines w:val="0"/>
        <w:pageBreakBefore w:val="0"/>
        <w:widowControl w:val="0"/>
        <w:spacing w:line="460" w:lineRule="exact"/>
        <w:ind w:left="0" w:firstLine="560"/>
        <w:contextualSpacing/>
        <w:rPr>
          <w:rFonts w:ascii="宋体" w:hAnsi="宋体"/>
          <w:color w:val="auto"/>
          <w:sz w:val="28"/>
          <w:szCs w:val="28"/>
          <w:highlight w:val="none"/>
        </w:rPr>
      </w:pPr>
      <w:r>
        <w:rPr>
          <w:rFonts w:hint="eastAsia" w:ascii="宋体" w:hAnsi="宋体"/>
          <w:color w:val="auto"/>
          <w:sz w:val="28"/>
          <w:szCs w:val="28"/>
          <w:highlight w:val="none"/>
        </w:rPr>
        <w:t>13.1 在合同有效期内，任何一方因不可抗力事件导致不能履行合同，则合同履行期可延长，其延长期与不可抗力影响期相同。</w:t>
      </w:r>
    </w:p>
    <w:p w14:paraId="0F2A092C">
      <w:pPr>
        <w:keepNext w:val="0"/>
        <w:keepLines w:val="0"/>
        <w:pageBreakBefore w:val="0"/>
        <w:widowControl w:val="0"/>
        <w:spacing w:line="460" w:lineRule="exact"/>
        <w:ind w:left="0" w:firstLine="560"/>
        <w:contextualSpacing/>
        <w:rPr>
          <w:rFonts w:ascii="宋体" w:hAnsi="宋体"/>
          <w:color w:val="auto"/>
          <w:sz w:val="28"/>
          <w:szCs w:val="28"/>
          <w:highlight w:val="none"/>
        </w:rPr>
      </w:pPr>
      <w:r>
        <w:rPr>
          <w:rFonts w:hint="eastAsia" w:ascii="宋体" w:hAnsi="宋体"/>
          <w:color w:val="auto"/>
          <w:sz w:val="28"/>
          <w:szCs w:val="28"/>
          <w:highlight w:val="none"/>
        </w:rPr>
        <w:t>13.2 不可抗力事件发生后，应立即通知对方。</w:t>
      </w:r>
    </w:p>
    <w:p w14:paraId="063B1FD2">
      <w:pPr>
        <w:keepNext w:val="0"/>
        <w:keepLines w:val="0"/>
        <w:pageBreakBefore w:val="0"/>
        <w:widowControl w:val="0"/>
        <w:spacing w:line="460" w:lineRule="exact"/>
        <w:ind w:left="0" w:firstLine="560"/>
        <w:contextualSpacing/>
        <w:rPr>
          <w:rFonts w:ascii="宋体" w:hAnsi="宋体"/>
          <w:color w:val="auto"/>
          <w:sz w:val="28"/>
          <w:szCs w:val="28"/>
          <w:highlight w:val="none"/>
        </w:rPr>
      </w:pPr>
      <w:r>
        <w:rPr>
          <w:rFonts w:hint="eastAsia" w:ascii="宋体" w:hAnsi="宋体"/>
          <w:color w:val="auto"/>
          <w:sz w:val="28"/>
          <w:szCs w:val="28"/>
          <w:highlight w:val="none"/>
        </w:rPr>
        <w:t>13.3 不可抗力事件延续120天以上，双方应通过友好协商，确定是否继续履行合同。</w:t>
      </w:r>
    </w:p>
    <w:p w14:paraId="09AEEB2C">
      <w:pPr>
        <w:pStyle w:val="332"/>
        <w:keepNext w:val="0"/>
        <w:keepLines w:val="0"/>
        <w:pageBreakBefore w:val="0"/>
        <w:widowControl w:val="0"/>
        <w:spacing w:line="460" w:lineRule="exact"/>
        <w:ind w:left="0" w:firstLine="562"/>
        <w:rPr>
          <w:rFonts w:hAnsi="宋体" w:cs="宋体"/>
          <w:b/>
          <w:color w:val="auto"/>
          <w:sz w:val="28"/>
          <w:szCs w:val="28"/>
          <w:highlight w:val="none"/>
        </w:rPr>
      </w:pPr>
      <w:r>
        <w:rPr>
          <w:rFonts w:hint="eastAsia" w:hAnsi="宋体" w:cs="宋体"/>
          <w:b/>
          <w:color w:val="auto"/>
          <w:sz w:val="28"/>
          <w:szCs w:val="28"/>
          <w:highlight w:val="none"/>
        </w:rPr>
        <w:t>十四、解决争议的方法</w:t>
      </w:r>
    </w:p>
    <w:p w14:paraId="4D408CBF">
      <w:pPr>
        <w:keepNext w:val="0"/>
        <w:keepLines w:val="0"/>
        <w:pageBreakBefore w:val="0"/>
        <w:widowControl w:val="0"/>
        <w:spacing w:line="460" w:lineRule="exact"/>
        <w:ind w:left="0" w:firstLine="560"/>
        <w:contextualSpacing/>
        <w:rPr>
          <w:rFonts w:ascii="宋体" w:hAnsi="宋体"/>
          <w:color w:val="auto"/>
          <w:sz w:val="28"/>
          <w:szCs w:val="28"/>
          <w:highlight w:val="none"/>
        </w:rPr>
      </w:pPr>
      <w:r>
        <w:rPr>
          <w:rFonts w:hint="eastAsia" w:ascii="宋体" w:hAnsi="宋体"/>
          <w:color w:val="auto"/>
          <w:sz w:val="28"/>
          <w:szCs w:val="28"/>
          <w:highlight w:val="none"/>
        </w:rPr>
        <w:t>甲乙双方因合同签订、履行而发生的一切争议，应通过友好协商解决。如协商不成由甲方住所地人民法院管辖。</w:t>
      </w:r>
    </w:p>
    <w:p w14:paraId="7A979268">
      <w:pPr>
        <w:pStyle w:val="332"/>
        <w:keepNext w:val="0"/>
        <w:keepLines w:val="0"/>
        <w:pageBreakBefore w:val="0"/>
        <w:widowControl w:val="0"/>
        <w:spacing w:line="460" w:lineRule="exact"/>
        <w:ind w:left="0" w:firstLine="562"/>
        <w:rPr>
          <w:rFonts w:hAnsi="宋体" w:cs="宋体"/>
          <w:b/>
          <w:color w:val="auto"/>
          <w:sz w:val="28"/>
          <w:szCs w:val="28"/>
          <w:highlight w:val="none"/>
        </w:rPr>
      </w:pPr>
      <w:r>
        <w:rPr>
          <w:rFonts w:hint="eastAsia" w:hAnsi="宋体" w:cs="宋体"/>
          <w:b/>
          <w:color w:val="auto"/>
          <w:sz w:val="28"/>
          <w:szCs w:val="28"/>
          <w:highlight w:val="none"/>
        </w:rPr>
        <w:t>十五、合同生效及其它</w:t>
      </w:r>
    </w:p>
    <w:p w14:paraId="55C6EF04">
      <w:pPr>
        <w:keepNext w:val="0"/>
        <w:keepLines w:val="0"/>
        <w:pageBreakBefore w:val="0"/>
        <w:widowControl w:val="0"/>
        <w:spacing w:line="460" w:lineRule="exact"/>
        <w:ind w:left="0" w:firstLine="560"/>
        <w:contextualSpacing/>
        <w:rPr>
          <w:rFonts w:ascii="宋体" w:hAnsi="宋体"/>
          <w:color w:val="auto"/>
          <w:sz w:val="28"/>
          <w:szCs w:val="28"/>
          <w:highlight w:val="none"/>
        </w:rPr>
      </w:pPr>
      <w:r>
        <w:rPr>
          <w:rFonts w:hint="eastAsia" w:ascii="宋体" w:hAnsi="宋体"/>
          <w:color w:val="auto"/>
          <w:sz w:val="28"/>
          <w:szCs w:val="28"/>
          <w:highlight w:val="none"/>
        </w:rPr>
        <w:t>15.1 合同经双方法定代表人或授权委托代表人签字并加盖单位公章后生效。</w:t>
      </w:r>
    </w:p>
    <w:p w14:paraId="29E21A9A">
      <w:pPr>
        <w:keepNext w:val="0"/>
        <w:keepLines w:val="0"/>
        <w:pageBreakBefore w:val="0"/>
        <w:widowControl w:val="0"/>
        <w:spacing w:line="460" w:lineRule="exact"/>
        <w:ind w:left="0" w:firstLine="560"/>
        <w:contextualSpacing/>
        <w:rPr>
          <w:rFonts w:ascii="宋体" w:hAnsi="宋体"/>
          <w:color w:val="auto"/>
          <w:sz w:val="28"/>
          <w:szCs w:val="28"/>
          <w:highlight w:val="none"/>
        </w:rPr>
      </w:pPr>
      <w:r>
        <w:rPr>
          <w:rFonts w:hint="eastAsia" w:ascii="宋体" w:hAnsi="宋体"/>
          <w:color w:val="auto"/>
          <w:sz w:val="28"/>
          <w:szCs w:val="28"/>
          <w:highlight w:val="none"/>
        </w:rPr>
        <w:t>15.2 本合同正本一式肆份，具有同等法律效力，甲方执叁份、乙方执壹份。</w:t>
      </w:r>
    </w:p>
    <w:p w14:paraId="4833EE8D">
      <w:pPr>
        <w:spacing w:line="460" w:lineRule="exact"/>
        <w:ind w:left="560" w:hanging="560"/>
        <w:contextualSpacing/>
        <w:rPr>
          <w:rFonts w:ascii="宋体" w:hAnsi="宋体" w:cs="Courier New"/>
          <w:color w:val="auto"/>
          <w:sz w:val="28"/>
          <w:szCs w:val="28"/>
          <w:highlight w:val="none"/>
        </w:rPr>
      </w:pPr>
      <w:r>
        <w:rPr>
          <w:rFonts w:ascii="宋体" w:hAnsi="宋体" w:cs="Courier New"/>
          <w:color w:val="auto"/>
          <w:sz w:val="28"/>
          <w:szCs w:val="28"/>
          <w:highlight w:val="none"/>
        </w:rPr>
        <w:t xml:space="preserve">  甲方：                        乙方： </w:t>
      </w:r>
    </w:p>
    <w:p w14:paraId="3727D5E3">
      <w:pPr>
        <w:spacing w:line="460" w:lineRule="exact"/>
        <w:contextualSpacing/>
        <w:rPr>
          <w:rFonts w:ascii="宋体" w:hAnsi="宋体" w:cs="Courier New"/>
          <w:color w:val="auto"/>
          <w:sz w:val="28"/>
          <w:szCs w:val="28"/>
          <w:highlight w:val="none"/>
        </w:rPr>
      </w:pPr>
      <w:r>
        <w:rPr>
          <w:rFonts w:ascii="宋体" w:hAnsi="宋体" w:cs="Courier New"/>
          <w:color w:val="auto"/>
          <w:sz w:val="28"/>
          <w:szCs w:val="28"/>
          <w:highlight w:val="none"/>
        </w:rPr>
        <w:t xml:space="preserve">  地址：                       </w:t>
      </w:r>
      <w:r>
        <w:rPr>
          <w:rFonts w:hint="eastAsia" w:ascii="宋体" w:hAnsi="宋体" w:cs="Courier New"/>
          <w:color w:val="auto"/>
          <w:sz w:val="28"/>
          <w:szCs w:val="28"/>
          <w:highlight w:val="none"/>
        </w:rPr>
        <w:t xml:space="preserve"> </w:t>
      </w:r>
      <w:r>
        <w:rPr>
          <w:rFonts w:ascii="宋体" w:hAnsi="宋体" w:cs="Courier New"/>
          <w:color w:val="auto"/>
          <w:sz w:val="28"/>
          <w:szCs w:val="28"/>
          <w:highlight w:val="none"/>
        </w:rPr>
        <w:t xml:space="preserve">地址： </w:t>
      </w:r>
    </w:p>
    <w:p w14:paraId="371DC475">
      <w:pPr>
        <w:spacing w:line="460" w:lineRule="exact"/>
        <w:contextualSpacing/>
        <w:rPr>
          <w:rFonts w:ascii="宋体" w:hAnsi="宋体" w:cs="Courier New"/>
          <w:color w:val="auto"/>
          <w:sz w:val="28"/>
          <w:szCs w:val="28"/>
          <w:highlight w:val="none"/>
        </w:rPr>
      </w:pPr>
      <w:r>
        <w:rPr>
          <w:rFonts w:ascii="宋体" w:hAnsi="宋体" w:cs="Courier New"/>
          <w:color w:val="auto"/>
          <w:sz w:val="28"/>
          <w:szCs w:val="28"/>
          <w:highlight w:val="none"/>
        </w:rPr>
        <w:t xml:space="preserve">  法定代表人</w:t>
      </w:r>
      <w:r>
        <w:rPr>
          <w:rFonts w:hint="eastAsia" w:ascii="宋体" w:hAnsi="宋体" w:cs="Courier New"/>
          <w:color w:val="auto"/>
          <w:sz w:val="28"/>
          <w:szCs w:val="28"/>
          <w:highlight w:val="none"/>
        </w:rPr>
        <w:t>或授权代表</w:t>
      </w:r>
      <w:r>
        <w:rPr>
          <w:rFonts w:ascii="宋体" w:hAnsi="宋体" w:cs="Courier New"/>
          <w:color w:val="auto"/>
          <w:sz w:val="28"/>
          <w:szCs w:val="28"/>
          <w:highlight w:val="none"/>
        </w:rPr>
        <w:t>：        法定代表人</w:t>
      </w:r>
      <w:r>
        <w:rPr>
          <w:rFonts w:hint="eastAsia" w:ascii="宋体" w:hAnsi="宋体" w:cs="Courier New"/>
          <w:color w:val="auto"/>
          <w:sz w:val="28"/>
          <w:szCs w:val="28"/>
          <w:highlight w:val="none"/>
        </w:rPr>
        <w:t>或授权代表</w:t>
      </w:r>
      <w:r>
        <w:rPr>
          <w:rFonts w:ascii="宋体" w:hAnsi="宋体" w:cs="Courier New"/>
          <w:color w:val="auto"/>
          <w:sz w:val="28"/>
          <w:szCs w:val="28"/>
          <w:highlight w:val="none"/>
        </w:rPr>
        <w:t>：</w:t>
      </w:r>
    </w:p>
    <w:p w14:paraId="3EBEB1B5">
      <w:pPr>
        <w:spacing w:line="460" w:lineRule="exact"/>
        <w:ind w:firstLine="280"/>
        <w:contextualSpacing/>
        <w:rPr>
          <w:rFonts w:ascii="宋体" w:hAnsi="宋体" w:cs="Courier New"/>
          <w:color w:val="auto"/>
          <w:sz w:val="28"/>
          <w:szCs w:val="28"/>
          <w:highlight w:val="none"/>
        </w:rPr>
      </w:pPr>
      <w:r>
        <w:rPr>
          <w:rFonts w:hint="eastAsia" w:ascii="宋体" w:hAnsi="宋体" w:cs="Courier New"/>
          <w:color w:val="auto"/>
          <w:sz w:val="28"/>
          <w:szCs w:val="28"/>
          <w:highlight w:val="none"/>
        </w:rPr>
        <w:t xml:space="preserve">联系电话：                    联系电话： </w:t>
      </w:r>
    </w:p>
    <w:p w14:paraId="2525AE84">
      <w:pPr>
        <w:spacing w:line="460" w:lineRule="exact"/>
        <w:ind w:right="960" w:firstLine="280"/>
        <w:contextualSpacing/>
        <w:rPr>
          <w:rFonts w:ascii="宋体" w:hAnsi="宋体"/>
          <w:color w:val="auto"/>
          <w:sz w:val="28"/>
          <w:szCs w:val="28"/>
          <w:highlight w:val="none"/>
        </w:rPr>
      </w:pPr>
      <w:r>
        <w:rPr>
          <w:rFonts w:hint="eastAsia" w:ascii="宋体" w:hAnsi="宋体" w:cs="Courier New"/>
          <w:color w:val="auto"/>
          <w:sz w:val="28"/>
          <w:szCs w:val="28"/>
          <w:highlight w:val="none"/>
        </w:rPr>
        <w:t>签</w:t>
      </w:r>
      <w:r>
        <w:rPr>
          <w:rFonts w:ascii="宋体" w:hAnsi="宋体" w:cs="Courier New"/>
          <w:color w:val="auto"/>
          <w:sz w:val="28"/>
          <w:szCs w:val="28"/>
          <w:highlight w:val="none"/>
        </w:rPr>
        <w:t xml:space="preserve">订日期：      年 </w:t>
      </w:r>
      <w:r>
        <w:rPr>
          <w:rFonts w:hint="eastAsia" w:ascii="宋体" w:hAnsi="宋体" w:cs="Courier New"/>
          <w:color w:val="auto"/>
          <w:sz w:val="28"/>
          <w:szCs w:val="28"/>
          <w:highlight w:val="none"/>
        </w:rPr>
        <w:t xml:space="preserve">  </w:t>
      </w:r>
      <w:r>
        <w:rPr>
          <w:rFonts w:ascii="宋体" w:hAnsi="宋体" w:cs="Courier New"/>
          <w:color w:val="auto"/>
          <w:sz w:val="28"/>
          <w:szCs w:val="28"/>
          <w:highlight w:val="none"/>
        </w:rPr>
        <w:t xml:space="preserve"> 月  </w:t>
      </w:r>
      <w:r>
        <w:rPr>
          <w:rFonts w:hint="eastAsia" w:ascii="宋体" w:hAnsi="宋体" w:cs="Courier New"/>
          <w:color w:val="auto"/>
          <w:sz w:val="28"/>
          <w:szCs w:val="28"/>
          <w:highlight w:val="none"/>
        </w:rPr>
        <w:t xml:space="preserve"> </w:t>
      </w:r>
      <w:r>
        <w:rPr>
          <w:rFonts w:ascii="宋体" w:hAnsi="宋体" w:cs="Courier New"/>
          <w:color w:val="auto"/>
          <w:sz w:val="28"/>
          <w:szCs w:val="28"/>
          <w:highlight w:val="none"/>
        </w:rPr>
        <w:t>日</w:t>
      </w:r>
    </w:p>
    <w:p w14:paraId="6937B5F6">
      <w:pPr>
        <w:pStyle w:val="44"/>
        <w:shd w:val="clear" w:color="auto" w:fill="FFFFFF"/>
        <w:spacing w:before="0" w:beforeAutospacing="0" w:after="0" w:afterAutospacing="0" w:line="460" w:lineRule="exact"/>
        <w:jc w:val="both"/>
        <w:rPr>
          <w:rFonts w:cs="宋体"/>
          <w:b/>
          <w:color w:val="auto"/>
          <w:sz w:val="36"/>
          <w:szCs w:val="36"/>
          <w:highlight w:val="none"/>
        </w:rPr>
      </w:pPr>
    </w:p>
    <w:p w14:paraId="210074C3">
      <w:pPr>
        <w:spacing w:line="460" w:lineRule="exact"/>
        <w:jc w:val="center"/>
        <w:outlineLvl w:val="0"/>
        <w:rPr>
          <w:rFonts w:hint="eastAsia" w:ascii="宋体" w:hAnsi="宋体" w:cs="宋体"/>
          <w:bCs/>
          <w:color w:val="auto"/>
          <w:sz w:val="36"/>
          <w:szCs w:val="36"/>
          <w:highlight w:val="none"/>
        </w:rPr>
      </w:pPr>
      <w:r>
        <w:rPr>
          <w:rFonts w:hint="eastAsia" w:ascii="宋体" w:hAnsi="宋体" w:cs="宋体"/>
          <w:bCs/>
          <w:color w:val="auto"/>
          <w:sz w:val="36"/>
          <w:szCs w:val="36"/>
          <w:highlight w:val="none"/>
        </w:rPr>
        <w:t>第四部分  开标和评标</w:t>
      </w:r>
      <w:bookmarkEnd w:id="147"/>
      <w:bookmarkEnd w:id="148"/>
    </w:p>
    <w:p w14:paraId="21DD3302">
      <w:pPr>
        <w:pStyle w:val="242"/>
        <w:spacing w:before="0" w:after="0" w:line="460" w:lineRule="exact"/>
        <w:ind w:left="0" w:right="0" w:firstLine="562"/>
        <w:jc w:val="left"/>
        <w:outlineLvl w:val="1"/>
        <w:rPr>
          <w:rFonts w:hint="eastAsia" w:ascii="宋体" w:hAnsi="宋体" w:cs="宋体"/>
          <w:b/>
          <w:color w:val="auto"/>
          <w:sz w:val="28"/>
          <w:szCs w:val="28"/>
          <w:highlight w:val="none"/>
        </w:rPr>
      </w:pPr>
      <w:bookmarkStart w:id="152" w:name="_Toc29131"/>
      <w:r>
        <w:rPr>
          <w:rFonts w:hint="eastAsia" w:ascii="宋体" w:hAnsi="宋体" w:cs="宋体"/>
          <w:b/>
          <w:color w:val="auto"/>
          <w:sz w:val="28"/>
          <w:szCs w:val="28"/>
          <w:highlight w:val="none"/>
        </w:rPr>
        <w:t>一、开标</w:t>
      </w:r>
      <w:bookmarkEnd w:id="152"/>
    </w:p>
    <w:p w14:paraId="1FEADA2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不见面远程开标模式：开标当天各投标人在各自地点通过苏采云系统及时登录不见面开标大厅，参加投标活动。</w:t>
      </w:r>
    </w:p>
    <w:p w14:paraId="4B8F545F">
      <w:pPr>
        <w:pStyle w:val="242"/>
        <w:spacing w:before="0" w:after="0" w:line="460" w:lineRule="exact"/>
        <w:ind w:left="0" w:right="0" w:firstLine="562"/>
        <w:jc w:val="left"/>
        <w:outlineLvl w:val="1"/>
        <w:rPr>
          <w:rFonts w:hint="eastAsia" w:ascii="宋体" w:hAnsi="宋体" w:cs="宋体"/>
          <w:b/>
          <w:color w:val="auto"/>
          <w:sz w:val="28"/>
          <w:szCs w:val="28"/>
          <w:highlight w:val="none"/>
        </w:rPr>
      </w:pPr>
      <w:bookmarkStart w:id="153" w:name="_Toc28154"/>
      <w:r>
        <w:rPr>
          <w:rFonts w:hint="eastAsia" w:ascii="宋体" w:hAnsi="宋体" w:cs="宋体"/>
          <w:b/>
          <w:color w:val="auto"/>
          <w:sz w:val="28"/>
          <w:szCs w:val="28"/>
          <w:highlight w:val="none"/>
        </w:rPr>
        <w:t>二、评标流程和评标标准</w:t>
      </w:r>
      <w:bookmarkEnd w:id="153"/>
    </w:p>
    <w:p w14:paraId="2A47630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采用综合评分法。分资格审查、商务技术标、价格标、三部分评审，总分值为100分，加分和减分因素除外。</w:t>
      </w:r>
    </w:p>
    <w:p w14:paraId="1CA0A5DC">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首先由</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p>
    <w:p w14:paraId="4B41ABE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p>
    <w:p w14:paraId="25B3297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评委在认真审阅投标文件的基础上，根据各投标文件的响应程度独立评判，不得统一打分。</w:t>
      </w:r>
    </w:p>
    <w:p w14:paraId="1C6D98C4">
      <w:pPr>
        <w:spacing w:line="460" w:lineRule="exact"/>
        <w:ind w:firstLine="562"/>
        <w:outlineLvl w:val="2"/>
        <w:rPr>
          <w:rFonts w:hint="eastAsia" w:ascii="宋体" w:hAnsi="宋体" w:cs="宋体"/>
          <w:b/>
          <w:color w:val="auto"/>
          <w:sz w:val="28"/>
          <w:szCs w:val="28"/>
          <w:highlight w:val="none"/>
        </w:rPr>
      </w:pPr>
      <w:bookmarkStart w:id="154" w:name="_Toc13980"/>
      <w:r>
        <w:rPr>
          <w:rFonts w:hint="eastAsia" w:ascii="宋体" w:hAnsi="宋体" w:cs="宋体"/>
          <w:b/>
          <w:color w:val="auto"/>
          <w:sz w:val="28"/>
          <w:szCs w:val="28"/>
          <w:highlight w:val="none"/>
        </w:rPr>
        <w:t>（一）</w:t>
      </w:r>
      <w:r>
        <w:rPr>
          <w:rFonts w:hint="eastAsia" w:ascii="宋体" w:hAnsi="宋体" w:cs="宋体"/>
          <w:b/>
          <w:color w:val="auto"/>
          <w:sz w:val="28"/>
          <w:szCs w:val="28"/>
          <w:highlight w:val="none"/>
          <w:lang w:eastAsia="zh-CN"/>
        </w:rPr>
        <w:t>采购人</w:t>
      </w:r>
      <w:r>
        <w:rPr>
          <w:rFonts w:hint="eastAsia" w:ascii="宋体" w:hAnsi="宋体" w:cs="宋体"/>
          <w:b/>
          <w:color w:val="auto"/>
          <w:sz w:val="28"/>
          <w:szCs w:val="28"/>
          <w:highlight w:val="none"/>
        </w:rPr>
        <w:t>（代表）对投标人资格进行审查。</w:t>
      </w:r>
      <w:bookmarkEnd w:id="154"/>
    </w:p>
    <w:p w14:paraId="34FAEA10">
      <w:pPr>
        <w:pStyle w:val="246"/>
        <w:spacing w:line="460" w:lineRule="exact"/>
        <w:ind w:firstLine="560"/>
        <w:rPr>
          <w:rFonts w:hint="eastAsia" w:ascii="宋体" w:eastAsia="宋体" w:cs="宋体"/>
          <w:color w:val="auto"/>
          <w:sz w:val="28"/>
          <w:highlight w:val="none"/>
        </w:rPr>
      </w:pPr>
      <w:r>
        <w:rPr>
          <w:rFonts w:hint="eastAsia" w:ascii="宋体" w:eastAsia="宋体" w:cs="宋体"/>
          <w:color w:val="auto"/>
          <w:sz w:val="28"/>
          <w:highlight w:val="none"/>
        </w:rPr>
        <w:t>投标人资格不合格的，其投标文件判定为无效投标文件。</w:t>
      </w:r>
    </w:p>
    <w:p w14:paraId="01E5A784">
      <w:pPr>
        <w:spacing w:line="460" w:lineRule="exact"/>
        <w:ind w:firstLine="562"/>
        <w:jc w:val="left"/>
        <w:outlineLvl w:val="2"/>
        <w:rPr>
          <w:rFonts w:hint="eastAsia" w:ascii="宋体" w:hAnsi="宋体" w:cs="宋体"/>
          <w:b/>
          <w:color w:val="auto"/>
          <w:sz w:val="28"/>
          <w:szCs w:val="28"/>
          <w:highlight w:val="none"/>
        </w:rPr>
      </w:pPr>
      <w:bookmarkStart w:id="155" w:name="_Toc8474"/>
      <w:r>
        <w:rPr>
          <w:rFonts w:hint="eastAsia" w:ascii="宋体" w:hAnsi="宋体" w:cs="宋体"/>
          <w:b/>
          <w:color w:val="auto"/>
          <w:sz w:val="28"/>
          <w:szCs w:val="28"/>
          <w:highlight w:val="none"/>
        </w:rPr>
        <w:t>（二）评标委员会对符合资格投标人的投标文件进行符合性审查。</w:t>
      </w:r>
      <w:bookmarkEnd w:id="155"/>
    </w:p>
    <w:p w14:paraId="5902026F">
      <w:pPr>
        <w:pStyle w:val="246"/>
        <w:spacing w:line="460" w:lineRule="exact"/>
        <w:ind w:firstLine="560"/>
        <w:rPr>
          <w:rFonts w:hint="eastAsia" w:ascii="宋体" w:eastAsia="宋体" w:cs="宋体"/>
          <w:color w:val="auto"/>
          <w:sz w:val="28"/>
          <w:highlight w:val="none"/>
        </w:rPr>
      </w:pPr>
      <w:r>
        <w:rPr>
          <w:rFonts w:hint="eastAsia" w:ascii="宋体" w:eastAsia="宋体" w:cs="宋体"/>
          <w:color w:val="auto"/>
          <w:sz w:val="28"/>
          <w:highlight w:val="none"/>
        </w:rPr>
        <w:t xml:space="preserve">未通过符合性审查的投标文件，将被判为不满足招标文件实质性要求。 </w:t>
      </w:r>
    </w:p>
    <w:p w14:paraId="5BD9B620">
      <w:pPr>
        <w:spacing w:line="460" w:lineRule="exact"/>
        <w:ind w:firstLine="562"/>
        <w:jc w:val="left"/>
        <w:outlineLvl w:val="2"/>
        <w:rPr>
          <w:rFonts w:hint="eastAsia" w:ascii="宋体" w:hAnsi="宋体" w:cs="宋体"/>
          <w:color w:val="auto"/>
          <w:sz w:val="28"/>
          <w:szCs w:val="28"/>
          <w:highlight w:val="none"/>
          <w:lang w:val="zh-CN"/>
        </w:rPr>
      </w:pPr>
      <w:bookmarkStart w:id="156" w:name="_Toc24736"/>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zh-CN"/>
        </w:rPr>
        <w:t>三</w:t>
      </w: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zh-CN"/>
        </w:rPr>
        <w:t>商务技术分</w:t>
      </w: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lang w:val="en-US" w:eastAsia="zh-CN"/>
        </w:rPr>
        <w:t>65</w:t>
      </w:r>
      <w:r>
        <w:rPr>
          <w:rFonts w:hint="eastAsia" w:ascii="宋体" w:hAnsi="宋体" w:cs="宋体"/>
          <w:color w:val="auto"/>
          <w:sz w:val="28"/>
          <w:szCs w:val="28"/>
          <w:highlight w:val="none"/>
          <w:lang w:val="zh-CN"/>
        </w:rPr>
        <w:t>分</w:t>
      </w:r>
      <w:bookmarkEnd w:id="156"/>
    </w:p>
    <w:p w14:paraId="224E438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各投标人得分为评委会成员评分的算术平均分，分值保留小数点后两位。</w:t>
      </w:r>
    </w:p>
    <w:p w14:paraId="2EE00688">
      <w:pPr>
        <w:pStyle w:val="19"/>
        <w:rPr>
          <w:rFonts w:hint="eastAsia" w:ascii="宋体" w:hAnsi="宋体" w:cs="宋体"/>
          <w:color w:val="auto"/>
          <w:sz w:val="28"/>
          <w:szCs w:val="28"/>
          <w:highlight w:val="none"/>
        </w:rPr>
      </w:pPr>
    </w:p>
    <w:p w14:paraId="1E0412CB">
      <w:pPr>
        <w:rPr>
          <w:rFonts w:hint="eastAsia" w:ascii="宋体" w:hAnsi="宋体" w:cs="宋体"/>
          <w:color w:val="auto"/>
          <w:sz w:val="28"/>
          <w:szCs w:val="28"/>
          <w:highlight w:val="none"/>
        </w:rPr>
      </w:pPr>
    </w:p>
    <w:p w14:paraId="3D6D0763">
      <w:pPr>
        <w:pStyle w:val="19"/>
        <w:rPr>
          <w:rFonts w:hint="eastAsia" w:ascii="宋体" w:hAnsi="宋体" w:cs="宋体"/>
          <w:color w:val="auto"/>
          <w:sz w:val="28"/>
          <w:szCs w:val="28"/>
          <w:highlight w:val="none"/>
        </w:rPr>
      </w:pPr>
    </w:p>
    <w:p w14:paraId="02E0CFFA">
      <w:pPr>
        <w:rPr>
          <w:rFonts w:hint="eastAsia"/>
          <w:color w:val="auto"/>
          <w:highlight w:val="none"/>
        </w:rPr>
      </w:pPr>
    </w:p>
    <w:tbl>
      <w:tblPr>
        <w:tblStyle w:val="49"/>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96" w:type="dxa"/>
          <w:bottom w:w="45" w:type="dxa"/>
          <w:right w:w="96" w:type="dxa"/>
        </w:tblCellMar>
      </w:tblPr>
      <w:tblGrid>
        <w:gridCol w:w="544"/>
        <w:gridCol w:w="1130"/>
        <w:gridCol w:w="4984"/>
        <w:gridCol w:w="1089"/>
        <w:gridCol w:w="1095"/>
        <w:gridCol w:w="934"/>
      </w:tblGrid>
      <w:tr w14:paraId="4CECA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476" w:hRule="atLeast"/>
          <w:tblHeader/>
          <w:jc w:val="center"/>
        </w:trPr>
        <w:tc>
          <w:tcPr>
            <w:tcW w:w="544" w:type="dxa"/>
            <w:noWrap w:val="0"/>
            <w:vAlign w:val="center"/>
          </w:tcPr>
          <w:p w14:paraId="14522893">
            <w:pPr>
              <w:keepNext w:val="0"/>
              <w:keepLines w:val="0"/>
              <w:pageBreakBefore w:val="0"/>
              <w:widowControl w:val="0"/>
              <w:spacing w:line="320" w:lineRule="exact"/>
              <w:jc w:val="center"/>
              <w:rPr>
                <w:rFonts w:hint="eastAsia" w:ascii="宋体" w:hAnsi="宋体" w:eastAsia="宋体" w:cs="宋体"/>
                <w:b/>
                <w:color w:val="auto"/>
                <w:sz w:val="28"/>
                <w:szCs w:val="28"/>
                <w:highlight w:val="none"/>
              </w:rPr>
            </w:pPr>
            <w:bookmarkStart w:id="157" w:name="_Toc126"/>
            <w:r>
              <w:rPr>
                <w:rFonts w:hint="eastAsia" w:ascii="宋体" w:hAnsi="宋体" w:eastAsia="宋体" w:cs="宋体"/>
                <w:b/>
                <w:color w:val="auto"/>
                <w:sz w:val="28"/>
                <w:szCs w:val="28"/>
                <w:highlight w:val="none"/>
              </w:rPr>
              <w:t>序号</w:t>
            </w:r>
          </w:p>
        </w:tc>
        <w:tc>
          <w:tcPr>
            <w:tcW w:w="1130" w:type="dxa"/>
            <w:noWrap w:val="0"/>
            <w:vAlign w:val="center"/>
          </w:tcPr>
          <w:p w14:paraId="6C2A69CE">
            <w:pPr>
              <w:keepNext w:val="0"/>
              <w:keepLines w:val="0"/>
              <w:pageBreakBefore w:val="0"/>
              <w:widowControl w:val="0"/>
              <w:spacing w:line="32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评分点</w:t>
            </w:r>
          </w:p>
          <w:p w14:paraId="636AF36B">
            <w:pPr>
              <w:keepNext w:val="0"/>
              <w:keepLines w:val="0"/>
              <w:pageBreakBefore w:val="0"/>
              <w:widowControl w:val="0"/>
              <w:spacing w:line="32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名称</w:t>
            </w:r>
          </w:p>
        </w:tc>
        <w:tc>
          <w:tcPr>
            <w:tcW w:w="4984" w:type="dxa"/>
            <w:noWrap w:val="0"/>
            <w:vAlign w:val="center"/>
          </w:tcPr>
          <w:p w14:paraId="589DADF4">
            <w:pPr>
              <w:keepNext w:val="0"/>
              <w:keepLines w:val="0"/>
              <w:pageBreakBefore w:val="0"/>
              <w:widowControl w:val="0"/>
              <w:spacing w:line="32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评审标准</w:t>
            </w:r>
          </w:p>
        </w:tc>
        <w:tc>
          <w:tcPr>
            <w:tcW w:w="1089" w:type="dxa"/>
            <w:noWrap w:val="0"/>
            <w:vAlign w:val="center"/>
          </w:tcPr>
          <w:p w14:paraId="23746889">
            <w:pPr>
              <w:keepNext w:val="0"/>
              <w:keepLines w:val="0"/>
              <w:pageBreakBefore w:val="0"/>
              <w:widowControl w:val="0"/>
              <w:spacing w:line="32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最高分</w:t>
            </w:r>
          </w:p>
        </w:tc>
        <w:tc>
          <w:tcPr>
            <w:tcW w:w="1095" w:type="dxa"/>
            <w:noWrap w:val="0"/>
            <w:vAlign w:val="center"/>
          </w:tcPr>
          <w:p w14:paraId="23461CB0">
            <w:pPr>
              <w:keepNext w:val="0"/>
              <w:keepLines w:val="0"/>
              <w:pageBreakBefore w:val="0"/>
              <w:widowControl w:val="0"/>
              <w:spacing w:line="32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最低分</w:t>
            </w:r>
          </w:p>
        </w:tc>
        <w:tc>
          <w:tcPr>
            <w:tcW w:w="934" w:type="dxa"/>
            <w:noWrap w:val="0"/>
            <w:vAlign w:val="center"/>
          </w:tcPr>
          <w:p w14:paraId="4BA2B9FC">
            <w:pPr>
              <w:keepNext w:val="0"/>
              <w:keepLines w:val="0"/>
              <w:pageBreakBefore w:val="0"/>
              <w:widowControl w:val="0"/>
              <w:spacing w:line="32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主/客</w:t>
            </w:r>
          </w:p>
          <w:p w14:paraId="1A2683C4">
            <w:pPr>
              <w:keepNext w:val="0"/>
              <w:keepLines w:val="0"/>
              <w:pageBreakBefore w:val="0"/>
              <w:widowControl w:val="0"/>
              <w:spacing w:line="32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观分</w:t>
            </w:r>
          </w:p>
        </w:tc>
      </w:tr>
      <w:tr w14:paraId="7E52F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1325" w:hRule="atLeast"/>
          <w:jc w:val="center"/>
        </w:trPr>
        <w:tc>
          <w:tcPr>
            <w:tcW w:w="544" w:type="dxa"/>
            <w:noWrap w:val="0"/>
            <w:vAlign w:val="center"/>
          </w:tcPr>
          <w:p w14:paraId="2F11661A">
            <w:pPr>
              <w:keepNext w:val="0"/>
              <w:keepLines w:val="0"/>
              <w:pageBreakBefore w:val="0"/>
              <w:widowControl w:val="0"/>
              <w:spacing w:line="320" w:lineRule="exact"/>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w:t>
            </w:r>
          </w:p>
        </w:tc>
        <w:tc>
          <w:tcPr>
            <w:tcW w:w="1130" w:type="dxa"/>
            <w:noWrap w:val="0"/>
            <w:vAlign w:val="center"/>
          </w:tcPr>
          <w:p w14:paraId="6B1B9743">
            <w:pPr>
              <w:keepNext w:val="0"/>
              <w:keepLines w:val="0"/>
              <w:pageBreakBefore w:val="0"/>
              <w:widowControl w:val="0"/>
              <w:spacing w:line="320" w:lineRule="exact"/>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技术参数响应</w:t>
            </w:r>
          </w:p>
        </w:tc>
        <w:tc>
          <w:tcPr>
            <w:tcW w:w="4984" w:type="dxa"/>
            <w:noWrap w:val="0"/>
            <w:vAlign w:val="center"/>
          </w:tcPr>
          <w:p w14:paraId="57784784">
            <w:pPr>
              <w:keepNext w:val="0"/>
              <w:keepLines w:val="0"/>
              <w:pageBreakBefore w:val="0"/>
              <w:widowControl w:val="0"/>
              <w:spacing w:line="32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根据投标人所投产品对采购技术参数的响应情况进行打分，投标人按招标文件提供的《</w:t>
            </w:r>
            <w:r>
              <w:rPr>
                <w:rFonts w:hint="eastAsia" w:ascii="宋体" w:hAnsi="宋体" w:cs="宋体"/>
                <w:bCs/>
                <w:color w:val="auto"/>
                <w:sz w:val="28"/>
                <w:szCs w:val="28"/>
                <w:highlight w:val="none"/>
              </w:rPr>
              <w:t>技术要求响应及偏离表</w:t>
            </w:r>
            <w:r>
              <w:rPr>
                <w:rFonts w:hint="eastAsia" w:ascii="宋体" w:hAnsi="宋体" w:eastAsia="宋体" w:cs="宋体"/>
                <w:color w:val="auto"/>
                <w:sz w:val="28"/>
                <w:szCs w:val="28"/>
                <w:highlight w:val="none"/>
              </w:rPr>
              <w:t>》（格式详见附件）进行逐条（逐行）响应：</w:t>
            </w:r>
          </w:p>
          <w:p w14:paraId="23BBF300">
            <w:pPr>
              <w:keepNext w:val="0"/>
              <w:keepLines w:val="0"/>
              <w:pageBreakBefore w:val="0"/>
              <w:widowControl w:val="0"/>
              <w:spacing w:line="32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1）标“▲”（共1</w:t>
            </w:r>
            <w:r>
              <w:rPr>
                <w:rFonts w:hint="eastAsia" w:ascii="宋体" w:hAnsi="宋体" w:cs="宋体"/>
                <w:color w:val="auto"/>
                <w:sz w:val="28"/>
                <w:szCs w:val="28"/>
                <w:highlight w:val="none"/>
                <w:lang w:val="en-US" w:eastAsia="zh-CN"/>
              </w:rPr>
              <w:t>0</w:t>
            </w:r>
            <w:r>
              <w:rPr>
                <w:rFonts w:hint="eastAsia" w:ascii="宋体" w:hAnsi="宋体" w:eastAsia="宋体" w:cs="宋体"/>
                <w:color w:val="auto"/>
                <w:sz w:val="28"/>
                <w:szCs w:val="28"/>
                <w:highlight w:val="none"/>
              </w:rPr>
              <w:t>个）项技术参数，每满足或正偏离一项得</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分，最高得</w:t>
            </w:r>
            <w:r>
              <w:rPr>
                <w:rFonts w:hint="eastAsia" w:ascii="宋体" w:hAnsi="宋体" w:cs="宋体"/>
                <w:color w:val="auto"/>
                <w:sz w:val="28"/>
                <w:szCs w:val="28"/>
                <w:highlight w:val="none"/>
                <w:lang w:val="en-US" w:eastAsia="zh-CN"/>
              </w:rPr>
              <w:t>10</w:t>
            </w:r>
            <w:r>
              <w:rPr>
                <w:rFonts w:hint="eastAsia" w:ascii="宋体" w:hAnsi="宋体" w:eastAsia="宋体" w:cs="宋体"/>
                <w:color w:val="auto"/>
                <w:sz w:val="28"/>
                <w:szCs w:val="28"/>
                <w:highlight w:val="none"/>
              </w:rPr>
              <w:t>分，未按要求提供证明材料的视为负偏离，对应项不得分。</w:t>
            </w:r>
          </w:p>
          <w:p w14:paraId="06203D9E">
            <w:pPr>
              <w:keepNext w:val="0"/>
              <w:keepLines w:val="0"/>
              <w:pageBreakBefore w:val="0"/>
              <w:widowControl w:val="0"/>
              <w:spacing w:line="32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2）未标“▲”项技术参数（按技术要求响应及偏离表的表格行计算，每一表格行计为一项）共</w:t>
            </w:r>
            <w:r>
              <w:rPr>
                <w:rFonts w:hint="eastAsia" w:ascii="宋体" w:hAnsi="宋体" w:eastAsia="宋体" w:cs="宋体"/>
                <w:color w:val="auto"/>
                <w:sz w:val="28"/>
                <w:szCs w:val="28"/>
                <w:highlight w:val="none"/>
                <w:lang w:val="en-US" w:eastAsia="zh-CN"/>
              </w:rPr>
              <w:t>42</w:t>
            </w:r>
            <w:r>
              <w:rPr>
                <w:rFonts w:hint="eastAsia" w:ascii="宋体" w:hAnsi="宋体" w:eastAsia="宋体" w:cs="宋体"/>
                <w:color w:val="auto"/>
                <w:sz w:val="28"/>
                <w:szCs w:val="28"/>
                <w:highlight w:val="none"/>
              </w:rPr>
              <w:t>项，每满足或正偏离一项得0.5分，最高得</w:t>
            </w:r>
            <w:r>
              <w:rPr>
                <w:rFonts w:hint="eastAsia" w:ascii="宋体" w:hAnsi="宋体" w:eastAsia="宋体" w:cs="宋体"/>
                <w:color w:val="auto"/>
                <w:sz w:val="28"/>
                <w:szCs w:val="28"/>
                <w:highlight w:val="none"/>
                <w:lang w:val="en-US" w:eastAsia="zh-CN"/>
              </w:rPr>
              <w:t>21</w:t>
            </w:r>
            <w:r>
              <w:rPr>
                <w:rFonts w:hint="eastAsia" w:ascii="宋体" w:hAnsi="宋体" w:eastAsia="宋体" w:cs="宋体"/>
                <w:color w:val="auto"/>
                <w:sz w:val="28"/>
                <w:szCs w:val="28"/>
                <w:highlight w:val="none"/>
              </w:rPr>
              <w:t>分，如未提供针对技术参数的逐项响应的技术规格偏离表视为负偏离，对应项不得分。</w:t>
            </w:r>
          </w:p>
          <w:p w14:paraId="4EA12BD2">
            <w:pPr>
              <w:keepNext w:val="0"/>
              <w:keepLines w:val="0"/>
              <w:pageBreakBefore w:val="0"/>
              <w:widowControl w:val="0"/>
              <w:spacing w:line="32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注：投标文件中提供《技术要求响应及偏离表》及标“▲”项按要求提供佐证材料。</w:t>
            </w:r>
          </w:p>
        </w:tc>
        <w:tc>
          <w:tcPr>
            <w:tcW w:w="1089" w:type="dxa"/>
            <w:noWrap w:val="0"/>
            <w:vAlign w:val="center"/>
          </w:tcPr>
          <w:p w14:paraId="2EDB142D">
            <w:pPr>
              <w:keepNext w:val="0"/>
              <w:keepLines w:val="0"/>
              <w:pageBreakBefore w:val="0"/>
              <w:widowControl w:val="0"/>
              <w:spacing w:line="320" w:lineRule="exact"/>
              <w:jc w:val="center"/>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31</w:t>
            </w:r>
          </w:p>
        </w:tc>
        <w:tc>
          <w:tcPr>
            <w:tcW w:w="1095" w:type="dxa"/>
            <w:noWrap w:val="0"/>
            <w:vAlign w:val="center"/>
          </w:tcPr>
          <w:p w14:paraId="345286DF">
            <w:pPr>
              <w:keepNext w:val="0"/>
              <w:keepLines w:val="0"/>
              <w:pageBreakBefore w:val="0"/>
              <w:widowControl w:val="0"/>
              <w:spacing w:line="32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w:t>
            </w:r>
          </w:p>
        </w:tc>
        <w:tc>
          <w:tcPr>
            <w:tcW w:w="934" w:type="dxa"/>
            <w:noWrap w:val="0"/>
            <w:vAlign w:val="center"/>
          </w:tcPr>
          <w:p w14:paraId="38BC5D80">
            <w:pPr>
              <w:keepNext w:val="0"/>
              <w:keepLines w:val="0"/>
              <w:pageBreakBefore w:val="0"/>
              <w:widowControl w:val="0"/>
              <w:spacing w:line="32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客观分</w:t>
            </w:r>
          </w:p>
        </w:tc>
      </w:tr>
      <w:tr w14:paraId="63452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271" w:hRule="atLeast"/>
          <w:jc w:val="center"/>
        </w:trPr>
        <w:tc>
          <w:tcPr>
            <w:tcW w:w="544" w:type="dxa"/>
            <w:noWrap w:val="0"/>
            <w:vAlign w:val="center"/>
          </w:tcPr>
          <w:p w14:paraId="07F4E860">
            <w:pPr>
              <w:keepNext w:val="0"/>
              <w:keepLines w:val="0"/>
              <w:pageBreakBefore w:val="0"/>
              <w:widowControl w:val="0"/>
              <w:spacing w:line="320" w:lineRule="exact"/>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w:t>
            </w:r>
          </w:p>
        </w:tc>
        <w:tc>
          <w:tcPr>
            <w:tcW w:w="1130" w:type="dxa"/>
            <w:noWrap w:val="0"/>
            <w:vAlign w:val="center"/>
          </w:tcPr>
          <w:p w14:paraId="527B851F">
            <w:pPr>
              <w:keepNext w:val="0"/>
              <w:keepLines w:val="0"/>
              <w:pageBreakBefore w:val="0"/>
              <w:widowControl w:val="0"/>
              <w:spacing w:line="320" w:lineRule="exact"/>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企业实力</w:t>
            </w:r>
          </w:p>
        </w:tc>
        <w:tc>
          <w:tcPr>
            <w:tcW w:w="4984" w:type="dxa"/>
            <w:noWrap w:val="0"/>
            <w:vAlign w:val="center"/>
          </w:tcPr>
          <w:p w14:paraId="390987F9">
            <w:pPr>
              <w:keepNext w:val="0"/>
              <w:keepLines w:val="0"/>
              <w:pageBreakBefore w:val="0"/>
              <w:widowControl w:val="0"/>
              <w:spacing w:line="32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1）投标人或制造商具有ISO9001质量管理体系认证、ISO14001环境管理体系认证的每个得0.5分，本项最高得分1分。</w:t>
            </w:r>
          </w:p>
          <w:p w14:paraId="6E16E07D">
            <w:pPr>
              <w:keepNext w:val="0"/>
              <w:keepLines w:val="0"/>
              <w:pageBreakBefore w:val="0"/>
              <w:widowControl w:val="0"/>
              <w:spacing w:line="32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2）投标人具有信息技术服务运行维护(ITSS)认证证书，得1分，没有不得分。</w:t>
            </w:r>
          </w:p>
          <w:p w14:paraId="5C8A3F04">
            <w:pPr>
              <w:keepNext w:val="0"/>
              <w:keepLines w:val="0"/>
              <w:pageBreakBefore w:val="0"/>
              <w:widowControl w:val="0"/>
              <w:spacing w:line="32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3）投标人或制造商</w:t>
            </w:r>
            <w:r>
              <w:rPr>
                <w:rFonts w:hint="eastAsia" w:ascii="仿宋" w:hAnsi="仿宋" w:eastAsia="仿宋" w:cs="仿宋"/>
                <w:color w:val="auto"/>
                <w:sz w:val="22"/>
                <w:highlight w:val="none"/>
              </w:rPr>
              <w:t>持有</w:t>
            </w:r>
            <w:r>
              <w:rPr>
                <w:rFonts w:hint="eastAsia" w:ascii="仿宋" w:hAnsi="仿宋" w:eastAsia="仿宋" w:cs="仿宋"/>
                <w:b/>
                <w:color w:val="auto"/>
                <w:sz w:val="22"/>
                <w:highlight w:val="none"/>
              </w:rPr>
              <w:t>智慧教室、常态化录播、AI课堂分析、智能中控、课堂音视频</w:t>
            </w:r>
            <w:r>
              <w:rPr>
                <w:rFonts w:hint="eastAsia" w:ascii="仿宋" w:hAnsi="仿宋" w:eastAsia="仿宋" w:cs="仿宋"/>
                <w:color w:val="auto"/>
                <w:sz w:val="22"/>
                <w:highlight w:val="none"/>
              </w:rPr>
              <w:t>相关专利</w:t>
            </w:r>
            <w:r>
              <w:rPr>
                <w:rFonts w:hint="eastAsia" w:ascii="仿宋" w:hAnsi="仿宋" w:eastAsia="仿宋" w:cs="仿宋"/>
                <w:color w:val="auto"/>
                <w:sz w:val="22"/>
                <w:highlight w:val="none"/>
                <w:lang w:val="en-US" w:eastAsia="zh-CN"/>
              </w:rPr>
              <w:t>或</w:t>
            </w:r>
            <w:r>
              <w:rPr>
                <w:rFonts w:hint="eastAsia" w:ascii="仿宋" w:hAnsi="仿宋" w:eastAsia="仿宋" w:cs="仿宋"/>
                <w:color w:val="auto"/>
                <w:sz w:val="22"/>
                <w:highlight w:val="none"/>
              </w:rPr>
              <w:t>软著</w:t>
            </w:r>
            <w:r>
              <w:rPr>
                <w:rFonts w:hint="eastAsia" w:ascii="宋体" w:hAnsi="宋体" w:eastAsia="宋体" w:cs="宋体"/>
                <w:color w:val="auto"/>
                <w:sz w:val="28"/>
                <w:szCs w:val="28"/>
                <w:highlight w:val="none"/>
              </w:rPr>
              <w:t>，每提供一个得1分，本项最高得2分。</w:t>
            </w:r>
          </w:p>
          <w:p w14:paraId="6D439AE3">
            <w:pPr>
              <w:keepNext w:val="0"/>
              <w:keepLines w:val="0"/>
              <w:pageBreakBefore w:val="0"/>
              <w:widowControl w:val="0"/>
              <w:spacing w:line="32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4）拟投入项目负责人具备信息系统项目管理师证书的得1分（需提供相应证书复印件及202</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月</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含</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至今任意一个月投标人为其缴纳的社保证明</w:t>
            </w:r>
            <w:r>
              <w:rPr>
                <w:rFonts w:hint="eastAsia" w:ascii="宋体" w:hAnsi="宋体" w:eastAsia="宋体" w:cs="宋体"/>
                <w:color w:val="auto"/>
                <w:sz w:val="28"/>
                <w:szCs w:val="28"/>
                <w:highlight w:val="none"/>
                <w:lang w:val="en-US" w:eastAsia="zh-CN"/>
              </w:rPr>
              <w:t>材料</w:t>
            </w:r>
            <w:r>
              <w:rPr>
                <w:rFonts w:hint="eastAsia" w:ascii="宋体" w:hAnsi="宋体" w:eastAsia="宋体" w:cs="宋体"/>
                <w:color w:val="auto"/>
                <w:sz w:val="28"/>
                <w:szCs w:val="28"/>
                <w:highlight w:val="none"/>
              </w:rPr>
              <w:t>）。</w:t>
            </w:r>
          </w:p>
        </w:tc>
        <w:tc>
          <w:tcPr>
            <w:tcW w:w="1089" w:type="dxa"/>
            <w:noWrap w:val="0"/>
            <w:vAlign w:val="center"/>
          </w:tcPr>
          <w:p w14:paraId="3EBA45F4">
            <w:pPr>
              <w:keepNext w:val="0"/>
              <w:keepLines w:val="0"/>
              <w:pageBreakBefore w:val="0"/>
              <w:widowControl w:val="0"/>
              <w:spacing w:line="32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w:t>
            </w:r>
          </w:p>
        </w:tc>
        <w:tc>
          <w:tcPr>
            <w:tcW w:w="1095" w:type="dxa"/>
            <w:noWrap w:val="0"/>
            <w:vAlign w:val="center"/>
          </w:tcPr>
          <w:p w14:paraId="4C0265A9">
            <w:pPr>
              <w:keepNext w:val="0"/>
              <w:keepLines w:val="0"/>
              <w:pageBreakBefore w:val="0"/>
              <w:widowControl w:val="0"/>
              <w:spacing w:line="32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w:t>
            </w:r>
          </w:p>
        </w:tc>
        <w:tc>
          <w:tcPr>
            <w:tcW w:w="934" w:type="dxa"/>
            <w:noWrap w:val="0"/>
            <w:vAlign w:val="center"/>
          </w:tcPr>
          <w:p w14:paraId="7CCBA84E">
            <w:pPr>
              <w:keepNext w:val="0"/>
              <w:keepLines w:val="0"/>
              <w:pageBreakBefore w:val="0"/>
              <w:widowControl w:val="0"/>
              <w:spacing w:line="32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客观分</w:t>
            </w:r>
          </w:p>
        </w:tc>
      </w:tr>
      <w:tr w14:paraId="65F24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90" w:hRule="atLeast"/>
          <w:jc w:val="center"/>
        </w:trPr>
        <w:tc>
          <w:tcPr>
            <w:tcW w:w="544" w:type="dxa"/>
            <w:noWrap w:val="0"/>
            <w:vAlign w:val="center"/>
          </w:tcPr>
          <w:p w14:paraId="3D01BEE9">
            <w:pPr>
              <w:keepNext w:val="0"/>
              <w:keepLines w:val="0"/>
              <w:pageBreakBefore w:val="0"/>
              <w:widowControl w:val="0"/>
              <w:spacing w:line="320" w:lineRule="exact"/>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w:t>
            </w:r>
          </w:p>
        </w:tc>
        <w:tc>
          <w:tcPr>
            <w:tcW w:w="1130" w:type="dxa"/>
            <w:noWrap w:val="0"/>
            <w:vAlign w:val="center"/>
          </w:tcPr>
          <w:p w14:paraId="2C36CD6C">
            <w:pPr>
              <w:keepNext w:val="0"/>
              <w:keepLines w:val="0"/>
              <w:pageBreakBefore w:val="0"/>
              <w:widowControl w:val="0"/>
              <w:spacing w:line="320" w:lineRule="exact"/>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产品演示</w:t>
            </w:r>
          </w:p>
        </w:tc>
        <w:tc>
          <w:tcPr>
            <w:tcW w:w="4984" w:type="dxa"/>
            <w:noWrap w:val="0"/>
            <w:vAlign w:val="center"/>
          </w:tcPr>
          <w:p w14:paraId="13028BC5">
            <w:pPr>
              <w:keepNext w:val="0"/>
              <w:keepLines w:val="0"/>
              <w:pageBreakBefore w:val="0"/>
              <w:widowControl w:val="0"/>
              <w:spacing w:line="32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评委根据各投标人的演示情况进行评分，演示内容及要求如下：</w:t>
            </w:r>
          </w:p>
          <w:p w14:paraId="54F13493">
            <w:pPr>
              <w:keepNext w:val="0"/>
              <w:keepLines w:val="0"/>
              <w:pageBreakBefore w:val="0"/>
              <w:widowControl w:val="0"/>
              <w:spacing w:line="32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系统支持IP对讲功能，通过终端可以呼叫后台人员，实现IP语音电话功能</w:t>
            </w:r>
            <w:r>
              <w:rPr>
                <w:rFonts w:hint="eastAsia" w:ascii="宋体" w:hAnsi="宋体" w:cs="宋体"/>
                <w:b/>
                <w:bCs/>
                <w:color w:val="auto"/>
                <w:sz w:val="28"/>
                <w:szCs w:val="28"/>
                <w:highlight w:val="none"/>
                <w:lang w:eastAsia="zh-CN"/>
              </w:rPr>
              <w:t>（</w:t>
            </w:r>
            <w:r>
              <w:rPr>
                <w:rFonts w:hint="eastAsia" w:ascii="宋体" w:hAnsi="宋体" w:eastAsia="宋体" w:cs="宋体"/>
                <w:b/>
                <w:bCs/>
                <w:color w:val="auto"/>
                <w:sz w:val="28"/>
                <w:szCs w:val="28"/>
                <w:highlight w:val="none"/>
              </w:rPr>
              <w:t>成功演示全部内容得</w:t>
            </w:r>
            <w:r>
              <w:rPr>
                <w:rFonts w:hint="eastAsia" w:ascii="宋体" w:hAnsi="宋体" w:cs="宋体"/>
                <w:b/>
                <w:bCs/>
                <w:color w:val="auto"/>
                <w:sz w:val="28"/>
                <w:szCs w:val="28"/>
                <w:highlight w:val="none"/>
                <w:lang w:val="en-US" w:eastAsia="zh-CN"/>
              </w:rPr>
              <w:t>1</w:t>
            </w:r>
            <w:r>
              <w:rPr>
                <w:rFonts w:hint="eastAsia" w:ascii="宋体" w:hAnsi="宋体" w:eastAsia="宋体" w:cs="宋体"/>
                <w:b/>
                <w:bCs/>
                <w:color w:val="auto"/>
                <w:sz w:val="28"/>
                <w:szCs w:val="28"/>
                <w:highlight w:val="none"/>
              </w:rPr>
              <w:t>分</w:t>
            </w:r>
            <w:r>
              <w:rPr>
                <w:rFonts w:hint="eastAsia" w:ascii="宋体" w:hAnsi="宋体" w:cs="宋体"/>
                <w:b/>
                <w:bCs/>
                <w:color w:val="auto"/>
                <w:sz w:val="28"/>
                <w:szCs w:val="28"/>
                <w:highlight w:val="none"/>
                <w:lang w:eastAsia="zh-CN"/>
              </w:rPr>
              <w:t>）</w:t>
            </w:r>
            <w:r>
              <w:rPr>
                <w:rFonts w:hint="eastAsia" w:ascii="宋体" w:hAnsi="宋体" w:eastAsia="宋体" w:cs="宋体"/>
                <w:color w:val="auto"/>
                <w:sz w:val="28"/>
                <w:szCs w:val="28"/>
                <w:highlight w:val="none"/>
              </w:rPr>
              <w:t>；支持卡、人脸、二维码等至少3种身份鉴权方式</w:t>
            </w:r>
            <w:r>
              <w:rPr>
                <w:rFonts w:hint="eastAsia" w:ascii="宋体" w:hAnsi="宋体" w:cs="宋体"/>
                <w:b/>
                <w:bCs/>
                <w:color w:val="auto"/>
                <w:sz w:val="28"/>
                <w:szCs w:val="28"/>
                <w:highlight w:val="none"/>
                <w:lang w:eastAsia="zh-CN"/>
              </w:rPr>
              <w:t>（</w:t>
            </w:r>
            <w:r>
              <w:rPr>
                <w:rFonts w:hint="eastAsia" w:ascii="宋体" w:hAnsi="宋体" w:eastAsia="宋体" w:cs="宋体"/>
                <w:b/>
                <w:bCs/>
                <w:color w:val="auto"/>
                <w:sz w:val="28"/>
                <w:szCs w:val="28"/>
                <w:highlight w:val="none"/>
              </w:rPr>
              <w:t>成功演示全部内容得</w:t>
            </w:r>
            <w:r>
              <w:rPr>
                <w:rFonts w:hint="eastAsia" w:ascii="宋体" w:hAnsi="宋体" w:cs="宋体"/>
                <w:b/>
                <w:bCs/>
                <w:color w:val="auto"/>
                <w:sz w:val="28"/>
                <w:szCs w:val="28"/>
                <w:highlight w:val="none"/>
                <w:lang w:val="en-US" w:eastAsia="zh-CN"/>
              </w:rPr>
              <w:t>1</w:t>
            </w:r>
            <w:r>
              <w:rPr>
                <w:rFonts w:hint="eastAsia" w:ascii="宋体" w:hAnsi="宋体" w:eastAsia="宋体" w:cs="宋体"/>
                <w:b/>
                <w:bCs/>
                <w:color w:val="auto"/>
                <w:sz w:val="28"/>
                <w:szCs w:val="28"/>
                <w:highlight w:val="none"/>
              </w:rPr>
              <w:t>分</w:t>
            </w:r>
            <w:r>
              <w:rPr>
                <w:rFonts w:hint="eastAsia" w:ascii="宋体" w:hAnsi="宋体" w:cs="宋体"/>
                <w:b/>
                <w:bCs/>
                <w:color w:val="auto"/>
                <w:sz w:val="28"/>
                <w:szCs w:val="28"/>
                <w:highlight w:val="none"/>
                <w:lang w:eastAsia="zh-CN"/>
              </w:rPr>
              <w:t>）</w:t>
            </w:r>
            <w:r>
              <w:rPr>
                <w:rFonts w:hint="eastAsia" w:ascii="宋体" w:hAnsi="宋体" w:eastAsia="宋体" w:cs="宋体"/>
                <w:color w:val="auto"/>
                <w:sz w:val="28"/>
                <w:szCs w:val="28"/>
                <w:highlight w:val="none"/>
              </w:rPr>
              <w:t>。</w:t>
            </w:r>
          </w:p>
          <w:p w14:paraId="165AFA5A">
            <w:pPr>
              <w:keepNext w:val="0"/>
              <w:keepLines w:val="0"/>
              <w:pageBreakBefore w:val="0"/>
              <w:widowControl w:val="0"/>
              <w:spacing w:line="32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2）系统具备中控主机固件在线升级功能，支持远程对教室终端进行升级</w:t>
            </w:r>
            <w:r>
              <w:rPr>
                <w:rFonts w:hint="eastAsia" w:ascii="宋体" w:hAnsi="宋体" w:cs="宋体"/>
                <w:b/>
                <w:bCs/>
                <w:color w:val="auto"/>
                <w:sz w:val="28"/>
                <w:szCs w:val="28"/>
                <w:highlight w:val="none"/>
                <w:lang w:eastAsia="zh-CN"/>
              </w:rPr>
              <w:t>（</w:t>
            </w:r>
            <w:r>
              <w:rPr>
                <w:rFonts w:hint="eastAsia" w:ascii="宋体" w:hAnsi="宋体" w:eastAsia="宋体" w:cs="宋体"/>
                <w:b/>
                <w:bCs/>
                <w:color w:val="auto"/>
                <w:sz w:val="28"/>
                <w:szCs w:val="28"/>
                <w:highlight w:val="none"/>
              </w:rPr>
              <w:t>成功演示全部内容得</w:t>
            </w:r>
            <w:r>
              <w:rPr>
                <w:rFonts w:hint="eastAsia" w:ascii="宋体" w:hAnsi="宋体" w:cs="宋体"/>
                <w:b/>
                <w:bCs/>
                <w:color w:val="auto"/>
                <w:sz w:val="28"/>
                <w:szCs w:val="28"/>
                <w:highlight w:val="none"/>
                <w:lang w:val="en-US" w:eastAsia="zh-CN"/>
              </w:rPr>
              <w:t>1</w:t>
            </w:r>
            <w:r>
              <w:rPr>
                <w:rFonts w:hint="eastAsia" w:ascii="宋体" w:hAnsi="宋体" w:eastAsia="宋体" w:cs="宋体"/>
                <w:b/>
                <w:bCs/>
                <w:color w:val="auto"/>
                <w:sz w:val="28"/>
                <w:szCs w:val="28"/>
                <w:highlight w:val="none"/>
              </w:rPr>
              <w:t>分</w:t>
            </w:r>
            <w:r>
              <w:rPr>
                <w:rFonts w:hint="eastAsia" w:ascii="宋体" w:hAnsi="宋体" w:cs="宋体"/>
                <w:b/>
                <w:bCs/>
                <w:color w:val="auto"/>
                <w:sz w:val="28"/>
                <w:szCs w:val="28"/>
                <w:highlight w:val="none"/>
                <w:lang w:eastAsia="zh-CN"/>
              </w:rPr>
              <w:t>）；</w:t>
            </w:r>
            <w:r>
              <w:rPr>
                <w:rFonts w:hint="eastAsia" w:ascii="宋体" w:hAnsi="宋体" w:eastAsia="宋体" w:cs="宋体"/>
                <w:color w:val="auto"/>
                <w:sz w:val="28"/>
                <w:szCs w:val="28"/>
                <w:highlight w:val="none"/>
              </w:rPr>
              <w:t>系统支持对中控屏幕上的UI资源进行远程管理，支持本地一键下发资源到教室终端，实现中控屏幕UI在线更新，支持UI文件的增加、删除</w:t>
            </w:r>
            <w:r>
              <w:rPr>
                <w:rFonts w:hint="eastAsia" w:ascii="宋体" w:hAnsi="宋体" w:cs="宋体"/>
                <w:b/>
                <w:bCs/>
                <w:color w:val="auto"/>
                <w:sz w:val="28"/>
                <w:szCs w:val="28"/>
                <w:highlight w:val="none"/>
                <w:lang w:eastAsia="zh-CN"/>
              </w:rPr>
              <w:t>（</w:t>
            </w:r>
            <w:r>
              <w:rPr>
                <w:rFonts w:hint="eastAsia" w:ascii="宋体" w:hAnsi="宋体" w:eastAsia="宋体" w:cs="宋体"/>
                <w:b/>
                <w:bCs/>
                <w:color w:val="auto"/>
                <w:sz w:val="28"/>
                <w:szCs w:val="28"/>
                <w:highlight w:val="none"/>
              </w:rPr>
              <w:t>成功演示全部内容得</w:t>
            </w:r>
            <w:r>
              <w:rPr>
                <w:rFonts w:hint="eastAsia" w:ascii="宋体" w:hAnsi="宋体" w:cs="宋体"/>
                <w:b/>
                <w:bCs/>
                <w:color w:val="auto"/>
                <w:sz w:val="28"/>
                <w:szCs w:val="28"/>
                <w:highlight w:val="none"/>
                <w:lang w:val="en-US" w:eastAsia="zh-CN"/>
              </w:rPr>
              <w:t>1</w:t>
            </w:r>
            <w:r>
              <w:rPr>
                <w:rFonts w:hint="eastAsia" w:ascii="宋体" w:hAnsi="宋体" w:eastAsia="宋体" w:cs="宋体"/>
                <w:b/>
                <w:bCs/>
                <w:color w:val="auto"/>
                <w:sz w:val="28"/>
                <w:szCs w:val="28"/>
                <w:highlight w:val="none"/>
              </w:rPr>
              <w:t>分</w:t>
            </w:r>
            <w:r>
              <w:rPr>
                <w:rFonts w:hint="eastAsia" w:ascii="宋体" w:hAnsi="宋体" w:cs="宋体"/>
                <w:b/>
                <w:bCs/>
                <w:color w:val="auto"/>
                <w:sz w:val="28"/>
                <w:szCs w:val="28"/>
                <w:highlight w:val="none"/>
                <w:lang w:eastAsia="zh-CN"/>
              </w:rPr>
              <w:t>）</w:t>
            </w:r>
            <w:r>
              <w:rPr>
                <w:rFonts w:hint="eastAsia" w:ascii="宋体" w:hAnsi="宋体" w:eastAsia="宋体" w:cs="宋体"/>
                <w:color w:val="auto"/>
                <w:sz w:val="28"/>
                <w:szCs w:val="28"/>
                <w:highlight w:val="none"/>
              </w:rPr>
              <w:t>。</w:t>
            </w:r>
          </w:p>
          <w:p w14:paraId="668B1226">
            <w:pPr>
              <w:keepNext w:val="0"/>
              <w:keepLines w:val="0"/>
              <w:pageBreakBefore w:val="0"/>
              <w:widowControl w:val="0"/>
              <w:spacing w:line="32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3）远程管理软件支持进行AI分析智能主机系统版本升级、麦克风降噪等级修改</w:t>
            </w:r>
            <w:r>
              <w:rPr>
                <w:rFonts w:hint="eastAsia" w:ascii="宋体" w:hAnsi="宋体" w:cs="宋体"/>
                <w:b/>
                <w:bCs/>
                <w:color w:val="auto"/>
                <w:sz w:val="28"/>
                <w:szCs w:val="28"/>
                <w:highlight w:val="none"/>
                <w:lang w:eastAsia="zh-CN"/>
              </w:rPr>
              <w:t>（</w:t>
            </w:r>
            <w:r>
              <w:rPr>
                <w:rFonts w:hint="eastAsia" w:ascii="宋体" w:hAnsi="宋体" w:eastAsia="宋体" w:cs="宋体"/>
                <w:b/>
                <w:bCs/>
                <w:color w:val="auto"/>
                <w:sz w:val="28"/>
                <w:szCs w:val="28"/>
                <w:highlight w:val="none"/>
              </w:rPr>
              <w:t>成功演示全部内容得</w:t>
            </w:r>
            <w:r>
              <w:rPr>
                <w:rFonts w:hint="eastAsia" w:ascii="宋体" w:hAnsi="宋体" w:cs="宋体"/>
                <w:b/>
                <w:bCs/>
                <w:color w:val="auto"/>
                <w:sz w:val="28"/>
                <w:szCs w:val="28"/>
                <w:highlight w:val="none"/>
                <w:lang w:val="en-US" w:eastAsia="zh-CN"/>
              </w:rPr>
              <w:t>1</w:t>
            </w:r>
            <w:r>
              <w:rPr>
                <w:rFonts w:hint="eastAsia" w:ascii="宋体" w:hAnsi="宋体" w:eastAsia="宋体" w:cs="宋体"/>
                <w:b/>
                <w:bCs/>
                <w:color w:val="auto"/>
                <w:sz w:val="28"/>
                <w:szCs w:val="28"/>
                <w:highlight w:val="none"/>
              </w:rPr>
              <w:t>分</w:t>
            </w:r>
            <w:r>
              <w:rPr>
                <w:rFonts w:hint="eastAsia" w:ascii="宋体" w:hAnsi="宋体" w:cs="宋体"/>
                <w:b/>
                <w:bCs/>
                <w:color w:val="auto"/>
                <w:sz w:val="28"/>
                <w:szCs w:val="28"/>
                <w:highlight w:val="none"/>
                <w:lang w:eastAsia="zh-CN"/>
              </w:rPr>
              <w:t>）；</w:t>
            </w:r>
            <w:r>
              <w:rPr>
                <w:rFonts w:hint="eastAsia" w:ascii="宋体" w:hAnsi="宋体" w:eastAsia="宋体" w:cs="宋体"/>
                <w:color w:val="auto"/>
                <w:sz w:val="28"/>
                <w:szCs w:val="28"/>
                <w:highlight w:val="none"/>
              </w:rPr>
              <w:t>可以自定义切换主机不少于</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路HDMI或UVC输出接口信号源，满足视频会议软件或多场景画面显示需要</w:t>
            </w:r>
            <w:r>
              <w:rPr>
                <w:rFonts w:hint="eastAsia" w:ascii="宋体" w:hAnsi="宋体" w:cs="宋体"/>
                <w:b/>
                <w:bCs/>
                <w:color w:val="auto"/>
                <w:sz w:val="28"/>
                <w:szCs w:val="28"/>
                <w:highlight w:val="none"/>
                <w:lang w:eastAsia="zh-CN"/>
              </w:rPr>
              <w:t>（</w:t>
            </w:r>
            <w:r>
              <w:rPr>
                <w:rFonts w:hint="eastAsia" w:ascii="宋体" w:hAnsi="宋体" w:eastAsia="宋体" w:cs="宋体"/>
                <w:b/>
                <w:bCs/>
                <w:color w:val="auto"/>
                <w:sz w:val="28"/>
                <w:szCs w:val="28"/>
                <w:highlight w:val="none"/>
              </w:rPr>
              <w:t>成功演示全部内容得</w:t>
            </w:r>
            <w:r>
              <w:rPr>
                <w:rFonts w:hint="eastAsia" w:ascii="宋体" w:hAnsi="宋体" w:cs="宋体"/>
                <w:b/>
                <w:bCs/>
                <w:color w:val="auto"/>
                <w:sz w:val="28"/>
                <w:szCs w:val="28"/>
                <w:highlight w:val="none"/>
                <w:lang w:val="en-US" w:eastAsia="zh-CN"/>
              </w:rPr>
              <w:t>1</w:t>
            </w:r>
            <w:r>
              <w:rPr>
                <w:rFonts w:hint="eastAsia" w:ascii="宋体" w:hAnsi="宋体" w:eastAsia="宋体" w:cs="宋体"/>
                <w:b/>
                <w:bCs/>
                <w:color w:val="auto"/>
                <w:sz w:val="28"/>
                <w:szCs w:val="28"/>
                <w:highlight w:val="none"/>
              </w:rPr>
              <w:t>分</w:t>
            </w:r>
            <w:r>
              <w:rPr>
                <w:rFonts w:hint="eastAsia" w:ascii="宋体" w:hAnsi="宋体" w:cs="宋体"/>
                <w:b/>
                <w:bCs/>
                <w:color w:val="auto"/>
                <w:sz w:val="28"/>
                <w:szCs w:val="28"/>
                <w:highlight w:val="none"/>
                <w:lang w:eastAsia="zh-CN"/>
              </w:rPr>
              <w:t>）</w:t>
            </w:r>
            <w:r>
              <w:rPr>
                <w:rFonts w:hint="eastAsia" w:ascii="宋体" w:hAnsi="宋体" w:eastAsia="宋体" w:cs="宋体"/>
                <w:color w:val="auto"/>
                <w:sz w:val="28"/>
                <w:szCs w:val="28"/>
                <w:highlight w:val="none"/>
              </w:rPr>
              <w:t>。</w:t>
            </w:r>
          </w:p>
          <w:p w14:paraId="3D8BCFE6">
            <w:pPr>
              <w:keepNext w:val="0"/>
              <w:keepLines w:val="0"/>
              <w:pageBreakBefore w:val="0"/>
              <w:widowControl w:val="0"/>
              <w:spacing w:line="32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AI分析声音采集前端处理系统和与AI分析智能主机配套使用后具备智能降噪能力，在人为模拟的教室噪音环境中，如翻书、鼓掌等情境下同时说话，AI分析智能主机录制下来的视频可以直接在屏幕上进行播放，视频人声清晰，噪音被智能过滤或消除</w:t>
            </w:r>
            <w:r>
              <w:rPr>
                <w:rFonts w:hint="eastAsia" w:ascii="宋体" w:hAnsi="宋体" w:cs="宋体"/>
                <w:b/>
                <w:bCs/>
                <w:color w:val="auto"/>
                <w:sz w:val="28"/>
                <w:szCs w:val="28"/>
                <w:highlight w:val="none"/>
                <w:lang w:eastAsia="zh-CN"/>
              </w:rPr>
              <w:t>（</w:t>
            </w:r>
            <w:r>
              <w:rPr>
                <w:rFonts w:hint="eastAsia" w:ascii="宋体" w:hAnsi="宋体" w:eastAsia="宋体" w:cs="宋体"/>
                <w:b/>
                <w:bCs/>
                <w:color w:val="auto"/>
                <w:sz w:val="28"/>
                <w:szCs w:val="28"/>
                <w:highlight w:val="none"/>
              </w:rPr>
              <w:t>成功演示全部内容得</w:t>
            </w:r>
            <w:r>
              <w:rPr>
                <w:rFonts w:hint="eastAsia" w:ascii="宋体" w:hAnsi="宋体" w:cs="宋体"/>
                <w:b/>
                <w:bCs/>
                <w:color w:val="auto"/>
                <w:sz w:val="28"/>
                <w:szCs w:val="28"/>
                <w:highlight w:val="none"/>
                <w:lang w:val="en-US" w:eastAsia="zh-CN"/>
              </w:rPr>
              <w:t>1</w:t>
            </w:r>
            <w:r>
              <w:rPr>
                <w:rFonts w:hint="eastAsia" w:ascii="宋体" w:hAnsi="宋体" w:eastAsia="宋体" w:cs="宋体"/>
                <w:b/>
                <w:bCs/>
                <w:color w:val="auto"/>
                <w:sz w:val="28"/>
                <w:szCs w:val="28"/>
                <w:highlight w:val="none"/>
              </w:rPr>
              <w:t>分</w:t>
            </w:r>
            <w:r>
              <w:rPr>
                <w:rFonts w:hint="eastAsia" w:ascii="宋体" w:hAnsi="宋体" w:cs="宋体"/>
                <w:b/>
                <w:bCs/>
                <w:color w:val="auto"/>
                <w:sz w:val="28"/>
                <w:szCs w:val="28"/>
                <w:highlight w:val="none"/>
                <w:lang w:eastAsia="zh-CN"/>
              </w:rPr>
              <w:t>）</w:t>
            </w:r>
            <w:r>
              <w:rPr>
                <w:rFonts w:hint="eastAsia" w:ascii="宋体" w:hAnsi="宋体" w:eastAsia="宋体" w:cs="宋体"/>
                <w:color w:val="auto"/>
                <w:sz w:val="28"/>
                <w:szCs w:val="28"/>
                <w:highlight w:val="none"/>
              </w:rPr>
              <w:t>；每一路视频（如教师全景、学生全景等）均能同步录制声音</w:t>
            </w:r>
            <w:r>
              <w:rPr>
                <w:rFonts w:hint="eastAsia" w:ascii="宋体" w:hAnsi="宋体" w:cs="宋体"/>
                <w:b/>
                <w:bCs/>
                <w:color w:val="auto"/>
                <w:sz w:val="28"/>
                <w:szCs w:val="28"/>
                <w:highlight w:val="none"/>
                <w:lang w:eastAsia="zh-CN"/>
              </w:rPr>
              <w:t>（</w:t>
            </w:r>
            <w:r>
              <w:rPr>
                <w:rFonts w:hint="eastAsia" w:ascii="宋体" w:hAnsi="宋体" w:eastAsia="宋体" w:cs="宋体"/>
                <w:b/>
                <w:bCs/>
                <w:color w:val="auto"/>
                <w:sz w:val="28"/>
                <w:szCs w:val="28"/>
                <w:highlight w:val="none"/>
              </w:rPr>
              <w:t>成功演示全部内容得</w:t>
            </w:r>
            <w:r>
              <w:rPr>
                <w:rFonts w:hint="eastAsia" w:ascii="宋体" w:hAnsi="宋体" w:cs="宋体"/>
                <w:b/>
                <w:bCs/>
                <w:color w:val="auto"/>
                <w:sz w:val="28"/>
                <w:szCs w:val="28"/>
                <w:highlight w:val="none"/>
                <w:lang w:val="en-US" w:eastAsia="zh-CN"/>
              </w:rPr>
              <w:t>1</w:t>
            </w:r>
            <w:r>
              <w:rPr>
                <w:rFonts w:hint="eastAsia" w:ascii="宋体" w:hAnsi="宋体" w:eastAsia="宋体" w:cs="宋体"/>
                <w:b/>
                <w:bCs/>
                <w:color w:val="auto"/>
                <w:sz w:val="28"/>
                <w:szCs w:val="28"/>
                <w:highlight w:val="none"/>
              </w:rPr>
              <w:t>分</w:t>
            </w:r>
            <w:r>
              <w:rPr>
                <w:rFonts w:hint="eastAsia" w:ascii="宋体" w:hAnsi="宋体" w:cs="宋体"/>
                <w:b/>
                <w:bCs/>
                <w:color w:val="auto"/>
                <w:sz w:val="28"/>
                <w:szCs w:val="28"/>
                <w:highlight w:val="none"/>
                <w:lang w:eastAsia="zh-CN"/>
              </w:rPr>
              <w:t>）</w:t>
            </w:r>
            <w:r>
              <w:rPr>
                <w:rFonts w:hint="eastAsia" w:ascii="宋体" w:hAnsi="宋体" w:eastAsia="宋体" w:cs="宋体"/>
                <w:color w:val="auto"/>
                <w:sz w:val="28"/>
                <w:szCs w:val="28"/>
                <w:highlight w:val="none"/>
              </w:rPr>
              <w:t>。</w:t>
            </w:r>
          </w:p>
          <w:p w14:paraId="4195E8A2">
            <w:pPr>
              <w:keepNext w:val="0"/>
              <w:keepLines w:val="0"/>
              <w:pageBreakBefore w:val="0"/>
              <w:widowControl w:val="0"/>
              <w:spacing w:line="32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5）根据指标库可设定评价量表，内置AI教学评价模板，评价维度包括教学态度、教学内容、教学方法、课堂素养、教学效果等</w:t>
            </w:r>
            <w:r>
              <w:rPr>
                <w:rFonts w:hint="eastAsia" w:ascii="宋体" w:hAnsi="宋体" w:cs="宋体"/>
                <w:b/>
                <w:bCs/>
                <w:color w:val="auto"/>
                <w:sz w:val="28"/>
                <w:szCs w:val="28"/>
                <w:highlight w:val="none"/>
                <w:lang w:eastAsia="zh-CN"/>
              </w:rPr>
              <w:t>（</w:t>
            </w:r>
            <w:r>
              <w:rPr>
                <w:rFonts w:hint="eastAsia" w:ascii="宋体" w:hAnsi="宋体" w:eastAsia="宋体" w:cs="宋体"/>
                <w:b/>
                <w:bCs/>
                <w:color w:val="auto"/>
                <w:sz w:val="28"/>
                <w:szCs w:val="28"/>
                <w:highlight w:val="none"/>
              </w:rPr>
              <w:t>成功演示全部内容得</w:t>
            </w:r>
            <w:r>
              <w:rPr>
                <w:rFonts w:hint="eastAsia" w:ascii="宋体" w:hAnsi="宋体" w:cs="宋体"/>
                <w:b/>
                <w:bCs/>
                <w:color w:val="auto"/>
                <w:sz w:val="28"/>
                <w:szCs w:val="28"/>
                <w:highlight w:val="none"/>
                <w:lang w:val="en-US" w:eastAsia="zh-CN"/>
              </w:rPr>
              <w:t>1</w:t>
            </w:r>
            <w:r>
              <w:rPr>
                <w:rFonts w:hint="eastAsia" w:ascii="宋体" w:hAnsi="宋体" w:eastAsia="宋体" w:cs="宋体"/>
                <w:b/>
                <w:bCs/>
                <w:color w:val="auto"/>
                <w:sz w:val="28"/>
                <w:szCs w:val="28"/>
                <w:highlight w:val="none"/>
              </w:rPr>
              <w:t>分</w:t>
            </w:r>
            <w:r>
              <w:rPr>
                <w:rFonts w:hint="eastAsia" w:ascii="宋体" w:hAnsi="宋体" w:cs="宋体"/>
                <w:b/>
                <w:bCs/>
                <w:color w:val="auto"/>
                <w:sz w:val="28"/>
                <w:szCs w:val="28"/>
                <w:highlight w:val="none"/>
                <w:lang w:eastAsia="zh-CN"/>
              </w:rPr>
              <w:t>）</w:t>
            </w:r>
            <w:r>
              <w:rPr>
                <w:rFonts w:hint="eastAsia" w:ascii="宋体" w:hAnsi="宋体" w:eastAsia="宋体" w:cs="宋体"/>
                <w:color w:val="auto"/>
                <w:sz w:val="28"/>
                <w:szCs w:val="28"/>
                <w:highlight w:val="none"/>
              </w:rPr>
              <w:t>；支持每个维度下匹配指标库内容，且提供默认维度权重、指标分数等</w:t>
            </w:r>
            <w:r>
              <w:rPr>
                <w:rFonts w:hint="eastAsia" w:ascii="宋体" w:hAnsi="宋体" w:cs="宋体"/>
                <w:b/>
                <w:bCs/>
                <w:color w:val="auto"/>
                <w:sz w:val="28"/>
                <w:szCs w:val="28"/>
                <w:highlight w:val="none"/>
                <w:lang w:eastAsia="zh-CN"/>
              </w:rPr>
              <w:t>（</w:t>
            </w:r>
            <w:r>
              <w:rPr>
                <w:rFonts w:hint="eastAsia" w:ascii="宋体" w:hAnsi="宋体" w:eastAsia="宋体" w:cs="宋体"/>
                <w:b/>
                <w:bCs/>
                <w:color w:val="auto"/>
                <w:sz w:val="28"/>
                <w:szCs w:val="28"/>
                <w:highlight w:val="none"/>
              </w:rPr>
              <w:t>成功演示全部内容得</w:t>
            </w:r>
            <w:r>
              <w:rPr>
                <w:rFonts w:hint="eastAsia" w:ascii="宋体" w:hAnsi="宋体" w:cs="宋体"/>
                <w:b/>
                <w:bCs/>
                <w:color w:val="auto"/>
                <w:sz w:val="28"/>
                <w:szCs w:val="28"/>
                <w:highlight w:val="none"/>
                <w:lang w:val="en-US" w:eastAsia="zh-CN"/>
              </w:rPr>
              <w:t>1</w:t>
            </w:r>
            <w:r>
              <w:rPr>
                <w:rFonts w:hint="eastAsia" w:ascii="宋体" w:hAnsi="宋体" w:eastAsia="宋体" w:cs="宋体"/>
                <w:b/>
                <w:bCs/>
                <w:color w:val="auto"/>
                <w:sz w:val="28"/>
                <w:szCs w:val="28"/>
                <w:highlight w:val="none"/>
              </w:rPr>
              <w:t>分</w:t>
            </w:r>
            <w:r>
              <w:rPr>
                <w:rFonts w:hint="eastAsia" w:ascii="宋体" w:hAnsi="宋体" w:cs="宋体"/>
                <w:b/>
                <w:bCs/>
                <w:color w:val="auto"/>
                <w:sz w:val="28"/>
                <w:szCs w:val="28"/>
                <w:highlight w:val="none"/>
                <w:lang w:eastAsia="zh-CN"/>
              </w:rPr>
              <w:t>）</w:t>
            </w:r>
            <w:r>
              <w:rPr>
                <w:rFonts w:hint="eastAsia" w:ascii="宋体" w:hAnsi="宋体" w:eastAsia="宋体" w:cs="宋体"/>
                <w:color w:val="auto"/>
                <w:sz w:val="28"/>
                <w:szCs w:val="28"/>
                <w:highlight w:val="none"/>
              </w:rPr>
              <w:t>。</w:t>
            </w:r>
          </w:p>
          <w:p w14:paraId="09675E13">
            <w:pPr>
              <w:keepNext w:val="0"/>
              <w:keepLines w:val="0"/>
              <w:pageBreakBefore w:val="0"/>
              <w:widowControl w:val="0"/>
              <w:spacing w:line="320" w:lineRule="exact"/>
              <w:jc w:val="left"/>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评分说明：不能成功演示全部内容的对应项不得分</w:t>
            </w:r>
            <w:r>
              <w:rPr>
                <w:rFonts w:hint="eastAsia" w:ascii="宋体" w:hAnsi="宋体" w:cs="宋体"/>
                <w:color w:val="auto"/>
                <w:sz w:val="28"/>
                <w:szCs w:val="28"/>
                <w:highlight w:val="none"/>
                <w:lang w:eastAsia="zh-CN"/>
              </w:rPr>
              <w:t>。</w:t>
            </w:r>
          </w:p>
          <w:p w14:paraId="6759941F">
            <w:pPr>
              <w:keepNext w:val="0"/>
              <w:keepLines w:val="0"/>
              <w:pageBreakBefore w:val="0"/>
              <w:widowControl w:val="0"/>
              <w:spacing w:line="32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投标人对所投产品视频演示（视频按招标公告要求上传至苏采云系统，演示时间不得超过</w:t>
            </w:r>
            <w:r>
              <w:rPr>
                <w:rFonts w:hint="eastAsia" w:ascii="宋体" w:hAnsi="宋体" w:eastAsia="宋体" w:cs="宋体"/>
                <w:color w:val="auto"/>
                <w:sz w:val="28"/>
                <w:szCs w:val="28"/>
                <w:highlight w:val="none"/>
                <w:lang w:val="en-US" w:eastAsia="zh-CN"/>
              </w:rPr>
              <w:t>15</w:t>
            </w:r>
            <w:r>
              <w:rPr>
                <w:rFonts w:hint="eastAsia" w:ascii="宋体" w:hAnsi="宋体" w:eastAsia="宋体" w:cs="宋体"/>
                <w:color w:val="auto"/>
                <w:sz w:val="28"/>
                <w:szCs w:val="28"/>
                <w:highlight w:val="none"/>
              </w:rPr>
              <w:t>分钟，超过</w:t>
            </w:r>
            <w:r>
              <w:rPr>
                <w:rFonts w:hint="eastAsia" w:ascii="宋体" w:hAnsi="宋体" w:eastAsia="宋体" w:cs="宋体"/>
                <w:color w:val="auto"/>
                <w:sz w:val="28"/>
                <w:szCs w:val="28"/>
                <w:highlight w:val="none"/>
                <w:lang w:val="en-US" w:eastAsia="zh-CN"/>
              </w:rPr>
              <w:t>15</w:t>
            </w:r>
            <w:r>
              <w:rPr>
                <w:rFonts w:hint="eastAsia" w:ascii="宋体" w:hAnsi="宋体" w:eastAsia="宋体" w:cs="宋体"/>
                <w:color w:val="auto"/>
                <w:sz w:val="28"/>
                <w:szCs w:val="28"/>
                <w:highlight w:val="none"/>
              </w:rPr>
              <w:t>分钟的按前</w:t>
            </w:r>
            <w:r>
              <w:rPr>
                <w:rFonts w:hint="eastAsia" w:ascii="宋体" w:hAnsi="宋体" w:eastAsia="宋体" w:cs="宋体"/>
                <w:color w:val="auto"/>
                <w:sz w:val="28"/>
                <w:szCs w:val="28"/>
                <w:highlight w:val="none"/>
                <w:lang w:val="en-US" w:eastAsia="zh-CN"/>
              </w:rPr>
              <w:t>15</w:t>
            </w:r>
            <w:r>
              <w:rPr>
                <w:rFonts w:hint="eastAsia" w:ascii="宋体" w:hAnsi="宋体" w:eastAsia="宋体" w:cs="宋体"/>
                <w:color w:val="auto"/>
                <w:sz w:val="28"/>
                <w:szCs w:val="28"/>
                <w:highlight w:val="none"/>
              </w:rPr>
              <w:t>分钟内容为评审依据）。仅以PPT及WORD等素材演示不得分。</w:t>
            </w:r>
          </w:p>
          <w:p w14:paraId="3CEA5388">
            <w:pPr>
              <w:keepNext w:val="0"/>
              <w:keepLines w:val="0"/>
              <w:pageBreakBefore w:val="0"/>
              <w:widowControl w:val="0"/>
              <w:spacing w:line="320" w:lineRule="exact"/>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投标人不提供产品演示的</w:t>
            </w:r>
            <w:r>
              <w:rPr>
                <w:rFonts w:hint="eastAsia" w:ascii="宋体" w:hAnsi="宋体" w:cs="宋体"/>
                <w:b/>
                <w:color w:val="auto"/>
                <w:sz w:val="28"/>
                <w:szCs w:val="28"/>
                <w:highlight w:val="none"/>
                <w:lang w:val="en-US" w:eastAsia="zh-CN"/>
              </w:rPr>
              <w:t>对应</w:t>
            </w:r>
            <w:r>
              <w:rPr>
                <w:rFonts w:hint="eastAsia" w:ascii="宋体" w:hAnsi="宋体" w:cs="宋体"/>
                <w:b/>
                <w:color w:val="auto"/>
                <w:sz w:val="28"/>
                <w:szCs w:val="28"/>
                <w:highlight w:val="none"/>
                <w:lang w:eastAsia="zh-CN"/>
              </w:rPr>
              <w:t>演示项按</w:t>
            </w:r>
            <w:r>
              <w:rPr>
                <w:rFonts w:hint="eastAsia" w:ascii="宋体" w:hAnsi="宋体" w:cs="宋体"/>
                <w:b/>
                <w:color w:val="auto"/>
                <w:sz w:val="28"/>
                <w:szCs w:val="28"/>
                <w:highlight w:val="none"/>
                <w:lang w:val="en-US" w:eastAsia="zh-CN"/>
              </w:rPr>
              <w:t>0分处理</w:t>
            </w:r>
            <w:r>
              <w:rPr>
                <w:rFonts w:hint="eastAsia" w:ascii="宋体" w:hAnsi="宋体" w:eastAsia="宋体" w:cs="宋体"/>
                <w:b/>
                <w:color w:val="auto"/>
                <w:sz w:val="28"/>
                <w:szCs w:val="28"/>
                <w:highlight w:val="none"/>
              </w:rPr>
              <w:t>。</w:t>
            </w:r>
          </w:p>
        </w:tc>
        <w:tc>
          <w:tcPr>
            <w:tcW w:w="1089" w:type="dxa"/>
            <w:noWrap w:val="0"/>
            <w:vAlign w:val="center"/>
          </w:tcPr>
          <w:p w14:paraId="0CCCE95E">
            <w:pPr>
              <w:keepNext w:val="0"/>
              <w:keepLines w:val="0"/>
              <w:pageBreakBefore w:val="0"/>
              <w:widowControl w:val="0"/>
              <w:spacing w:line="32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w:t>
            </w:r>
          </w:p>
        </w:tc>
        <w:tc>
          <w:tcPr>
            <w:tcW w:w="1095" w:type="dxa"/>
            <w:noWrap w:val="0"/>
            <w:vAlign w:val="center"/>
          </w:tcPr>
          <w:p w14:paraId="690E6C1E">
            <w:pPr>
              <w:keepNext w:val="0"/>
              <w:keepLines w:val="0"/>
              <w:pageBreakBefore w:val="0"/>
              <w:widowControl w:val="0"/>
              <w:spacing w:line="32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w:t>
            </w:r>
          </w:p>
        </w:tc>
        <w:tc>
          <w:tcPr>
            <w:tcW w:w="934" w:type="dxa"/>
            <w:noWrap w:val="0"/>
            <w:vAlign w:val="center"/>
          </w:tcPr>
          <w:p w14:paraId="16FEFD6F">
            <w:pPr>
              <w:keepNext w:val="0"/>
              <w:keepLines w:val="0"/>
              <w:pageBreakBefore w:val="0"/>
              <w:widowControl w:val="0"/>
              <w:spacing w:line="32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客观分</w:t>
            </w:r>
          </w:p>
        </w:tc>
      </w:tr>
      <w:tr w14:paraId="60009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90" w:hRule="atLeast"/>
          <w:jc w:val="center"/>
        </w:trPr>
        <w:tc>
          <w:tcPr>
            <w:tcW w:w="544" w:type="dxa"/>
            <w:noWrap w:val="0"/>
            <w:vAlign w:val="center"/>
          </w:tcPr>
          <w:p w14:paraId="7F8B5461">
            <w:pPr>
              <w:keepNext w:val="0"/>
              <w:keepLines w:val="0"/>
              <w:pageBreakBefore w:val="0"/>
              <w:widowControl w:val="0"/>
              <w:spacing w:line="320" w:lineRule="exact"/>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4</w:t>
            </w:r>
          </w:p>
        </w:tc>
        <w:tc>
          <w:tcPr>
            <w:tcW w:w="1130" w:type="dxa"/>
            <w:noWrap w:val="0"/>
            <w:vAlign w:val="center"/>
          </w:tcPr>
          <w:p w14:paraId="38C774BF">
            <w:pPr>
              <w:keepNext w:val="0"/>
              <w:keepLines w:val="0"/>
              <w:pageBreakBefore w:val="0"/>
              <w:widowControl w:val="0"/>
              <w:spacing w:line="320" w:lineRule="exact"/>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技术服务方案</w:t>
            </w:r>
          </w:p>
        </w:tc>
        <w:tc>
          <w:tcPr>
            <w:tcW w:w="4984" w:type="dxa"/>
            <w:noWrap w:val="0"/>
            <w:vAlign w:val="top"/>
          </w:tcPr>
          <w:p w14:paraId="64C0FC41">
            <w:pPr>
              <w:spacing w:before="120" w:after="120" w:line="288" w:lineRule="auto"/>
              <w:ind w:left="0"/>
              <w:jc w:val="left"/>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对投标人提供的技术服务方案进行评审。</w:t>
            </w:r>
          </w:p>
          <w:p w14:paraId="598F47B0">
            <w:pPr>
              <w:spacing w:before="120" w:after="120" w:line="288" w:lineRule="auto"/>
              <w:ind w:left="0"/>
              <w:jc w:val="lef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整体设计方案（5分，分项扣分，依据方案完整性、贴合本项目建设需求程度逐项计分）</w:t>
            </w:r>
          </w:p>
          <w:p w14:paraId="43F35FD8">
            <w:pPr>
              <w:spacing w:before="120" w:after="120" w:line="288" w:lineRule="auto"/>
              <w:ind w:left="0"/>
              <w:jc w:val="lef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①具备适配本项目多规格智慧教室的整体平面布局规划、全套系统架构设计、设备组网拓扑图纸，图纸清晰规范、贴合项目现场工况、覆盖全部建设内容，内容完整得1分，缺项、内容简略、与项目实际不符不得分；</w:t>
            </w:r>
          </w:p>
          <w:p w14:paraId="491B7898">
            <w:pPr>
              <w:spacing w:before="120" w:after="120" w:line="288" w:lineRule="auto"/>
              <w:ind w:left="0"/>
              <w:jc w:val="lef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②针对本项目常态化录播系统运行需求、教室声学环境降噪、声场均匀度优化、扩声适配教学场景等内容提供专项设计方案，方案具备针对性、可落地性得1分，无专项设计、内容套用通用模板不得分；</w:t>
            </w:r>
          </w:p>
          <w:p w14:paraId="26535EC7">
            <w:pPr>
              <w:spacing w:before="120" w:after="120" w:line="288" w:lineRule="auto"/>
              <w:ind w:left="0"/>
              <w:jc w:val="lef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③提供完整的金智教务系统、校园一卡通系统、统一身份认证平台、职教数字基座四大系统对接实施方案，明确对接接口、数据互通规则、权限适配、数据同步机制，全套内容完整得2分，每缺失一类系统对接内容扣0.5分，扣完为止；</w:t>
            </w:r>
          </w:p>
          <w:p w14:paraId="3E9DDA54">
            <w:pPr>
              <w:spacing w:before="120" w:after="120" w:line="288" w:lineRule="auto"/>
              <w:ind w:left="0"/>
              <w:jc w:val="lef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④针对本项目教学音视频数据存储、数据安全加密、课堂数据隐私保护、教室局域网安全防护、设备网络运维管控等内容提供专项安全设计方案，内容完善合规得1分，无专项安全设计、内容空洞不得分。</w:t>
            </w:r>
          </w:p>
          <w:p w14:paraId="3707C6DB">
            <w:pPr>
              <w:spacing w:before="120" w:after="120" w:line="288" w:lineRule="auto"/>
              <w:ind w:left="0"/>
              <w:jc w:val="lef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实施方案（4分，分项扣分，依据施工落地可行性、管控规范性逐项计分）</w:t>
            </w:r>
          </w:p>
          <w:p w14:paraId="52B65C77">
            <w:pPr>
              <w:spacing w:before="120" w:after="120" w:line="288" w:lineRule="auto"/>
              <w:ind w:left="0"/>
              <w:jc w:val="lef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①结合本项目整体建设规模、现场施工条件，提供30个日历天全周期细化施工进度计划表，明确设备供货、进场安装、布线施工、系统调试、联调测试、竣工验收各阶段具体节点、人员分工、工期保障措施，计划详实完整得1分，工期计划笼统、无细化节点、无保障措施不得分；</w:t>
            </w:r>
          </w:p>
          <w:p w14:paraId="09A7D67E">
            <w:pPr>
              <w:spacing w:before="120" w:after="120" w:line="288" w:lineRule="auto"/>
              <w:ind w:left="0"/>
              <w:jc w:val="lef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②具备完善的设备安装施工质量管控标准、现场安全文明施工规范、校园施工降噪防尘措施、成品保护方案，贴合校园教学场景施工要求，措施全面得1分，内容缺失、无针对性管控措施不得分；</w:t>
            </w:r>
          </w:p>
          <w:p w14:paraId="696E331D">
            <w:pPr>
              <w:spacing w:before="120" w:after="120" w:line="288" w:lineRule="auto"/>
              <w:ind w:left="0"/>
              <w:jc w:val="lef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③提供本项目专属项目团队配置方案，明确项目经理、弱电施工工程师、AI系统集成工程师、现场运维人员等岗位职责、持证资质、岗位分工，人员配置齐全、专业匹配项目需求得1分，人员配置残缺、无持证说明、分工模糊不得分；</w:t>
            </w:r>
          </w:p>
          <w:p w14:paraId="5338FC0E">
            <w:pPr>
              <w:spacing w:before="120" w:after="120" w:line="288" w:lineRule="auto"/>
              <w:ind w:left="0"/>
              <w:jc w:val="lef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④针对设备供货延期、现场施工故障、系统调试异常、设备兼容故障等各类突发情况，制定完整、可落地的应急处置预案，保障项目按期保质完工，预案完善得1分，无专项预案、内容空洞不得分。</w:t>
            </w:r>
          </w:p>
          <w:p w14:paraId="3A10B8A7">
            <w:pPr>
              <w:spacing w:before="120" w:after="120" w:line="288" w:lineRule="auto"/>
              <w:ind w:left="0"/>
              <w:jc w:val="lef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售后服务方案（3分，分项扣分，依据服务保障性、长效运维能力逐项计分）</w:t>
            </w:r>
          </w:p>
          <w:p w14:paraId="344E1A5A">
            <w:pPr>
              <w:spacing w:before="120" w:after="120" w:line="288" w:lineRule="auto"/>
              <w:ind w:left="0"/>
              <w:jc w:val="lef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①承诺提供原厂完整质保服务，明确质保范围覆盖全部软硬件设备、免费维修更换、免费系统升级，同时明确4小时现场响应、48小时故障排查修复的售后时效标准，承诺完整规范得1分，质保、时效承诺缺失或不完整不得分；</w:t>
            </w:r>
          </w:p>
          <w:p w14:paraId="6CC5BA18">
            <w:pPr>
              <w:spacing w:before="120" w:after="120" w:line="288" w:lineRule="auto"/>
              <w:ind w:left="0"/>
              <w:jc w:val="lef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②制定分层分类专项培训方案，针对学校管理员、授课教师、教学督导等不同使用人群，提供设备操作、系统运维、AI功能使用、日常故障自查等实操培训计划及配套培训课件，培训体系完整得1分，无分层培训、仅简单说明不得分；</w:t>
            </w:r>
          </w:p>
          <w:p w14:paraId="03CE7154">
            <w:pPr>
              <w:spacing w:before="120" w:after="120" w:line="288" w:lineRule="auto"/>
              <w:ind w:left="0" w:leftChars="0"/>
              <w:jc w:val="left"/>
              <w:rPr>
                <w:rFonts w:hint="eastAsia" w:ascii="宋体" w:hAnsi="宋体" w:eastAsia="宋体" w:cs="宋体"/>
                <w:color w:val="auto"/>
                <w:sz w:val="28"/>
                <w:szCs w:val="28"/>
                <w:highlight w:val="none"/>
              </w:rPr>
            </w:pPr>
            <w:r>
              <w:rPr>
                <w:rFonts w:hint="eastAsia" w:ascii="仿宋" w:hAnsi="仿宋" w:eastAsia="仿宋" w:cs="仿宋"/>
                <w:color w:val="auto"/>
                <w:sz w:val="22"/>
                <w:highlight w:val="none"/>
                <w:lang w:val="en-US" w:eastAsia="zh-CN"/>
              </w:rPr>
              <w:t>③明确本地常驻运维服务团队配置、人员在岗机制、常态化巡检服务计划，提供备品备件储备保障说明，确保项目长期稳定运行，内容详实完善得1分，无本地运维、无备品保障说明不得分。</w:t>
            </w:r>
          </w:p>
        </w:tc>
        <w:tc>
          <w:tcPr>
            <w:tcW w:w="1089" w:type="dxa"/>
            <w:noWrap w:val="0"/>
            <w:vAlign w:val="center"/>
          </w:tcPr>
          <w:p w14:paraId="090C6158">
            <w:pPr>
              <w:keepNext w:val="0"/>
              <w:keepLines w:val="0"/>
              <w:pageBreakBefore w:val="0"/>
              <w:widowControl w:val="0"/>
              <w:spacing w:line="32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w:t>
            </w:r>
          </w:p>
        </w:tc>
        <w:tc>
          <w:tcPr>
            <w:tcW w:w="1095" w:type="dxa"/>
            <w:noWrap w:val="0"/>
            <w:vAlign w:val="center"/>
          </w:tcPr>
          <w:p w14:paraId="32BD9E14">
            <w:pPr>
              <w:keepNext w:val="0"/>
              <w:keepLines w:val="0"/>
              <w:pageBreakBefore w:val="0"/>
              <w:widowControl w:val="0"/>
              <w:spacing w:line="32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w:t>
            </w:r>
          </w:p>
        </w:tc>
        <w:tc>
          <w:tcPr>
            <w:tcW w:w="934" w:type="dxa"/>
            <w:noWrap w:val="0"/>
            <w:vAlign w:val="center"/>
          </w:tcPr>
          <w:p w14:paraId="1D583444">
            <w:pPr>
              <w:keepNext w:val="0"/>
              <w:keepLines w:val="0"/>
              <w:pageBreakBefore w:val="0"/>
              <w:widowControl w:val="0"/>
              <w:spacing w:line="32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主观分</w:t>
            </w:r>
          </w:p>
        </w:tc>
      </w:tr>
      <w:tr w14:paraId="0984D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2525" w:hRule="atLeast"/>
          <w:jc w:val="center"/>
        </w:trPr>
        <w:tc>
          <w:tcPr>
            <w:tcW w:w="544" w:type="dxa"/>
            <w:noWrap w:val="0"/>
            <w:vAlign w:val="center"/>
          </w:tcPr>
          <w:p w14:paraId="60EF179C">
            <w:pPr>
              <w:keepNext w:val="0"/>
              <w:keepLines w:val="0"/>
              <w:pageBreakBefore w:val="0"/>
              <w:widowControl w:val="0"/>
              <w:spacing w:line="320" w:lineRule="exact"/>
              <w:jc w:val="center"/>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5</w:t>
            </w:r>
          </w:p>
        </w:tc>
        <w:tc>
          <w:tcPr>
            <w:tcW w:w="1130" w:type="dxa"/>
            <w:noWrap w:val="0"/>
            <w:vAlign w:val="center"/>
          </w:tcPr>
          <w:p w14:paraId="5437BDE3">
            <w:pPr>
              <w:keepNext w:val="0"/>
              <w:keepLines w:val="0"/>
              <w:pageBreakBefore w:val="0"/>
              <w:widowControl w:val="0"/>
              <w:spacing w:line="320" w:lineRule="exact"/>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节能环保</w:t>
            </w:r>
          </w:p>
        </w:tc>
        <w:tc>
          <w:tcPr>
            <w:tcW w:w="4984" w:type="dxa"/>
            <w:noWrap w:val="0"/>
            <w:vAlign w:val="center"/>
          </w:tcPr>
          <w:p w14:paraId="64816496">
            <w:pPr>
              <w:keepNext w:val="0"/>
              <w:keepLines w:val="0"/>
              <w:pageBreakBefore w:val="0"/>
              <w:widowControl w:val="0"/>
              <w:spacing w:line="320" w:lineRule="exact"/>
              <w:jc w:val="lef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投标产品属于财政部、国家发改委公布的“节能产品品目清单”范围内的，投标人提供国家确定的认证机构出具的、处于有效期之内的该节能产品认证证书复印件</w:t>
            </w:r>
            <w:r>
              <w:rPr>
                <w:rFonts w:hint="eastAsia" w:ascii="宋体" w:hAnsi="宋体" w:cs="宋体"/>
                <w:color w:val="auto"/>
                <w:sz w:val="28"/>
                <w:szCs w:val="28"/>
                <w:highlight w:val="none"/>
                <w:lang w:eastAsia="zh-CN"/>
              </w:rPr>
              <w:t>并加盖投标人公章；</w:t>
            </w:r>
            <w:r>
              <w:rPr>
                <w:rFonts w:hint="eastAsia" w:ascii="宋体" w:hAnsi="宋体" w:eastAsia="宋体" w:cs="宋体"/>
                <w:color w:val="auto"/>
                <w:sz w:val="28"/>
                <w:szCs w:val="28"/>
                <w:highlight w:val="none"/>
              </w:rPr>
              <w:t>投标产品属于财政部、生态环境部公布的“环境标志产品品目清单”范围内的，投标人提供国家确定的认证机构出具的、处于有效期内的该环保产品认证证书复印件</w:t>
            </w:r>
            <w:r>
              <w:rPr>
                <w:rFonts w:hint="eastAsia" w:ascii="宋体" w:hAnsi="宋体" w:cs="宋体"/>
                <w:color w:val="auto"/>
                <w:sz w:val="28"/>
                <w:szCs w:val="28"/>
                <w:highlight w:val="none"/>
                <w:lang w:eastAsia="zh-CN"/>
              </w:rPr>
              <w:t>并加盖投标人公章；</w:t>
            </w:r>
          </w:p>
          <w:p w14:paraId="3D6AEDBD">
            <w:pPr>
              <w:keepNext w:val="0"/>
              <w:keepLines w:val="0"/>
              <w:pageBreakBefore w:val="0"/>
              <w:widowControl w:val="0"/>
              <w:spacing w:line="320" w:lineRule="exact"/>
              <w:ind w:firstLine="56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有1个得0.5分，最多得</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分。</w:t>
            </w:r>
          </w:p>
        </w:tc>
        <w:tc>
          <w:tcPr>
            <w:tcW w:w="1089" w:type="dxa"/>
            <w:noWrap w:val="0"/>
            <w:vAlign w:val="center"/>
          </w:tcPr>
          <w:p w14:paraId="4AF37868">
            <w:pPr>
              <w:keepNext w:val="0"/>
              <w:keepLines w:val="0"/>
              <w:pageBreakBefore w:val="0"/>
              <w:widowControl w:val="0"/>
              <w:spacing w:line="320" w:lineRule="exact"/>
              <w:jc w:val="center"/>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1</w:t>
            </w:r>
          </w:p>
        </w:tc>
        <w:tc>
          <w:tcPr>
            <w:tcW w:w="1095" w:type="dxa"/>
            <w:noWrap w:val="0"/>
            <w:vAlign w:val="center"/>
          </w:tcPr>
          <w:p w14:paraId="736BC99E">
            <w:pPr>
              <w:keepNext w:val="0"/>
              <w:keepLines w:val="0"/>
              <w:pageBreakBefore w:val="0"/>
              <w:widowControl w:val="0"/>
              <w:spacing w:line="32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w:t>
            </w:r>
          </w:p>
        </w:tc>
        <w:tc>
          <w:tcPr>
            <w:tcW w:w="934" w:type="dxa"/>
            <w:noWrap w:val="0"/>
            <w:vAlign w:val="center"/>
          </w:tcPr>
          <w:p w14:paraId="251894B0">
            <w:pPr>
              <w:keepNext w:val="0"/>
              <w:keepLines w:val="0"/>
              <w:pageBreakBefore w:val="0"/>
              <w:widowControl w:val="0"/>
              <w:spacing w:line="32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客观分</w:t>
            </w:r>
          </w:p>
        </w:tc>
      </w:tr>
      <w:tr w14:paraId="37C95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1184" w:hRule="atLeast"/>
          <w:jc w:val="center"/>
        </w:trPr>
        <w:tc>
          <w:tcPr>
            <w:tcW w:w="544" w:type="dxa"/>
            <w:noWrap w:val="0"/>
            <w:vAlign w:val="center"/>
          </w:tcPr>
          <w:p w14:paraId="669290FC">
            <w:pPr>
              <w:keepNext w:val="0"/>
              <w:keepLines w:val="0"/>
              <w:pageBreakBefore w:val="0"/>
              <w:widowControl w:val="0"/>
              <w:spacing w:line="320" w:lineRule="exact"/>
              <w:jc w:val="center"/>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6</w:t>
            </w:r>
          </w:p>
        </w:tc>
        <w:tc>
          <w:tcPr>
            <w:tcW w:w="1130" w:type="dxa"/>
            <w:noWrap w:val="0"/>
            <w:vAlign w:val="center"/>
          </w:tcPr>
          <w:p w14:paraId="6F54CD60">
            <w:pPr>
              <w:keepNext w:val="0"/>
              <w:keepLines w:val="0"/>
              <w:pageBreakBefore w:val="0"/>
              <w:widowControl w:val="0"/>
              <w:spacing w:line="320" w:lineRule="exact"/>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延保</w:t>
            </w:r>
          </w:p>
          <w:p w14:paraId="3E94E58D">
            <w:pPr>
              <w:keepNext w:val="0"/>
              <w:keepLines w:val="0"/>
              <w:pageBreakBefore w:val="0"/>
              <w:widowControl w:val="0"/>
              <w:spacing w:line="320" w:lineRule="exact"/>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承诺</w:t>
            </w:r>
          </w:p>
        </w:tc>
        <w:tc>
          <w:tcPr>
            <w:tcW w:w="4984" w:type="dxa"/>
            <w:noWrap w:val="0"/>
            <w:vAlign w:val="center"/>
          </w:tcPr>
          <w:p w14:paraId="559D718B">
            <w:pPr>
              <w:keepNext w:val="0"/>
              <w:keepLines w:val="0"/>
              <w:pageBreakBefore w:val="0"/>
              <w:widowControl w:val="0"/>
              <w:spacing w:line="320" w:lineRule="exact"/>
              <w:jc w:val="lef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投标人出具承诺函，承诺在三年免费质保期的基础上，每延长一年免费质保期的，得</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rPr>
              <w:t>分，本项最高得分</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分。</w:t>
            </w:r>
            <w:r>
              <w:rPr>
                <w:rFonts w:hint="eastAsia" w:ascii="宋体" w:hAnsi="宋体" w:cs="宋体"/>
                <w:color w:val="auto"/>
                <w:sz w:val="28"/>
                <w:szCs w:val="28"/>
                <w:highlight w:val="none"/>
                <w:lang w:val="en-US" w:eastAsia="zh-CN"/>
              </w:rPr>
              <w:t>同时承诺</w:t>
            </w:r>
            <w:r>
              <w:rPr>
                <w:rFonts w:hint="eastAsia" w:ascii="宋体" w:hAnsi="宋体" w:eastAsia="宋体" w:cs="宋体"/>
                <w:color w:val="auto"/>
                <w:sz w:val="28"/>
                <w:szCs w:val="28"/>
                <w:highlight w:val="none"/>
              </w:rPr>
              <w:t>延长质保期服务内容、响应时效、硬件免费维修与招标文件三年原厂质保完全等同，否则本项</w:t>
            </w:r>
            <w:r>
              <w:rPr>
                <w:rFonts w:hint="eastAsia" w:ascii="宋体" w:hAnsi="宋体" w:cs="宋体"/>
                <w:color w:val="auto"/>
                <w:sz w:val="28"/>
                <w:szCs w:val="28"/>
                <w:highlight w:val="none"/>
                <w:lang w:val="en-US" w:eastAsia="zh-CN"/>
              </w:rPr>
              <w:t>得</w:t>
            </w:r>
            <w:r>
              <w:rPr>
                <w:rFonts w:hint="eastAsia" w:ascii="宋体" w:hAnsi="宋体" w:eastAsia="宋体" w:cs="宋体"/>
                <w:color w:val="auto"/>
                <w:sz w:val="28"/>
                <w:szCs w:val="28"/>
                <w:highlight w:val="none"/>
              </w:rPr>
              <w:t>0分（承诺函格式</w:t>
            </w:r>
            <w:r>
              <w:rPr>
                <w:rFonts w:hint="eastAsia" w:ascii="宋体" w:hAnsi="宋体" w:cs="宋体"/>
                <w:color w:val="auto"/>
                <w:sz w:val="28"/>
                <w:szCs w:val="28"/>
                <w:highlight w:val="none"/>
                <w:lang w:val="en-US" w:eastAsia="zh-CN"/>
              </w:rPr>
              <w:t>自拟</w:t>
            </w:r>
            <w:r>
              <w:rPr>
                <w:rFonts w:hint="eastAsia" w:ascii="宋体" w:hAnsi="宋体" w:eastAsia="宋体" w:cs="宋体"/>
                <w:color w:val="auto"/>
                <w:sz w:val="28"/>
                <w:szCs w:val="28"/>
                <w:highlight w:val="none"/>
              </w:rPr>
              <w:t>，加盖投标人公章）</w:t>
            </w:r>
            <w:r>
              <w:rPr>
                <w:rFonts w:hint="eastAsia" w:ascii="宋体" w:hAnsi="宋体" w:cs="宋体"/>
                <w:color w:val="auto"/>
                <w:sz w:val="28"/>
                <w:szCs w:val="28"/>
                <w:highlight w:val="none"/>
                <w:lang w:eastAsia="zh-CN"/>
              </w:rPr>
              <w:t>。</w:t>
            </w:r>
          </w:p>
        </w:tc>
        <w:tc>
          <w:tcPr>
            <w:tcW w:w="1089" w:type="dxa"/>
            <w:noWrap w:val="0"/>
            <w:vAlign w:val="center"/>
          </w:tcPr>
          <w:p w14:paraId="70C6F43D">
            <w:pPr>
              <w:keepNext w:val="0"/>
              <w:keepLines w:val="0"/>
              <w:pageBreakBefore w:val="0"/>
              <w:widowControl w:val="0"/>
              <w:spacing w:line="320" w:lineRule="exact"/>
              <w:jc w:val="center"/>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4</w:t>
            </w:r>
          </w:p>
        </w:tc>
        <w:tc>
          <w:tcPr>
            <w:tcW w:w="1095" w:type="dxa"/>
            <w:noWrap w:val="0"/>
            <w:vAlign w:val="center"/>
          </w:tcPr>
          <w:p w14:paraId="60AED6EE">
            <w:pPr>
              <w:keepNext w:val="0"/>
              <w:keepLines w:val="0"/>
              <w:pageBreakBefore w:val="0"/>
              <w:widowControl w:val="0"/>
              <w:spacing w:line="32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w:t>
            </w:r>
          </w:p>
        </w:tc>
        <w:tc>
          <w:tcPr>
            <w:tcW w:w="934" w:type="dxa"/>
            <w:noWrap w:val="0"/>
            <w:vAlign w:val="center"/>
          </w:tcPr>
          <w:p w14:paraId="6557EB42">
            <w:pPr>
              <w:keepNext w:val="0"/>
              <w:keepLines w:val="0"/>
              <w:pageBreakBefore w:val="0"/>
              <w:widowControl w:val="0"/>
              <w:spacing w:line="32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客观分</w:t>
            </w:r>
          </w:p>
        </w:tc>
      </w:tr>
      <w:tr w14:paraId="0C6BA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90" w:hRule="atLeast"/>
          <w:jc w:val="center"/>
        </w:trPr>
        <w:tc>
          <w:tcPr>
            <w:tcW w:w="544" w:type="dxa"/>
            <w:noWrap w:val="0"/>
            <w:vAlign w:val="center"/>
          </w:tcPr>
          <w:p w14:paraId="41D67CA8">
            <w:pPr>
              <w:keepNext w:val="0"/>
              <w:keepLines w:val="0"/>
              <w:pageBreakBefore w:val="0"/>
              <w:widowControl w:val="0"/>
              <w:spacing w:line="320" w:lineRule="exact"/>
              <w:jc w:val="center"/>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7</w:t>
            </w:r>
          </w:p>
        </w:tc>
        <w:tc>
          <w:tcPr>
            <w:tcW w:w="1130" w:type="dxa"/>
            <w:noWrap w:val="0"/>
            <w:vAlign w:val="center"/>
          </w:tcPr>
          <w:p w14:paraId="6EF730F3">
            <w:pPr>
              <w:keepNext w:val="0"/>
              <w:keepLines w:val="0"/>
              <w:pageBreakBefore w:val="0"/>
              <w:widowControl w:val="0"/>
              <w:spacing w:line="320" w:lineRule="exact"/>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施工辅材品质</w:t>
            </w:r>
          </w:p>
        </w:tc>
        <w:tc>
          <w:tcPr>
            <w:tcW w:w="4984" w:type="dxa"/>
            <w:noWrap w:val="0"/>
            <w:vAlign w:val="center"/>
          </w:tcPr>
          <w:p w14:paraId="6C009161">
            <w:pPr>
              <w:keepNext w:val="0"/>
              <w:keepLines w:val="0"/>
              <w:pageBreakBefore w:val="0"/>
              <w:widowControl w:val="0"/>
              <w:spacing w:line="32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投标人提供《</w:t>
            </w:r>
            <w:r>
              <w:rPr>
                <w:rFonts w:hint="eastAsia" w:ascii="宋体" w:hAnsi="宋体" w:eastAsia="宋体" w:cs="宋体"/>
                <w:color w:val="auto"/>
                <w:sz w:val="28"/>
                <w:szCs w:val="28"/>
                <w:highlight w:val="none"/>
                <w:lang w:val="zh-CN"/>
              </w:rPr>
              <w:t>主要施工辅材规格参数清单明细表</w:t>
            </w:r>
            <w:r>
              <w:rPr>
                <w:rFonts w:hint="eastAsia" w:ascii="宋体" w:hAnsi="宋体" w:eastAsia="宋体" w:cs="宋体"/>
                <w:color w:val="auto"/>
                <w:sz w:val="28"/>
                <w:szCs w:val="28"/>
                <w:highlight w:val="none"/>
              </w:rPr>
              <w:t>》并加盖投标人公章（格式见附件</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w:t>
            </w:r>
          </w:p>
          <w:p w14:paraId="1EE5355C">
            <w:pPr>
              <w:keepNext w:val="0"/>
              <w:keepLines w:val="0"/>
              <w:pageBreakBefore w:val="0"/>
              <w:widowControl w:val="0"/>
              <w:spacing w:line="32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评委根据材料响应情况进行评分：</w:t>
            </w:r>
          </w:p>
          <w:p w14:paraId="5B7CA1D3">
            <w:pPr>
              <w:keepNext w:val="0"/>
              <w:keepLines w:val="0"/>
              <w:pageBreakBefore w:val="0"/>
              <w:widowControl w:val="0"/>
              <w:spacing w:line="320" w:lineRule="exact"/>
              <w:jc w:val="left"/>
              <w:rPr>
                <w:rFonts w:hint="eastAsia" w:ascii="宋体" w:hAnsi="宋体" w:eastAsia="宋体" w:cs="宋体"/>
                <w:color w:val="auto"/>
                <w:sz w:val="28"/>
                <w:szCs w:val="28"/>
                <w:highlight w:val="none"/>
              </w:rPr>
            </w:pPr>
            <w:r>
              <w:rPr>
                <w:rFonts w:hint="eastAsia" w:ascii="仿宋" w:hAnsi="仿宋" w:eastAsia="仿宋" w:cs="仿宋"/>
                <w:color w:val="auto"/>
                <w:sz w:val="22"/>
                <w:highlight w:val="none"/>
              </w:rPr>
              <w:t>1.</w:t>
            </w:r>
            <w:r>
              <w:rPr>
                <w:rFonts w:hint="eastAsia" w:ascii="仿宋" w:hAnsi="仿宋" w:eastAsia="仿宋" w:cs="仿宋"/>
                <w:color w:val="auto"/>
                <w:sz w:val="22"/>
                <w:highlight w:val="none"/>
                <w:lang w:val="en-US" w:eastAsia="zh-CN"/>
              </w:rPr>
              <w:t>提供</w:t>
            </w:r>
            <w:r>
              <w:rPr>
                <w:rFonts w:hint="eastAsia" w:ascii="仿宋" w:hAnsi="仿宋" w:eastAsia="仿宋" w:cs="仿宋"/>
                <w:color w:val="auto"/>
                <w:sz w:val="22"/>
                <w:highlight w:val="none"/>
              </w:rPr>
              <w:t>完整《主要施工辅材规格参数清单明细表》加盖公章，全部线缆、线管、音视频线材具备3C/行业检测认证得2分；</w:t>
            </w:r>
            <w:r>
              <w:rPr>
                <w:rFonts w:hint="eastAsia" w:ascii="仿宋" w:hAnsi="仿宋" w:eastAsia="仿宋" w:cs="仿宋"/>
                <w:color w:val="auto"/>
                <w:sz w:val="22"/>
                <w:highlight w:val="none"/>
              </w:rPr>
              <w:br w:type="textWrapping"/>
            </w:r>
            <w:r>
              <w:rPr>
                <w:rFonts w:hint="eastAsia" w:ascii="仿宋" w:hAnsi="仿宋" w:eastAsia="仿宋" w:cs="仿宋"/>
                <w:color w:val="auto"/>
                <w:sz w:val="22"/>
                <w:highlight w:val="none"/>
              </w:rPr>
              <w:t>2.部分主材具备合规认证得1分；</w:t>
            </w:r>
            <w:r>
              <w:rPr>
                <w:rFonts w:hint="eastAsia" w:ascii="仿宋" w:hAnsi="仿宋" w:eastAsia="仿宋" w:cs="仿宋"/>
                <w:color w:val="auto"/>
                <w:sz w:val="22"/>
                <w:highlight w:val="none"/>
              </w:rPr>
              <w:br w:type="textWrapping"/>
            </w:r>
            <w:r>
              <w:rPr>
                <w:rFonts w:hint="eastAsia" w:ascii="仿宋" w:hAnsi="仿宋" w:eastAsia="仿宋" w:cs="仿宋"/>
                <w:color w:val="auto"/>
                <w:sz w:val="22"/>
                <w:highlight w:val="none"/>
              </w:rPr>
              <w:t>3.仅提供清单无配套检测材料得0.5分；</w:t>
            </w:r>
            <w:r>
              <w:rPr>
                <w:rFonts w:hint="eastAsia" w:ascii="仿宋" w:hAnsi="仿宋" w:eastAsia="仿宋" w:cs="仿宋"/>
                <w:color w:val="auto"/>
                <w:sz w:val="22"/>
                <w:highlight w:val="none"/>
              </w:rPr>
              <w:br w:type="textWrapping"/>
            </w:r>
            <w:r>
              <w:rPr>
                <w:rFonts w:hint="eastAsia" w:ascii="仿宋" w:hAnsi="仿宋" w:eastAsia="仿宋" w:cs="仿宋"/>
                <w:color w:val="auto"/>
                <w:sz w:val="22"/>
                <w:highlight w:val="none"/>
              </w:rPr>
              <w:t>4.未提交明细表不得分</w:t>
            </w:r>
            <w:r>
              <w:rPr>
                <w:rFonts w:hint="eastAsia" w:ascii="宋体" w:hAnsi="宋体" w:eastAsia="宋体" w:cs="宋体"/>
                <w:color w:val="auto"/>
                <w:sz w:val="28"/>
                <w:szCs w:val="28"/>
                <w:highlight w:val="none"/>
              </w:rPr>
              <w:t>。</w:t>
            </w:r>
          </w:p>
        </w:tc>
        <w:tc>
          <w:tcPr>
            <w:tcW w:w="1089" w:type="dxa"/>
            <w:noWrap w:val="0"/>
            <w:vAlign w:val="center"/>
          </w:tcPr>
          <w:p w14:paraId="251606EE">
            <w:pPr>
              <w:keepNext w:val="0"/>
              <w:keepLines w:val="0"/>
              <w:pageBreakBefore w:val="0"/>
              <w:widowControl w:val="0"/>
              <w:spacing w:line="320" w:lineRule="exact"/>
              <w:jc w:val="center"/>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2</w:t>
            </w:r>
          </w:p>
        </w:tc>
        <w:tc>
          <w:tcPr>
            <w:tcW w:w="1095" w:type="dxa"/>
            <w:noWrap w:val="0"/>
            <w:vAlign w:val="center"/>
          </w:tcPr>
          <w:p w14:paraId="1BF83C90">
            <w:pPr>
              <w:keepNext w:val="0"/>
              <w:keepLines w:val="0"/>
              <w:pageBreakBefore w:val="0"/>
              <w:widowControl w:val="0"/>
              <w:spacing w:line="32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w:t>
            </w:r>
          </w:p>
        </w:tc>
        <w:tc>
          <w:tcPr>
            <w:tcW w:w="934" w:type="dxa"/>
            <w:noWrap w:val="0"/>
            <w:vAlign w:val="center"/>
          </w:tcPr>
          <w:p w14:paraId="718F4FCE">
            <w:pPr>
              <w:keepNext w:val="0"/>
              <w:keepLines w:val="0"/>
              <w:pageBreakBefore w:val="0"/>
              <w:widowControl w:val="0"/>
              <w:spacing w:line="32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主观分</w:t>
            </w:r>
          </w:p>
        </w:tc>
      </w:tr>
    </w:tbl>
    <w:p w14:paraId="51DB6A7F">
      <w:pPr>
        <w:spacing w:line="460" w:lineRule="exact"/>
        <w:outlineLvl w:val="2"/>
        <w:rPr>
          <w:rFonts w:hint="eastAsia" w:ascii="宋体" w:hAnsi="宋体" w:cs="宋体"/>
          <w:color w:val="auto"/>
          <w:sz w:val="28"/>
          <w:szCs w:val="28"/>
          <w:highlight w:val="none"/>
        </w:rPr>
      </w:pPr>
      <w:r>
        <w:rPr>
          <w:rFonts w:hint="eastAsia" w:ascii="宋体" w:hAnsi="宋体" w:cs="宋体"/>
          <w:b/>
          <w:color w:val="auto"/>
          <w:sz w:val="28"/>
          <w:szCs w:val="28"/>
          <w:highlight w:val="none"/>
        </w:rPr>
        <w:t>（四）</w:t>
      </w:r>
      <w:r>
        <w:rPr>
          <w:rFonts w:hint="eastAsia" w:ascii="宋体" w:hAnsi="宋体" w:cs="宋体"/>
          <w:b/>
          <w:color w:val="auto"/>
          <w:sz w:val="28"/>
          <w:szCs w:val="28"/>
          <w:highlight w:val="none"/>
          <w:lang w:val="zh-CN"/>
        </w:rPr>
        <w:t>价格分</w:t>
      </w:r>
      <w:r>
        <w:rPr>
          <w:rFonts w:hint="eastAsia" w:ascii="宋体" w:hAnsi="宋体" w:cs="宋体"/>
          <w:b/>
          <w:color w:val="auto"/>
          <w:sz w:val="28"/>
          <w:szCs w:val="28"/>
          <w:highlight w:val="none"/>
        </w:rPr>
        <w:t>：</w:t>
      </w:r>
      <w:r>
        <w:rPr>
          <w:rFonts w:hint="eastAsia" w:ascii="宋体" w:hAnsi="宋体" w:cs="宋体"/>
          <w:color w:val="auto"/>
          <w:sz w:val="28"/>
          <w:szCs w:val="28"/>
          <w:highlight w:val="none"/>
        </w:rPr>
        <w:t>3</w:t>
      </w:r>
      <w:r>
        <w:rPr>
          <w:rFonts w:hint="eastAsia" w:ascii="宋体" w:hAnsi="宋体" w:cs="宋体"/>
          <w:color w:val="auto"/>
          <w:sz w:val="28"/>
          <w:szCs w:val="28"/>
          <w:highlight w:val="none"/>
          <w:lang w:val="en-US" w:eastAsia="zh-CN"/>
        </w:rPr>
        <w:t>5</w:t>
      </w:r>
      <w:r>
        <w:rPr>
          <w:rFonts w:hint="eastAsia" w:ascii="宋体" w:hAnsi="宋体" w:cs="宋体"/>
          <w:color w:val="auto"/>
          <w:sz w:val="28"/>
          <w:szCs w:val="28"/>
          <w:highlight w:val="none"/>
          <w:lang w:val="zh-CN"/>
        </w:rPr>
        <w:t>分</w:t>
      </w:r>
      <w:bookmarkEnd w:id="157"/>
    </w:p>
    <w:p w14:paraId="789DB3D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价格分统一采用低价优先法计算，即满足招标文件要求且投标价格最低的投标报价为评标基准价，其价格分为满分。其他投标人的价格分统一按照下列公式计算：</w:t>
      </w:r>
    </w:p>
    <w:p w14:paraId="7F9721DC">
      <w:pPr>
        <w:spacing w:line="460" w:lineRule="exact"/>
        <w:ind w:firstLine="56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投标报价得分=（评标基准价/投标报价）×3</w:t>
      </w:r>
      <w:r>
        <w:rPr>
          <w:rFonts w:hint="eastAsia" w:ascii="宋体" w:hAnsi="宋体" w:cs="宋体"/>
          <w:color w:val="auto"/>
          <w:sz w:val="28"/>
          <w:szCs w:val="28"/>
          <w:highlight w:val="none"/>
          <w:lang w:val="en-US" w:eastAsia="zh-CN"/>
        </w:rPr>
        <w:t>5</w:t>
      </w:r>
    </w:p>
    <w:p w14:paraId="416D7AB6">
      <w:pPr>
        <w:spacing w:line="500" w:lineRule="exact"/>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t>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p>
    <w:p w14:paraId="3BF28FA3">
      <w:pPr>
        <w:spacing w:line="460" w:lineRule="exact"/>
        <w:outlineLvl w:val="2"/>
        <w:rPr>
          <w:rFonts w:hint="eastAsia" w:ascii="宋体" w:hAnsi="宋体" w:cs="宋体"/>
          <w:b/>
          <w:color w:val="auto"/>
          <w:sz w:val="28"/>
          <w:szCs w:val="28"/>
          <w:highlight w:val="none"/>
        </w:rPr>
      </w:pPr>
      <w:bookmarkStart w:id="158" w:name="_Toc13123"/>
      <w:r>
        <w:rPr>
          <w:rFonts w:hint="eastAsia" w:ascii="宋体" w:hAnsi="宋体" w:cs="宋体"/>
          <w:b/>
          <w:color w:val="auto"/>
          <w:sz w:val="28"/>
          <w:szCs w:val="28"/>
          <w:highlight w:val="none"/>
        </w:rPr>
        <w:t>（五）</w:t>
      </w:r>
      <w:r>
        <w:rPr>
          <w:rFonts w:hint="eastAsia" w:ascii="宋体" w:hAnsi="宋体" w:cs="宋体"/>
          <w:b/>
          <w:bCs/>
          <w:color w:val="auto"/>
          <w:sz w:val="28"/>
          <w:szCs w:val="28"/>
          <w:highlight w:val="none"/>
        </w:rPr>
        <w:t>政府采购政策功能落实</w:t>
      </w:r>
    </w:p>
    <w:p w14:paraId="21BFDB14">
      <w:pPr>
        <w:spacing w:line="52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采购本国产品的支持政策</w:t>
      </w:r>
    </w:p>
    <w:p w14:paraId="1796B156">
      <w:pPr>
        <w:spacing w:line="52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E0BC9D8">
      <w:pPr>
        <w:spacing w:line="52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F22D186">
      <w:pPr>
        <w:spacing w:line="520" w:lineRule="exact"/>
        <w:ind w:firstLine="560"/>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rPr>
        <w:t>3.本项目政府采购活动中既有本国产品又有非本国产品参与竞争的，依法对本国产品给予价格评审优惠，对本国产品的报价给予20%的价格扣除，用扣除后的价格参与评审。若所有投标人所投产品均为本国产品，则不适用20%价格扣除优惠</w:t>
      </w:r>
      <w:r>
        <w:rPr>
          <w:rFonts w:hint="eastAsia" w:ascii="宋体" w:hAnsi="宋体" w:cs="宋体"/>
          <w:color w:val="auto"/>
          <w:sz w:val="28"/>
          <w:szCs w:val="28"/>
          <w:highlight w:val="none"/>
          <w:lang w:eastAsia="zh-CN"/>
        </w:rPr>
        <w:t>。</w:t>
      </w:r>
    </w:p>
    <w:p w14:paraId="3C20FB1B">
      <w:pPr>
        <w:spacing w:line="52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4.当采购项目或者采购包中含有多种产品，投标人为该采购项目或者采购包提供的符合本国产品标准的产品成本之和占该投标人提供的全部产品成本之和的比例达到80%以上时（投标人需在“第六章 投标文件组成”的“附件1 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7B9B5A8F">
      <w:pPr>
        <w:spacing w:line="520" w:lineRule="exact"/>
        <w:ind w:firstLine="562"/>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注：</w:t>
      </w:r>
      <w:r>
        <w:rPr>
          <w:rFonts w:hint="eastAsia" w:ascii="宋体" w:hAnsi="宋体" w:cs="宋体"/>
          <w:b/>
          <w:bCs/>
          <w:color w:val="auto"/>
          <w:sz w:val="28"/>
          <w:szCs w:val="28"/>
          <w:highlight w:val="none"/>
        </w:rPr>
        <w:t>成本比例计算仅包含硬件设备采购成本，系统集成、施工辅材、人工服务不计入产品成本核算基数</w:t>
      </w:r>
      <w:r>
        <w:rPr>
          <w:rFonts w:hint="eastAsia" w:ascii="宋体" w:hAnsi="宋体" w:cs="宋体"/>
          <w:b/>
          <w:bCs/>
          <w:color w:val="auto"/>
          <w:sz w:val="28"/>
          <w:szCs w:val="28"/>
          <w:highlight w:val="none"/>
          <w:lang w:eastAsia="zh-CN"/>
        </w:rPr>
        <w:t>。</w:t>
      </w:r>
    </w:p>
    <w:p w14:paraId="2E7105AF">
      <w:pPr>
        <w:spacing w:line="52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5.投标人需按照招标文件的要求提供《关于符合本国产品标准的声明函》（以下简称《声明函》）（格式见附件2），如不提供将不享受本国产品价格评审优惠。</w:t>
      </w:r>
    </w:p>
    <w:p w14:paraId="48C4817A">
      <w:pPr>
        <w:spacing w:line="52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投标人需在《声明函》中逐一、准确填写产品名称、厂名、生产厂址三项信息（《声明函》中用斜线划除的地方无需填写），三项信息中任意一项未填写的视为该项产品不符合本国产品标准，不享受本国产品价格评审优惠。</w:t>
      </w:r>
    </w:p>
    <w:p w14:paraId="72FA702F">
      <w:pPr>
        <w:spacing w:line="52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654F1637">
      <w:pPr>
        <w:spacing w:line="460" w:lineRule="exact"/>
        <w:ind w:firstLine="562"/>
        <w:outlineLvl w:val="2"/>
        <w:rPr>
          <w:rFonts w:hint="eastAsia" w:ascii="宋体" w:hAnsi="宋体" w:cs="宋体"/>
          <w:bCs/>
          <w:color w:val="auto"/>
          <w:sz w:val="28"/>
          <w:szCs w:val="28"/>
          <w:highlight w:val="none"/>
        </w:rPr>
      </w:pPr>
      <w:r>
        <w:rPr>
          <w:rFonts w:hint="eastAsia" w:ascii="宋体" w:hAnsi="宋体" w:cs="宋体"/>
          <w:b/>
          <w:color w:val="auto"/>
          <w:sz w:val="28"/>
          <w:szCs w:val="28"/>
          <w:highlight w:val="none"/>
        </w:rPr>
        <w:t>（六）中标人的确定</w:t>
      </w:r>
      <w:bookmarkEnd w:id="158"/>
    </w:p>
    <w:p w14:paraId="7163403C">
      <w:pPr>
        <w:spacing w:line="460" w:lineRule="exact"/>
        <w:ind w:firstLine="570"/>
        <w:rPr>
          <w:rFonts w:hint="eastAsia" w:ascii="宋体" w:hAnsi="宋体" w:cs="宋体"/>
          <w:bCs/>
          <w:color w:val="auto"/>
          <w:sz w:val="28"/>
          <w:szCs w:val="28"/>
          <w:highlight w:val="none"/>
        </w:rPr>
      </w:pPr>
      <w:r>
        <w:rPr>
          <w:rFonts w:hint="eastAsia" w:ascii="宋体" w:hAnsi="宋体" w:cs="宋体"/>
          <w:bCs/>
          <w:color w:val="auto"/>
          <w:sz w:val="28"/>
          <w:szCs w:val="28"/>
          <w:highlight w:val="none"/>
        </w:rPr>
        <w:t>采用综合评分法的，评审结果按评审后得分由高到低顺序排列。得分相同的，按投标报价由低到高顺序排列。得分且投标报价相同的并列。采取随机抽取的方式确定。</w:t>
      </w:r>
    </w:p>
    <w:p w14:paraId="5CE37A80">
      <w:pPr>
        <w:spacing w:line="460" w:lineRule="exact"/>
        <w:ind w:firstLine="562"/>
        <w:outlineLvl w:val="2"/>
        <w:rPr>
          <w:rFonts w:hint="eastAsia" w:ascii="宋体" w:hAnsi="宋体" w:cs="宋体"/>
          <w:b/>
          <w:color w:val="auto"/>
          <w:sz w:val="28"/>
          <w:szCs w:val="28"/>
          <w:highlight w:val="none"/>
        </w:rPr>
      </w:pPr>
      <w:bookmarkStart w:id="159" w:name="_Toc13"/>
      <w:r>
        <w:rPr>
          <w:rFonts w:hint="eastAsia" w:ascii="宋体" w:hAnsi="宋体" w:cs="宋体"/>
          <w:b/>
          <w:color w:val="auto"/>
          <w:sz w:val="28"/>
          <w:szCs w:val="28"/>
          <w:highlight w:val="none"/>
        </w:rPr>
        <w:t>（七）公告中标结果</w:t>
      </w:r>
      <w:bookmarkEnd w:id="159"/>
    </w:p>
    <w:p w14:paraId="1EE2A0A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自确定中标人之日起2个工作日内，在江苏政府采购网公告中标结果，公告期限为1个工作日。</w:t>
      </w:r>
    </w:p>
    <w:p w14:paraId="6650644E">
      <w:pPr>
        <w:spacing w:line="420" w:lineRule="exact"/>
        <w:ind w:firstLine="562"/>
        <w:outlineLvl w:val="2"/>
        <w:rPr>
          <w:rFonts w:hint="eastAsia" w:ascii="宋体" w:hAnsi="宋体" w:cs="宋体"/>
          <w:b/>
          <w:bCs/>
          <w:color w:val="auto"/>
          <w:sz w:val="28"/>
          <w:szCs w:val="28"/>
          <w:highlight w:val="none"/>
        </w:rPr>
      </w:pPr>
      <w:bookmarkStart w:id="160" w:name="_Toc27458"/>
      <w:r>
        <w:rPr>
          <w:rFonts w:hint="eastAsia" w:ascii="宋体" w:hAnsi="宋体" w:cs="宋体"/>
          <w:b/>
          <w:color w:val="auto"/>
          <w:sz w:val="28"/>
          <w:szCs w:val="28"/>
          <w:highlight w:val="none"/>
        </w:rPr>
        <w:t>（八）</w:t>
      </w:r>
      <w:r>
        <w:rPr>
          <w:rFonts w:hint="eastAsia" w:ascii="宋体" w:hAnsi="宋体" w:cs="宋体"/>
          <w:b/>
          <w:bCs/>
          <w:color w:val="auto"/>
          <w:sz w:val="28"/>
          <w:szCs w:val="28"/>
          <w:highlight w:val="none"/>
        </w:rPr>
        <w:t>发放中标通知书</w:t>
      </w:r>
      <w:bookmarkEnd w:id="160"/>
    </w:p>
    <w:p w14:paraId="35B7E142">
      <w:pPr>
        <w:spacing w:line="420" w:lineRule="exact"/>
        <w:ind w:firstLine="560"/>
        <w:rPr>
          <w:rFonts w:hint="eastAsia" w:ascii="宋体" w:hAnsi="宋体" w:cs="宋体"/>
          <w:bCs/>
          <w:color w:val="auto"/>
          <w:sz w:val="28"/>
          <w:szCs w:val="28"/>
          <w:highlight w:val="none"/>
        </w:rPr>
      </w:pPr>
      <w:r>
        <w:rPr>
          <w:rFonts w:hint="eastAsia" w:ascii="宋体" w:hAnsi="宋体" w:cs="宋体"/>
          <w:color w:val="auto"/>
          <w:sz w:val="28"/>
          <w:szCs w:val="28"/>
          <w:highlight w:val="none"/>
        </w:rPr>
        <w:t>公告中标结果的同时，</w:t>
      </w:r>
      <w:r>
        <w:rPr>
          <w:rFonts w:hint="eastAsia" w:ascii="宋体" w:hAnsi="宋体" w:cs="宋体"/>
          <w:color w:val="auto"/>
          <w:sz w:val="28"/>
          <w:szCs w:val="28"/>
          <w:highlight w:val="none"/>
          <w:lang w:eastAsia="zh-CN"/>
        </w:rPr>
        <w:t>采购人</w:t>
      </w:r>
      <w:r>
        <w:rPr>
          <w:rFonts w:hint="eastAsia" w:ascii="宋体" w:hAnsi="宋体" w:cs="宋体"/>
          <w:bCs/>
          <w:color w:val="auto"/>
          <w:sz w:val="28"/>
          <w:szCs w:val="28"/>
          <w:highlight w:val="none"/>
        </w:rPr>
        <w:t>向中标人发放中标通知书。</w:t>
      </w:r>
    </w:p>
    <w:p w14:paraId="542D642D">
      <w:pPr>
        <w:spacing w:line="420" w:lineRule="exact"/>
        <w:ind w:firstLine="560"/>
        <w:rPr>
          <w:rFonts w:hint="eastAsia" w:ascii="宋体" w:hAnsi="宋体" w:cs="宋体"/>
          <w:b/>
          <w:color w:val="auto"/>
          <w:sz w:val="28"/>
          <w:szCs w:val="28"/>
          <w:highlight w:val="none"/>
        </w:rPr>
      </w:pPr>
      <w:r>
        <w:rPr>
          <w:rFonts w:hint="eastAsia" w:ascii="宋体" w:hAnsi="宋体" w:cs="宋体"/>
          <w:color w:val="auto"/>
          <w:sz w:val="28"/>
          <w:szCs w:val="28"/>
          <w:highlight w:val="none"/>
        </w:rPr>
        <w:t>中标通知书发出后，</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不得违法改变中标结果，中标人无正当理由不得放弃中标。</w:t>
      </w:r>
    </w:p>
    <w:p w14:paraId="673130E7">
      <w:pPr>
        <w:spacing w:line="420" w:lineRule="exact"/>
        <w:ind w:firstLine="562"/>
        <w:outlineLvl w:val="2"/>
        <w:rPr>
          <w:rFonts w:hint="eastAsia" w:ascii="宋体" w:hAnsi="宋体" w:cs="宋体"/>
          <w:b/>
          <w:color w:val="auto"/>
          <w:sz w:val="28"/>
          <w:szCs w:val="28"/>
          <w:highlight w:val="none"/>
        </w:rPr>
      </w:pPr>
      <w:bookmarkStart w:id="161" w:name="_Toc19733"/>
      <w:r>
        <w:rPr>
          <w:rFonts w:hint="eastAsia" w:ascii="宋体" w:hAnsi="宋体" w:cs="宋体"/>
          <w:b/>
          <w:color w:val="auto"/>
          <w:sz w:val="28"/>
          <w:szCs w:val="28"/>
          <w:highlight w:val="none"/>
        </w:rPr>
        <w:t>（九）其他</w:t>
      </w:r>
      <w:bookmarkEnd w:id="161"/>
    </w:p>
    <w:p w14:paraId="16F5509D">
      <w:pPr>
        <w:spacing w:line="42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当中标人无正当理由放弃中标，被查实存在影响中标结果的违法行为等情形，</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有权按照政府采购相关法律法规的规定对其采取惩戒措施，包含但不限于列入采购失信人黑名单等措施。</w:t>
      </w:r>
    </w:p>
    <w:p w14:paraId="0DCC6F11">
      <w:pPr>
        <w:spacing w:line="42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当中标人放弃中标、因不可抗力不能履行合同，或者被查实存在影响中标结果的违法行为等情形，不符合中标条件的（存在招标文件规定的被</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拒签合同的情形等），</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可以按照评标委员会提出的中标候选人名单排序依次确定其他中标候选人为中标人，也可以重新招标。</w:t>
      </w:r>
    </w:p>
    <w:p w14:paraId="605A2187">
      <w:pPr>
        <w:jc w:val="center"/>
        <w:outlineLvl w:val="0"/>
        <w:rPr>
          <w:rFonts w:hint="eastAsia" w:ascii="宋体" w:hAnsi="宋体" w:cs="宋体"/>
          <w:bCs/>
          <w:color w:val="auto"/>
          <w:sz w:val="36"/>
          <w:szCs w:val="36"/>
          <w:highlight w:val="none"/>
        </w:rPr>
      </w:pPr>
      <w:r>
        <w:rPr>
          <w:rFonts w:hint="eastAsia" w:ascii="宋体" w:hAnsi="宋体" w:cs="宋体"/>
          <w:bCs/>
          <w:color w:val="auto"/>
          <w:sz w:val="36"/>
          <w:szCs w:val="36"/>
          <w:highlight w:val="none"/>
        </w:rPr>
        <w:br w:type="page" w:clear="all"/>
      </w:r>
      <w:bookmarkStart w:id="162" w:name="_Toc23874"/>
      <w:bookmarkStart w:id="163" w:name="_Toc7997"/>
      <w:r>
        <w:rPr>
          <w:rFonts w:hint="eastAsia" w:ascii="宋体" w:hAnsi="宋体" w:cs="宋体"/>
          <w:bCs/>
          <w:color w:val="auto"/>
          <w:sz w:val="36"/>
          <w:szCs w:val="36"/>
          <w:highlight w:val="none"/>
        </w:rPr>
        <w:t>第五部分 质疑与投诉</w:t>
      </w:r>
      <w:bookmarkEnd w:id="162"/>
      <w:bookmarkEnd w:id="163"/>
    </w:p>
    <w:p w14:paraId="393F6421">
      <w:pPr>
        <w:spacing w:line="460" w:lineRule="exact"/>
        <w:ind w:firstLine="560"/>
        <w:outlineLvl w:val="1"/>
        <w:rPr>
          <w:rFonts w:hint="eastAsia" w:ascii="宋体" w:hAnsi="宋体" w:cs="宋体"/>
          <w:color w:val="auto"/>
          <w:sz w:val="28"/>
          <w:szCs w:val="28"/>
          <w:highlight w:val="none"/>
        </w:rPr>
      </w:pPr>
      <w:bookmarkStart w:id="164" w:name="_Toc23571"/>
      <w:r>
        <w:rPr>
          <w:rFonts w:hint="eastAsia" w:ascii="宋体" w:hAnsi="宋体" w:cs="宋体"/>
          <w:color w:val="auto"/>
          <w:sz w:val="28"/>
          <w:szCs w:val="28"/>
          <w:highlight w:val="none"/>
        </w:rPr>
        <w:t>一、质疑事项</w:t>
      </w:r>
      <w:bookmarkEnd w:id="164"/>
    </w:p>
    <w:p w14:paraId="7073D482">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1.提出质疑的投标人应当是参与所质疑项目采购活动的投标人。潜在投标人依法获取其可质疑的招标文件的，可以对招标文件提出质疑。</w:t>
      </w:r>
    </w:p>
    <w:p w14:paraId="14E9A30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2.投标人认为招标文件、采购过程和采购结果使自己的权益受到损害的，可以在知道或应知其权益受到损害之日起七个工作日内，以书面形式向代理机构或</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提出质疑。上述应知其权益受到损害之日，是指：</w:t>
      </w:r>
    </w:p>
    <w:p w14:paraId="3CC9EE30">
      <w:pPr>
        <w:pStyle w:val="5"/>
        <w:spacing w:line="46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2.1对可以质疑的招标文件提出质疑的，为收到招标文件之日或者招标文件公告期限届满之日；采购项目开标后，不再接受投标人对招标文件（含更正公告等）内容的异议或质询（质疑）。</w:t>
      </w:r>
    </w:p>
    <w:p w14:paraId="38368776">
      <w:pPr>
        <w:spacing w:line="460" w:lineRule="exact"/>
        <w:ind w:firstLine="562"/>
        <w:outlineLvl w:val="2"/>
        <w:rPr>
          <w:rFonts w:hint="eastAsia" w:ascii="宋体" w:hAnsi="宋体" w:cs="宋体"/>
          <w:b/>
          <w:bCs/>
          <w:color w:val="auto"/>
          <w:sz w:val="28"/>
          <w:szCs w:val="28"/>
          <w:highlight w:val="none"/>
        </w:rPr>
      </w:pPr>
      <w:bookmarkStart w:id="165" w:name="_Toc32024"/>
      <w:r>
        <w:rPr>
          <w:rFonts w:hint="eastAsia" w:ascii="宋体" w:hAnsi="宋体" w:cs="宋体"/>
          <w:b/>
          <w:bCs/>
          <w:color w:val="auto"/>
          <w:sz w:val="28"/>
          <w:szCs w:val="28"/>
          <w:highlight w:val="none"/>
        </w:rPr>
        <w:t>2.2对采购过程提出质疑的，为各采购程序环节结束之日；</w:t>
      </w:r>
      <w:bookmarkEnd w:id="165"/>
    </w:p>
    <w:p w14:paraId="188E872E">
      <w:pPr>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其中：对评审过程中涉及的密封检查、身份核对、澄清等程序性事项，投标人如有异议的，必须当场提出。否则，均视为投标人无异议。无论是否中标，投标人事后不得再就前述事项提出任何异议或质疑投诉。</w:t>
      </w:r>
    </w:p>
    <w:p w14:paraId="1E019A82">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2.3对中标或者成交结果提出质疑的，为中标或者成交结果公告期限届满之日。</w:t>
      </w:r>
    </w:p>
    <w:p w14:paraId="332173E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投标人应当在法定质疑期内一次性提出针对同一采购程序环节的质疑。</w:t>
      </w:r>
    </w:p>
    <w:p w14:paraId="177D616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3.质疑函必须按照本招标文件中《质疑函范本》要求的格式和内容进行填写。</w:t>
      </w:r>
    </w:p>
    <w:p w14:paraId="3B047D2E">
      <w:pPr>
        <w:spacing w:line="460" w:lineRule="exact"/>
        <w:ind w:firstLine="560"/>
        <w:rPr>
          <w:rFonts w:hint="eastAsia" w:ascii="宋体" w:hAnsi="宋体" w:cs="宋体"/>
          <w:b/>
          <w:color w:val="auto"/>
          <w:sz w:val="28"/>
          <w:szCs w:val="28"/>
          <w:highlight w:val="none"/>
        </w:rPr>
      </w:pPr>
      <w:r>
        <w:rPr>
          <w:rFonts w:hint="eastAsia" w:ascii="宋体" w:hAnsi="宋体" w:cs="宋体"/>
          <w:color w:val="auto"/>
          <w:sz w:val="28"/>
          <w:szCs w:val="28"/>
          <w:highlight w:val="none"/>
        </w:rPr>
        <w:t>4.对招标方式、招标文件中项目需求、投标人资格条件、评审方法和评审标准、资格审查结果等应当由</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答复的质疑，请向</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提出，由</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负责答复。投标人对其他事项的质疑，请向</w:t>
      </w:r>
      <w:r>
        <w:rPr>
          <w:rFonts w:hint="eastAsia" w:ascii="宋体" w:hAnsi="宋体" w:cs="宋体"/>
          <w:color w:val="auto"/>
          <w:sz w:val="28"/>
          <w:szCs w:val="28"/>
          <w:highlight w:val="none"/>
          <w:lang w:eastAsia="zh-CN"/>
        </w:rPr>
        <w:t>采购代理</w:t>
      </w:r>
      <w:r>
        <w:rPr>
          <w:rFonts w:hint="eastAsia" w:ascii="宋体" w:hAnsi="宋体" w:cs="宋体"/>
          <w:color w:val="auto"/>
          <w:sz w:val="28"/>
          <w:szCs w:val="28"/>
          <w:highlight w:val="none"/>
        </w:rPr>
        <w:t>机构提出，由</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w:t>
      </w:r>
      <w:r>
        <w:rPr>
          <w:rFonts w:hint="eastAsia" w:ascii="宋体" w:hAnsi="宋体" w:cs="宋体"/>
          <w:color w:val="auto"/>
          <w:sz w:val="28"/>
          <w:szCs w:val="28"/>
          <w:highlight w:val="none"/>
          <w:lang w:eastAsia="zh-CN"/>
        </w:rPr>
        <w:t>采购代理</w:t>
      </w:r>
      <w:r>
        <w:rPr>
          <w:rFonts w:hint="eastAsia" w:ascii="宋体" w:hAnsi="宋体" w:cs="宋体"/>
          <w:color w:val="auto"/>
          <w:sz w:val="28"/>
          <w:szCs w:val="28"/>
          <w:highlight w:val="none"/>
        </w:rPr>
        <w:t>机构负责答复。</w:t>
      </w:r>
    </w:p>
    <w:p w14:paraId="46F0B84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投标人提起质疑采取书面形式，可以现场送达，也可以邮寄。</w:t>
      </w:r>
    </w:p>
    <w:p w14:paraId="5DC0E1C1">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及</w:t>
      </w:r>
      <w:r>
        <w:rPr>
          <w:rFonts w:hint="eastAsia" w:ascii="宋体" w:hAnsi="宋体" w:cs="宋体"/>
          <w:color w:val="auto"/>
          <w:sz w:val="28"/>
          <w:szCs w:val="28"/>
          <w:highlight w:val="none"/>
          <w:lang w:eastAsia="zh-CN"/>
        </w:rPr>
        <w:t>采购代理</w:t>
      </w:r>
      <w:r>
        <w:rPr>
          <w:rFonts w:hint="eastAsia" w:ascii="宋体" w:hAnsi="宋体" w:cs="宋体"/>
          <w:color w:val="auto"/>
          <w:sz w:val="28"/>
          <w:szCs w:val="28"/>
          <w:highlight w:val="none"/>
        </w:rPr>
        <w:t>机构质疑接收人及联系方式，见招标文件第一部分。</w:t>
      </w:r>
    </w:p>
    <w:p w14:paraId="5D757577">
      <w:pPr>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5.投标人提出质疑应当提交质疑函和必要的证明材料，否则不予受理。质疑函应当包括下列内容：</w:t>
      </w:r>
    </w:p>
    <w:p w14:paraId="3DED8EC3">
      <w:pPr>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投标人的姓名或者名称、地址、邮编、联系人及联系电话；</w:t>
      </w:r>
    </w:p>
    <w:p w14:paraId="111B524F">
      <w:pPr>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质疑项目的名称、编号；</w:t>
      </w:r>
    </w:p>
    <w:p w14:paraId="5462851C">
      <w:pPr>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具体、明确的质疑事项和与质疑事项相关的请求；</w:t>
      </w:r>
    </w:p>
    <w:p w14:paraId="5E743532">
      <w:pPr>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事实依据；</w:t>
      </w:r>
    </w:p>
    <w:p w14:paraId="398462CB">
      <w:pPr>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必要的法律依据；</w:t>
      </w:r>
    </w:p>
    <w:p w14:paraId="2292771F">
      <w:pPr>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提出质疑的日期。</w:t>
      </w:r>
    </w:p>
    <w:p w14:paraId="1DFC7FFB">
      <w:pPr>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投标人为自然人的，应当由本人签字；投标人为法人或者其他组织的，应当由法定代表人、主要负责人，或者其授权代表签字或者盖章，并加盖公章。</w:t>
      </w:r>
    </w:p>
    <w:p w14:paraId="024EE19E">
      <w:pPr>
        <w:spacing w:line="460" w:lineRule="exact"/>
        <w:ind w:firstLine="560"/>
        <w:outlineLvl w:val="3"/>
        <w:rPr>
          <w:rFonts w:hint="eastAsia" w:ascii="宋体" w:hAnsi="宋体" w:cs="宋体"/>
          <w:color w:val="auto"/>
          <w:sz w:val="28"/>
          <w:szCs w:val="28"/>
          <w:highlight w:val="none"/>
        </w:rPr>
      </w:pPr>
      <w:r>
        <w:rPr>
          <w:rFonts w:hint="eastAsia" w:ascii="宋体" w:hAnsi="宋体" w:cs="宋体"/>
          <w:color w:val="auto"/>
          <w:sz w:val="28"/>
          <w:szCs w:val="28"/>
          <w:highlight w:val="none"/>
        </w:rPr>
        <w:t>6.以下情形的质疑不予受理</w:t>
      </w:r>
    </w:p>
    <w:p w14:paraId="27B5FE4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6.1内容不符合上述规定的质疑。</w:t>
      </w:r>
    </w:p>
    <w:p w14:paraId="7B06162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6.2 超出采购法定期限的质疑。</w:t>
      </w:r>
    </w:p>
    <w:p w14:paraId="7287B1B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6.3未参加招标活动的投标人或在招标活动中自身权益未受到损害的投标人所提出的质疑。</w:t>
      </w:r>
    </w:p>
    <w:p w14:paraId="004F859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7.投标人提出书面质疑必须有理、有据，不得捏造事实、提供虚假材料进行恶意质疑。否则，一经查实，</w:t>
      </w:r>
      <w:r>
        <w:rPr>
          <w:rFonts w:hint="eastAsia" w:ascii="宋体" w:hAnsi="宋体" w:cs="宋体"/>
          <w:color w:val="auto"/>
          <w:sz w:val="28"/>
          <w:szCs w:val="28"/>
          <w:highlight w:val="none"/>
          <w:lang w:eastAsia="zh-CN"/>
        </w:rPr>
        <w:t>采购代理</w:t>
      </w:r>
      <w:r>
        <w:rPr>
          <w:rFonts w:hint="eastAsia" w:ascii="宋体" w:hAnsi="宋体" w:cs="宋体"/>
          <w:color w:val="auto"/>
          <w:sz w:val="28"/>
          <w:szCs w:val="28"/>
          <w:highlight w:val="none"/>
        </w:rPr>
        <w:t>机构有权依据招标的有关规定，报请采购监管部门对该投标人进行相应的行政处罚和记录该投标人的失信信息。一、质疑的提出</w:t>
      </w:r>
    </w:p>
    <w:p w14:paraId="0DA7BF7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8.下载招标文件的投标人应根据第二章“投标人须知”中第一条第4款的约定提出；响应文件接收截止后，投标人未进行投标登记的，不能就响应文件接收截止后的招投标过程、中标结果提出质疑；在投标过程中，凡主持人或评标小组明确提出须由投标人确认的事项，投标人当场无异议的，事后不得提出质疑。</w:t>
      </w:r>
    </w:p>
    <w:p w14:paraId="588EABE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9.提出质疑时，必须坚持“谁主张，谁举证”“实事求是”的原则，不能臆测。属于须由法定部门调查、侦查或先行作出相关认定的事项，质疑人应当依法申请具有法定职权的部门查清、认定，并将相关结果提供给招标单位或代理机构。招标单位或代理机构不具有法定调查、认定权限。</w:t>
      </w:r>
    </w:p>
    <w:p w14:paraId="04C0704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10.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p>
    <w:p w14:paraId="7F4F085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对不能提供相关佐证材料的、涉及商业秘密的、非书面形式的、非送达的、匿名的《质疑函》将不予受理。</w:t>
      </w:r>
    </w:p>
    <w:p w14:paraId="7EAF1F9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相关佐证材料要具备客观性、关联性、合法性，无法查实的（如宣传册、媒体报道、猜测、推理等）不能作为佐证材料。</w:t>
      </w:r>
    </w:p>
    <w:p w14:paraId="56205C9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招标单位或代理机构不负责搜集相关佐证材料等工作。</w:t>
      </w:r>
    </w:p>
    <w:p w14:paraId="1A3F4B62">
      <w:pPr>
        <w:spacing w:line="460" w:lineRule="exact"/>
        <w:ind w:firstLine="560"/>
        <w:outlineLvl w:val="1"/>
        <w:rPr>
          <w:rFonts w:hint="eastAsia" w:ascii="宋体" w:hAnsi="宋体" w:cs="宋体"/>
          <w:color w:val="auto"/>
          <w:sz w:val="28"/>
          <w:szCs w:val="28"/>
          <w:highlight w:val="none"/>
        </w:rPr>
      </w:pPr>
      <w:bookmarkStart w:id="166" w:name="_Toc32547"/>
      <w:r>
        <w:rPr>
          <w:rFonts w:hint="eastAsia" w:ascii="宋体" w:hAnsi="宋体" w:cs="宋体"/>
          <w:color w:val="auto"/>
          <w:sz w:val="28"/>
          <w:szCs w:val="28"/>
          <w:highlight w:val="none"/>
        </w:rPr>
        <w:t>二、《质疑函》的受理和回复</w:t>
      </w:r>
      <w:bookmarkEnd w:id="166"/>
    </w:p>
    <w:p w14:paraId="21E4543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1.质疑函》须由质疑人的法定代表人或参加本次投标授权人送达招标单位和代理机构。</w:t>
      </w:r>
    </w:p>
    <w:p w14:paraId="068C86B1">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对符合提出质疑要求的，招标单位、代理机构签收并出具《质疑受理通知书》。在处理过程中，发现需要质疑人进一步补充相关佐证材料的，请质疑人在规定的时间内提供，质疑回复时间相应顺延。质疑人不能按时提供相关佐证材料的，视同放弃质疑。</w:t>
      </w:r>
    </w:p>
    <w:p w14:paraId="7DB2787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3.对不符合提出质疑要求的，出具《质疑退回通知书》并提出相关补充材料要求，质疑人未在规定的时间内提供补充佐证材料的，视同放弃质疑。</w:t>
      </w:r>
    </w:p>
    <w:p w14:paraId="37CE376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4.招标单位、代理机构负责将质疑人提出的质疑相关材料提供给相关专家或评标小组审核，并将审核意见回复质疑人。</w:t>
      </w:r>
    </w:p>
    <w:p w14:paraId="5799C1B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必要时，可向被质疑人转发《质疑函》及相关佐证材料。被质疑人应当在要求的时间内，以书面形式作出说明，并提交相关证据。被质疑人在规定时间内，无正当理由未提交相关证据的，视同放弃说明权利，认可被质疑事项。</w:t>
      </w:r>
    </w:p>
    <w:p w14:paraId="0C68404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5.因质疑情况复杂，组织论证或审查时间较长的，</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、代理机构以书面形式通知质疑人，可适当延长质疑回复处理时间。</w:t>
      </w:r>
    </w:p>
    <w:p w14:paraId="3186B9C1">
      <w:pPr>
        <w:spacing w:line="460" w:lineRule="exact"/>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①质疑成立的处理。</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或代理机构终止招标，并建议有关部门给相关当事人予以处理。</w:t>
      </w:r>
    </w:p>
    <w:p w14:paraId="385D488C">
      <w:pPr>
        <w:spacing w:line="460" w:lineRule="exact"/>
        <w:ind w:firstLine="560"/>
        <w:contextualSpacing/>
        <w:outlineLvl w:val="2"/>
        <w:rPr>
          <w:rFonts w:hint="eastAsia" w:ascii="宋体" w:hAnsi="宋体" w:cs="宋体"/>
          <w:color w:val="auto"/>
          <w:sz w:val="28"/>
          <w:szCs w:val="28"/>
          <w:highlight w:val="none"/>
        </w:rPr>
      </w:pPr>
      <w:bookmarkStart w:id="167" w:name="_Toc18082"/>
      <w:r>
        <w:rPr>
          <w:rFonts w:hint="eastAsia" w:ascii="宋体" w:hAnsi="宋体" w:cs="宋体"/>
          <w:color w:val="auto"/>
          <w:sz w:val="28"/>
          <w:szCs w:val="28"/>
          <w:highlight w:val="none"/>
        </w:rPr>
        <w:t>②质疑不成立的处理。</w:t>
      </w:r>
      <w:bookmarkEnd w:id="167"/>
    </w:p>
    <w:p w14:paraId="13BA8222">
      <w:pPr>
        <w:spacing w:line="460" w:lineRule="exact"/>
        <w:ind w:firstLine="560"/>
        <w:contextualSpacing/>
        <w:outlineLvl w:val="3"/>
        <w:rPr>
          <w:rFonts w:hint="eastAsia" w:ascii="宋体" w:hAnsi="宋体" w:cs="宋体"/>
          <w:color w:val="auto"/>
          <w:sz w:val="28"/>
          <w:szCs w:val="28"/>
          <w:highlight w:val="none"/>
        </w:rPr>
      </w:pPr>
      <w:r>
        <w:rPr>
          <w:rFonts w:hint="eastAsia" w:ascii="宋体" w:hAnsi="宋体" w:cs="宋体"/>
          <w:color w:val="auto"/>
          <w:sz w:val="28"/>
          <w:szCs w:val="28"/>
          <w:highlight w:val="none"/>
        </w:rPr>
        <w:t>1）质疑人书面《申请撤回质疑函》的，不作违约处理。</w:t>
      </w:r>
    </w:p>
    <w:p w14:paraId="52281D1B">
      <w:pPr>
        <w:spacing w:line="460" w:lineRule="exact"/>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2）质疑人在规定的时间内不配合进行质疑调查处理的，按自动撤回《质疑函》处理。</w:t>
      </w:r>
    </w:p>
    <w:p w14:paraId="60F3C3C5">
      <w:pPr>
        <w:spacing w:line="460" w:lineRule="exact"/>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3）质疑人不按《质疑函》格式就提出质疑的，作违约处理。同时，视情列入不良投标人名单。</w:t>
      </w:r>
    </w:p>
    <w:p w14:paraId="1CE85073">
      <w:pPr>
        <w:spacing w:line="460" w:lineRule="exact"/>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4）质疑人虽提供了相关佐证材料，但不能证明其质疑成立的，</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或代理机构请质疑人补充相关佐证材料，仍不能证明其质疑成立的，作违约处理。</w:t>
      </w:r>
    </w:p>
    <w:p w14:paraId="55F42B18">
      <w:pPr>
        <w:spacing w:line="460" w:lineRule="exact"/>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5）质疑人不能提供相关佐证材料的，</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、代理机构已指出，质疑人仍然坚持提出质疑的，作违约处理。</w:t>
      </w:r>
    </w:p>
    <w:p w14:paraId="1EE4987C">
      <w:pPr>
        <w:spacing w:line="460" w:lineRule="exact"/>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6）对明显有违事实的、经相关专家或评标小组认定无依据的、经其他投标人举证无依据的质疑，作违约处理，视情在</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官网媒体予以披露。</w:t>
      </w:r>
    </w:p>
    <w:p w14:paraId="16D7BE67">
      <w:pPr>
        <w:spacing w:line="460" w:lineRule="exact"/>
        <w:ind w:firstLine="560"/>
        <w:contextualSpacing/>
        <w:outlineLvl w:val="4"/>
        <w:rPr>
          <w:rFonts w:hint="eastAsia" w:ascii="宋体" w:hAnsi="宋体" w:cs="宋体"/>
          <w:color w:val="auto"/>
          <w:sz w:val="28"/>
          <w:szCs w:val="28"/>
          <w:highlight w:val="none"/>
        </w:rPr>
      </w:pPr>
      <w:r>
        <w:rPr>
          <w:rFonts w:hint="eastAsia" w:ascii="宋体" w:hAnsi="宋体" w:cs="宋体"/>
          <w:color w:val="auto"/>
          <w:sz w:val="28"/>
          <w:szCs w:val="28"/>
          <w:highlight w:val="none"/>
        </w:rPr>
        <w:t>（7）质疑人承担使用虚假材料或恶意方式质疑的法律责任。</w:t>
      </w:r>
    </w:p>
    <w:p w14:paraId="69D4795A">
      <w:pPr>
        <w:spacing w:line="460" w:lineRule="exact"/>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三、无佐证材料的举报作违约处理。投标人不得进行不提供相关佐证材料（含无法查实的如宣传册、媒体报道、猜测、推理等）向有关部门的举报，否则作违约处理。</w:t>
      </w:r>
    </w:p>
    <w:p w14:paraId="7649AA1A">
      <w:pPr>
        <w:spacing w:line="460" w:lineRule="exact"/>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四、投诉不成立的作违约处理。投标人进行质疑后，</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回复质疑不成立，投标人仍进行投诉的，并最终投诉不成立的，作违约处理。</w:t>
      </w:r>
    </w:p>
    <w:p w14:paraId="4837F5C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五、《质疑函》《质疑回复函》，质疑、举报、投诉不成立等相关情况，视情在</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官网等相关媒体予以披露。</w:t>
      </w:r>
    </w:p>
    <w:p w14:paraId="2D978649">
      <w:pPr>
        <w:spacing w:line="460" w:lineRule="exact"/>
        <w:ind w:firstLine="560"/>
        <w:rPr>
          <w:rFonts w:hint="eastAsia" w:ascii="宋体" w:hAnsi="宋体" w:cs="宋体"/>
          <w:bCs/>
          <w:color w:val="auto"/>
          <w:sz w:val="36"/>
          <w:szCs w:val="36"/>
          <w:highlight w:val="none"/>
        </w:rPr>
      </w:pPr>
      <w:r>
        <w:rPr>
          <w:rFonts w:hint="eastAsia" w:ascii="宋体" w:hAnsi="宋体" w:cs="宋体"/>
          <w:color w:val="auto"/>
          <w:sz w:val="28"/>
          <w:szCs w:val="28"/>
          <w:highlight w:val="none"/>
        </w:rPr>
        <w:t>六、质疑人对</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或代理机构的答复不满意或者</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、代理机构未在规定的时间内作出答复的，可以在答复期满后15个工作日内向相关监督管理部门投诉。</w:t>
      </w:r>
    </w:p>
    <w:p w14:paraId="68402127">
      <w:pPr>
        <w:jc w:val="center"/>
        <w:rPr>
          <w:rFonts w:hint="eastAsia" w:ascii="宋体" w:hAnsi="宋体" w:cs="宋体"/>
          <w:bCs/>
          <w:color w:val="auto"/>
          <w:sz w:val="36"/>
          <w:szCs w:val="36"/>
          <w:highlight w:val="none"/>
        </w:rPr>
      </w:pPr>
    </w:p>
    <w:p w14:paraId="546FF5A5">
      <w:pPr>
        <w:jc w:val="center"/>
        <w:rPr>
          <w:rFonts w:hint="eastAsia" w:ascii="宋体" w:hAnsi="宋体" w:cs="宋体"/>
          <w:bCs/>
          <w:color w:val="auto"/>
          <w:sz w:val="36"/>
          <w:szCs w:val="36"/>
          <w:highlight w:val="none"/>
        </w:rPr>
      </w:pPr>
    </w:p>
    <w:p w14:paraId="0654360F">
      <w:pPr>
        <w:jc w:val="center"/>
        <w:rPr>
          <w:rFonts w:hint="eastAsia" w:ascii="宋体" w:hAnsi="宋体" w:cs="宋体"/>
          <w:bCs/>
          <w:color w:val="auto"/>
          <w:sz w:val="36"/>
          <w:szCs w:val="36"/>
          <w:highlight w:val="none"/>
        </w:rPr>
      </w:pPr>
    </w:p>
    <w:p w14:paraId="29594850">
      <w:pPr>
        <w:jc w:val="center"/>
        <w:rPr>
          <w:rFonts w:hint="eastAsia" w:ascii="宋体" w:hAnsi="宋体" w:cs="宋体"/>
          <w:bCs/>
          <w:color w:val="auto"/>
          <w:sz w:val="36"/>
          <w:szCs w:val="36"/>
          <w:highlight w:val="none"/>
        </w:rPr>
      </w:pPr>
    </w:p>
    <w:p w14:paraId="24A83B75">
      <w:pPr>
        <w:jc w:val="center"/>
        <w:outlineLvl w:val="0"/>
        <w:rPr>
          <w:rFonts w:hint="eastAsia" w:ascii="宋体" w:hAnsi="宋体" w:cs="宋体"/>
          <w:bCs/>
          <w:color w:val="auto"/>
          <w:sz w:val="36"/>
          <w:szCs w:val="36"/>
          <w:highlight w:val="none"/>
        </w:rPr>
      </w:pPr>
      <w:bookmarkStart w:id="168" w:name="_Toc12704"/>
      <w:bookmarkStart w:id="169" w:name="_Toc20594"/>
      <w:r>
        <w:rPr>
          <w:rFonts w:hint="eastAsia" w:ascii="宋体" w:hAnsi="宋体" w:cs="宋体"/>
          <w:bCs/>
          <w:color w:val="auto"/>
          <w:sz w:val="36"/>
          <w:szCs w:val="36"/>
          <w:highlight w:val="none"/>
        </w:rPr>
        <w:t>第六部分  投标文件组成</w:t>
      </w:r>
      <w:bookmarkEnd w:id="168"/>
      <w:bookmarkEnd w:id="169"/>
    </w:p>
    <w:p w14:paraId="0A37DD9B">
      <w:pPr>
        <w:spacing w:line="380" w:lineRule="exact"/>
        <w:ind w:left="480"/>
        <w:outlineLvl w:val="1"/>
        <w:rPr>
          <w:rFonts w:hint="eastAsia" w:ascii="宋体" w:hAnsi="宋体" w:cs="宋体"/>
          <w:b/>
          <w:color w:val="auto"/>
          <w:sz w:val="28"/>
          <w:szCs w:val="28"/>
          <w:highlight w:val="none"/>
        </w:rPr>
      </w:pPr>
      <w:bookmarkStart w:id="170" w:name="_Toc30344"/>
      <w:r>
        <w:rPr>
          <w:rFonts w:hint="eastAsia" w:ascii="宋体" w:hAnsi="宋体" w:cs="宋体"/>
          <w:b/>
          <w:color w:val="auto"/>
          <w:sz w:val="28"/>
          <w:szCs w:val="28"/>
          <w:highlight w:val="none"/>
        </w:rPr>
        <w:t>一、基本目录</w:t>
      </w:r>
      <w:bookmarkEnd w:id="170"/>
    </w:p>
    <w:p w14:paraId="43A25B26">
      <w:pPr>
        <w:spacing w:line="380" w:lineRule="exact"/>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1</w:t>
      </w:r>
      <w:r>
        <w:rPr>
          <w:rFonts w:hint="eastAsia" w:ascii="宋体" w:hAnsi="宋体" w:cs="宋体"/>
          <w:color w:val="auto"/>
          <w:sz w:val="28"/>
          <w:szCs w:val="28"/>
          <w:highlight w:val="none"/>
          <w:lang w:val="zh-CN"/>
        </w:rPr>
        <w:t>.开标一览表（</w:t>
      </w:r>
      <w:r>
        <w:rPr>
          <w:rFonts w:hint="eastAsia" w:ascii="宋体" w:hAnsi="宋体" w:cs="宋体"/>
          <w:bCs/>
          <w:color w:val="auto"/>
          <w:sz w:val="28"/>
          <w:szCs w:val="28"/>
          <w:highlight w:val="none"/>
        </w:rPr>
        <w:t>苏采云系统固定格式</w:t>
      </w:r>
      <w:r>
        <w:rPr>
          <w:rFonts w:hint="eastAsia" w:ascii="宋体" w:hAnsi="宋体" w:cs="宋体"/>
          <w:color w:val="auto"/>
          <w:sz w:val="28"/>
          <w:szCs w:val="28"/>
          <w:highlight w:val="none"/>
          <w:lang w:val="zh-CN"/>
        </w:rPr>
        <w:t>）；</w:t>
      </w:r>
    </w:p>
    <w:p w14:paraId="15338F69">
      <w:pPr>
        <w:spacing w:line="38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2.分项报价表（</w:t>
      </w:r>
      <w:r>
        <w:rPr>
          <w:rFonts w:hint="eastAsia" w:ascii="宋体" w:hAnsi="宋体" w:cs="宋体"/>
          <w:color w:val="auto"/>
          <w:sz w:val="28"/>
          <w:szCs w:val="28"/>
          <w:highlight w:val="none"/>
          <w:lang w:val="zh-CN"/>
        </w:rPr>
        <w:t>格式见附件</w:t>
      </w:r>
      <w:r>
        <w:rPr>
          <w:rFonts w:hint="eastAsia" w:ascii="宋体" w:hAnsi="宋体" w:cs="宋体"/>
          <w:color w:val="auto"/>
          <w:sz w:val="28"/>
          <w:szCs w:val="28"/>
          <w:highlight w:val="none"/>
        </w:rPr>
        <w:t>1）；</w:t>
      </w:r>
    </w:p>
    <w:p w14:paraId="0EB69210">
      <w:pPr>
        <w:spacing w:line="38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3.关于符合本国产品标准的声明函</w:t>
      </w:r>
      <w:r>
        <w:rPr>
          <w:rFonts w:hint="eastAsia" w:ascii="宋体" w:hAnsi="宋体" w:cs="宋体"/>
          <w:color w:val="auto"/>
          <w:sz w:val="28"/>
          <w:szCs w:val="28"/>
          <w:highlight w:val="none"/>
        </w:rPr>
        <w:t>（</w:t>
      </w:r>
      <w:r>
        <w:rPr>
          <w:rFonts w:hint="eastAsia" w:ascii="宋体" w:hAnsi="宋体" w:cs="宋体"/>
          <w:color w:val="auto"/>
          <w:sz w:val="28"/>
          <w:szCs w:val="28"/>
          <w:highlight w:val="none"/>
          <w:lang w:val="zh-CN"/>
        </w:rPr>
        <w:t>格式见附件</w:t>
      </w:r>
      <w:r>
        <w:rPr>
          <w:rFonts w:hint="eastAsia" w:ascii="宋体" w:hAnsi="宋体" w:cs="宋体"/>
          <w:color w:val="auto"/>
          <w:sz w:val="28"/>
          <w:szCs w:val="28"/>
          <w:highlight w:val="none"/>
        </w:rPr>
        <w:t>2）；</w:t>
      </w:r>
    </w:p>
    <w:p w14:paraId="27FBC47B">
      <w:pPr>
        <w:spacing w:line="380" w:lineRule="exact"/>
        <w:ind w:firstLine="560"/>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4</w:t>
      </w:r>
      <w:r>
        <w:rPr>
          <w:rFonts w:hint="eastAsia" w:ascii="宋体" w:hAnsi="宋体" w:cs="宋体"/>
          <w:bCs/>
          <w:color w:val="auto"/>
          <w:sz w:val="28"/>
          <w:szCs w:val="28"/>
          <w:highlight w:val="none"/>
          <w:lang w:val="zh-CN"/>
        </w:rPr>
        <w:t>.投标人情况一览表（格式见附件</w:t>
      </w:r>
      <w:r>
        <w:rPr>
          <w:rFonts w:hint="eastAsia" w:ascii="宋体" w:hAnsi="宋体" w:cs="宋体"/>
          <w:bCs/>
          <w:color w:val="auto"/>
          <w:sz w:val="28"/>
          <w:szCs w:val="28"/>
          <w:highlight w:val="none"/>
        </w:rPr>
        <w:t>3</w:t>
      </w:r>
      <w:r>
        <w:rPr>
          <w:rFonts w:hint="eastAsia" w:ascii="宋体" w:hAnsi="宋体" w:cs="宋体"/>
          <w:bCs/>
          <w:color w:val="auto"/>
          <w:sz w:val="28"/>
          <w:szCs w:val="28"/>
          <w:highlight w:val="none"/>
          <w:lang w:val="zh-CN"/>
        </w:rPr>
        <w:t>）；</w:t>
      </w:r>
    </w:p>
    <w:p w14:paraId="502FEBD9">
      <w:pPr>
        <w:spacing w:line="38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5.技术要求响应及偏离表</w:t>
      </w:r>
      <w:r>
        <w:rPr>
          <w:rFonts w:hint="eastAsia" w:ascii="宋体" w:hAnsi="宋体" w:cs="宋体"/>
          <w:bCs/>
          <w:color w:val="auto"/>
          <w:sz w:val="28"/>
          <w:szCs w:val="28"/>
          <w:highlight w:val="none"/>
          <w:lang w:val="zh-CN"/>
        </w:rPr>
        <w:t>格式见附件</w:t>
      </w:r>
      <w:r>
        <w:rPr>
          <w:rFonts w:hint="eastAsia" w:ascii="宋体" w:hAnsi="宋体" w:cs="宋体"/>
          <w:bCs/>
          <w:color w:val="auto"/>
          <w:sz w:val="28"/>
          <w:szCs w:val="28"/>
          <w:highlight w:val="none"/>
        </w:rPr>
        <w:t>4</w:t>
      </w:r>
      <w:r>
        <w:rPr>
          <w:rFonts w:hint="eastAsia" w:ascii="宋体" w:hAnsi="宋体" w:cs="宋体"/>
          <w:bCs/>
          <w:color w:val="auto"/>
          <w:sz w:val="28"/>
          <w:szCs w:val="28"/>
          <w:highlight w:val="none"/>
          <w:lang w:val="zh-CN"/>
        </w:rPr>
        <w:t>）；</w:t>
      </w:r>
    </w:p>
    <w:p w14:paraId="4C8DDBEB">
      <w:pPr>
        <w:spacing w:line="380" w:lineRule="exact"/>
        <w:ind w:firstLine="560"/>
        <w:rPr>
          <w:rFonts w:hint="eastAsia" w:ascii="宋体" w:hAnsi="宋体" w:cs="宋体"/>
          <w:color w:val="auto"/>
          <w:sz w:val="28"/>
          <w:szCs w:val="28"/>
          <w:highlight w:val="none"/>
        </w:rPr>
      </w:pPr>
      <w:r>
        <w:rPr>
          <w:rFonts w:hint="eastAsia" w:ascii="宋体" w:hAnsi="宋体" w:cs="宋体"/>
          <w:bCs/>
          <w:color w:val="auto"/>
          <w:sz w:val="28"/>
          <w:szCs w:val="28"/>
          <w:highlight w:val="none"/>
        </w:rPr>
        <w:t>6.</w:t>
      </w:r>
      <w:r>
        <w:rPr>
          <w:rFonts w:hint="eastAsia" w:ascii="宋体" w:hAnsi="宋体" w:cs="宋体"/>
          <w:bCs/>
          <w:color w:val="auto"/>
          <w:sz w:val="28"/>
          <w:szCs w:val="28"/>
          <w:highlight w:val="none"/>
          <w:lang w:val="zh-CN"/>
        </w:rPr>
        <w:t>商务要求响应及偏离表（格式见附件</w:t>
      </w: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zh-CN"/>
        </w:rPr>
        <w:t>）；</w:t>
      </w:r>
    </w:p>
    <w:p w14:paraId="32BFDEFE">
      <w:pPr>
        <w:spacing w:line="380" w:lineRule="exact"/>
        <w:ind w:firstLine="560"/>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7.</w:t>
      </w:r>
      <w:r>
        <w:rPr>
          <w:bCs/>
          <w:color w:val="auto"/>
          <w:sz w:val="28"/>
          <w:szCs w:val="28"/>
          <w:highlight w:val="none"/>
          <w:lang w:val="zh-CN"/>
        </w:rPr>
        <w:t>主要</w:t>
      </w:r>
      <w:r>
        <w:rPr>
          <w:rFonts w:hint="eastAsia"/>
          <w:bCs/>
          <w:color w:val="auto"/>
          <w:sz w:val="28"/>
          <w:szCs w:val="28"/>
          <w:highlight w:val="none"/>
          <w:lang w:val="zh-CN"/>
        </w:rPr>
        <w:t>施工辅材</w:t>
      </w:r>
      <w:r>
        <w:rPr>
          <w:bCs/>
          <w:color w:val="auto"/>
          <w:sz w:val="28"/>
          <w:szCs w:val="28"/>
          <w:highlight w:val="none"/>
          <w:lang w:val="zh-CN"/>
        </w:rPr>
        <w:t>规格参数清单明细表</w:t>
      </w:r>
      <w:r>
        <w:rPr>
          <w:color w:val="auto"/>
          <w:sz w:val="28"/>
          <w:szCs w:val="28"/>
          <w:highlight w:val="none"/>
          <w:lang w:val="zh-CN"/>
        </w:rPr>
        <w:t>（格式见附件</w:t>
      </w:r>
      <w:r>
        <w:rPr>
          <w:rFonts w:hint="eastAsia"/>
          <w:color w:val="auto"/>
          <w:sz w:val="28"/>
          <w:szCs w:val="28"/>
          <w:highlight w:val="none"/>
          <w:lang w:val="en-US" w:eastAsia="zh-CN"/>
        </w:rPr>
        <w:t>6</w:t>
      </w:r>
      <w:r>
        <w:rPr>
          <w:color w:val="auto"/>
          <w:sz w:val="28"/>
          <w:szCs w:val="28"/>
          <w:highlight w:val="none"/>
          <w:lang w:val="zh-CN"/>
        </w:rPr>
        <w:t>）；</w:t>
      </w:r>
    </w:p>
    <w:p w14:paraId="77F17DA3">
      <w:pPr>
        <w:spacing w:line="380" w:lineRule="exact"/>
        <w:ind w:firstLine="560"/>
        <w:rPr>
          <w:rFonts w:hint="eastAsia" w:ascii="宋体" w:hAnsi="宋体" w:cs="宋体"/>
          <w:color w:val="auto"/>
          <w:highlight w:val="none"/>
        </w:rPr>
      </w:pPr>
      <w:r>
        <w:rPr>
          <w:rFonts w:hint="eastAsia" w:ascii="宋体" w:hAnsi="宋体" w:cs="宋体"/>
          <w:color w:val="auto"/>
          <w:sz w:val="28"/>
          <w:szCs w:val="28"/>
          <w:highlight w:val="none"/>
          <w:lang w:val="en-US" w:eastAsia="zh-CN"/>
        </w:rPr>
        <w:t>8</w:t>
      </w:r>
      <w:r>
        <w:rPr>
          <w:rFonts w:hint="eastAsia" w:ascii="宋体" w:hAnsi="宋体" w:cs="宋体"/>
          <w:color w:val="auto"/>
          <w:sz w:val="28"/>
          <w:szCs w:val="28"/>
          <w:highlight w:val="none"/>
        </w:rPr>
        <w:t>.</w:t>
      </w:r>
      <w:r>
        <w:rPr>
          <w:rFonts w:hint="eastAsia" w:ascii="宋体" w:hAnsi="宋体" w:cs="宋体"/>
          <w:color w:val="auto"/>
          <w:sz w:val="28"/>
          <w:szCs w:val="28"/>
          <w:highlight w:val="none"/>
          <w:lang w:val="zh-CN"/>
        </w:rPr>
        <w:t>投标人信用承诺书</w:t>
      </w:r>
      <w:r>
        <w:rPr>
          <w:rFonts w:hint="eastAsia" w:ascii="宋体" w:hAnsi="宋体" w:cs="宋体"/>
          <w:color w:val="auto"/>
          <w:sz w:val="28"/>
          <w:szCs w:val="28"/>
          <w:highlight w:val="none"/>
        </w:rPr>
        <w:t>（</w:t>
      </w:r>
      <w:r>
        <w:rPr>
          <w:rFonts w:hint="eastAsia" w:ascii="宋体" w:hAnsi="宋体" w:cs="宋体"/>
          <w:color w:val="auto"/>
          <w:sz w:val="28"/>
          <w:szCs w:val="28"/>
          <w:highlight w:val="none"/>
          <w:lang w:val="zh-CN"/>
        </w:rPr>
        <w:t>格式见附件</w:t>
      </w:r>
      <w:r>
        <w:rPr>
          <w:rFonts w:hint="eastAsia" w:ascii="宋体" w:hAnsi="宋体" w:cs="宋体"/>
          <w:color w:val="auto"/>
          <w:sz w:val="28"/>
          <w:szCs w:val="28"/>
          <w:highlight w:val="none"/>
          <w:lang w:val="en-US" w:eastAsia="zh-CN"/>
        </w:rPr>
        <w:t>7</w:t>
      </w:r>
      <w:r>
        <w:rPr>
          <w:rFonts w:hint="eastAsia" w:ascii="宋体" w:hAnsi="宋体" w:cs="宋体"/>
          <w:color w:val="auto"/>
          <w:sz w:val="28"/>
          <w:szCs w:val="28"/>
          <w:highlight w:val="none"/>
        </w:rPr>
        <w:t>）；</w:t>
      </w:r>
    </w:p>
    <w:p w14:paraId="4B749079">
      <w:pPr>
        <w:spacing w:line="380" w:lineRule="exact"/>
        <w:ind w:left="480"/>
        <w:outlineLvl w:val="1"/>
        <w:rPr>
          <w:rFonts w:hint="eastAsia" w:ascii="宋体" w:hAnsi="宋体" w:cs="宋体"/>
          <w:b/>
          <w:color w:val="auto"/>
          <w:sz w:val="28"/>
          <w:szCs w:val="28"/>
          <w:highlight w:val="none"/>
        </w:rPr>
      </w:pPr>
      <w:bookmarkStart w:id="171" w:name="_Toc19557"/>
      <w:r>
        <w:rPr>
          <w:rFonts w:hint="eastAsia" w:ascii="宋体" w:hAnsi="宋体" w:cs="宋体"/>
          <w:b/>
          <w:color w:val="auto"/>
          <w:sz w:val="28"/>
          <w:szCs w:val="28"/>
          <w:highlight w:val="none"/>
        </w:rPr>
        <w:t>二、资格审查内容</w:t>
      </w:r>
      <w:bookmarkEnd w:id="171"/>
    </w:p>
    <w:p w14:paraId="1E59D36C">
      <w:pPr>
        <w:spacing w:line="380" w:lineRule="exact"/>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1.</w:t>
      </w:r>
      <w:r>
        <w:rPr>
          <w:rFonts w:hint="eastAsia" w:ascii="宋体" w:hAnsi="宋体" w:cs="宋体"/>
          <w:color w:val="auto"/>
          <w:sz w:val="28"/>
          <w:szCs w:val="28"/>
          <w:highlight w:val="none"/>
        </w:rPr>
        <w:t>投标人符合《中华人民共和国政府采购法》第二十二条规定条件的承诺函</w:t>
      </w:r>
      <w:r>
        <w:rPr>
          <w:rFonts w:hint="eastAsia" w:ascii="宋体" w:hAnsi="宋体" w:cs="宋体"/>
          <w:color w:val="auto"/>
          <w:sz w:val="28"/>
          <w:szCs w:val="28"/>
          <w:highlight w:val="none"/>
          <w:lang w:val="zh-CN"/>
        </w:rPr>
        <w:t>（格式见附件</w:t>
      </w:r>
      <w:r>
        <w:rPr>
          <w:rFonts w:hint="eastAsia" w:ascii="宋体" w:hAnsi="宋体" w:cs="宋体"/>
          <w:color w:val="auto"/>
          <w:sz w:val="28"/>
          <w:szCs w:val="28"/>
          <w:highlight w:val="none"/>
          <w:lang w:val="en-US" w:eastAsia="zh-CN"/>
        </w:rPr>
        <w:t>8</w:t>
      </w:r>
      <w:r>
        <w:rPr>
          <w:rFonts w:hint="eastAsia" w:ascii="宋体" w:hAnsi="宋体" w:cs="宋体"/>
          <w:color w:val="auto"/>
          <w:sz w:val="28"/>
          <w:szCs w:val="28"/>
          <w:highlight w:val="none"/>
          <w:lang w:val="zh-CN"/>
        </w:rPr>
        <w:t>）；</w:t>
      </w:r>
    </w:p>
    <w:p w14:paraId="0F1A6DE5">
      <w:pPr>
        <w:spacing w:line="380" w:lineRule="exact"/>
        <w:ind w:firstLine="560"/>
        <w:outlineLvl w:val="2"/>
        <w:rPr>
          <w:rFonts w:hint="eastAsia" w:ascii="宋体" w:hAnsi="宋体" w:cs="宋体"/>
          <w:color w:val="auto"/>
          <w:sz w:val="28"/>
          <w:szCs w:val="28"/>
          <w:highlight w:val="none"/>
          <w:lang w:val="zh-CN"/>
        </w:rPr>
      </w:pPr>
      <w:bookmarkStart w:id="172" w:name="_Toc31323"/>
      <w:r>
        <w:rPr>
          <w:rFonts w:hint="eastAsia" w:ascii="宋体" w:hAnsi="宋体" w:cs="宋体"/>
          <w:color w:val="auto"/>
          <w:sz w:val="28"/>
          <w:szCs w:val="28"/>
          <w:highlight w:val="none"/>
          <w:lang w:val="zh-CN"/>
        </w:rPr>
        <w:t>2.法定代表人身份证明书（格式见附件</w:t>
      </w:r>
      <w:r>
        <w:rPr>
          <w:rFonts w:hint="eastAsia" w:ascii="宋体" w:hAnsi="宋体" w:cs="宋体"/>
          <w:color w:val="auto"/>
          <w:sz w:val="28"/>
          <w:szCs w:val="28"/>
          <w:highlight w:val="none"/>
          <w:lang w:val="en-US" w:eastAsia="zh-CN"/>
        </w:rPr>
        <w:t>9</w:t>
      </w:r>
      <w:r>
        <w:rPr>
          <w:rFonts w:hint="eastAsia" w:ascii="宋体" w:hAnsi="宋体" w:cs="宋体"/>
          <w:color w:val="auto"/>
          <w:sz w:val="28"/>
          <w:szCs w:val="28"/>
          <w:highlight w:val="none"/>
          <w:lang w:val="zh-CN"/>
        </w:rPr>
        <w:t>）；</w:t>
      </w:r>
      <w:bookmarkEnd w:id="172"/>
    </w:p>
    <w:p w14:paraId="08DCD350">
      <w:pPr>
        <w:spacing w:line="380" w:lineRule="exact"/>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3.法定代表人授权委托书原件，</w:t>
      </w:r>
      <w:r>
        <w:rPr>
          <w:rFonts w:hint="eastAsia" w:ascii="宋体" w:hAnsi="宋体" w:cs="宋体"/>
          <w:color w:val="auto"/>
          <w:sz w:val="28"/>
          <w:szCs w:val="28"/>
          <w:highlight w:val="none"/>
        </w:rPr>
        <w:t>投标</w:t>
      </w:r>
      <w:r>
        <w:rPr>
          <w:rFonts w:hint="eastAsia" w:ascii="宋体" w:hAnsi="宋体" w:cs="宋体"/>
          <w:color w:val="auto"/>
          <w:sz w:val="28"/>
          <w:szCs w:val="28"/>
          <w:highlight w:val="none"/>
          <w:lang w:val="zh-CN"/>
        </w:rPr>
        <w:t>代表本人身份证复印件（格式见附件</w:t>
      </w:r>
      <w:r>
        <w:rPr>
          <w:rFonts w:hint="eastAsia" w:ascii="宋体" w:hAnsi="宋体" w:cs="宋体"/>
          <w:color w:val="auto"/>
          <w:sz w:val="28"/>
          <w:szCs w:val="28"/>
          <w:highlight w:val="none"/>
          <w:lang w:val="en-US" w:eastAsia="zh-CN"/>
        </w:rPr>
        <w:t>10</w:t>
      </w:r>
      <w:r>
        <w:rPr>
          <w:rFonts w:hint="eastAsia" w:ascii="宋体" w:hAnsi="宋体" w:cs="宋体"/>
          <w:color w:val="auto"/>
          <w:sz w:val="28"/>
          <w:szCs w:val="28"/>
          <w:highlight w:val="none"/>
          <w:lang w:val="zh-CN"/>
        </w:rPr>
        <w:t>）；</w:t>
      </w:r>
    </w:p>
    <w:p w14:paraId="2CB779C6">
      <w:pPr>
        <w:spacing w:line="380" w:lineRule="exact"/>
        <w:ind w:firstLine="560"/>
        <w:rPr>
          <w:rFonts w:hint="eastAsia" w:ascii="宋体" w:hAnsi="宋体"/>
          <w:color w:val="auto"/>
          <w:sz w:val="28"/>
          <w:szCs w:val="28"/>
          <w:highlight w:val="none"/>
        </w:rPr>
      </w:pPr>
      <w:r>
        <w:rPr>
          <w:rFonts w:hint="eastAsia" w:ascii="宋体" w:hAnsi="宋体" w:cs="宋体"/>
          <w:bCs/>
          <w:color w:val="auto"/>
          <w:sz w:val="28"/>
          <w:szCs w:val="28"/>
          <w:highlight w:val="none"/>
          <w:lang w:val="en-US" w:eastAsia="zh-CN"/>
        </w:rPr>
        <w:t>4</w:t>
      </w:r>
      <w:r>
        <w:rPr>
          <w:rFonts w:hint="eastAsia" w:ascii="宋体" w:hAnsi="宋体" w:cs="宋体"/>
          <w:bCs/>
          <w:color w:val="auto"/>
          <w:sz w:val="28"/>
          <w:szCs w:val="28"/>
          <w:highlight w:val="none"/>
        </w:rPr>
        <w:t>.</w:t>
      </w:r>
      <w:r>
        <w:rPr>
          <w:rFonts w:hint="eastAsia" w:ascii="宋体" w:hAnsi="宋体"/>
          <w:color w:val="auto"/>
          <w:sz w:val="28"/>
          <w:szCs w:val="28"/>
          <w:highlight w:val="none"/>
        </w:rPr>
        <w:t>其他</w:t>
      </w:r>
      <w:r>
        <w:rPr>
          <w:rFonts w:hint="eastAsia" w:ascii="宋体" w:hAnsi="宋体"/>
          <w:color w:val="auto"/>
          <w:sz w:val="28"/>
          <w:szCs w:val="28"/>
          <w:highlight w:val="none"/>
          <w:lang w:val="zh-CN"/>
        </w:rPr>
        <w:t>需要提交的资格审查证明材料（以下满足其一即可）：</w:t>
      </w:r>
    </w:p>
    <w:p w14:paraId="7601A303">
      <w:pPr>
        <w:spacing w:line="380" w:lineRule="exact"/>
        <w:ind w:firstLine="560"/>
        <w:rPr>
          <w:rFonts w:hint="eastAsia" w:ascii="宋体" w:hAnsi="宋体"/>
          <w:color w:val="auto"/>
          <w:sz w:val="28"/>
          <w:szCs w:val="28"/>
          <w:highlight w:val="none"/>
        </w:rPr>
      </w:pPr>
      <w:r>
        <w:rPr>
          <w:rFonts w:hint="eastAsia" w:ascii="宋体" w:hAnsi="宋体"/>
          <w:color w:val="auto"/>
          <w:sz w:val="28"/>
          <w:szCs w:val="28"/>
          <w:highlight w:val="none"/>
          <w:lang w:val="en-US" w:eastAsia="zh-CN"/>
        </w:rPr>
        <w:t>4</w:t>
      </w:r>
      <w:r>
        <w:rPr>
          <w:rFonts w:hint="eastAsia" w:ascii="宋体" w:hAnsi="宋体"/>
          <w:color w:val="auto"/>
          <w:sz w:val="28"/>
          <w:szCs w:val="28"/>
          <w:highlight w:val="none"/>
        </w:rPr>
        <w:t>.1</w:t>
      </w:r>
      <w:r>
        <w:rPr>
          <w:rFonts w:hint="eastAsia" w:ascii="宋体" w:hAnsi="宋体"/>
          <w:color w:val="auto"/>
          <w:sz w:val="28"/>
          <w:szCs w:val="28"/>
          <w:highlight w:val="none"/>
          <w:lang w:val="zh-CN"/>
        </w:rPr>
        <w:t>中小企业声明函（格式见附件</w:t>
      </w:r>
      <w:r>
        <w:rPr>
          <w:rFonts w:hint="eastAsia" w:ascii="宋体" w:hAnsi="宋体"/>
          <w:color w:val="auto"/>
          <w:sz w:val="28"/>
          <w:szCs w:val="28"/>
          <w:highlight w:val="none"/>
        </w:rPr>
        <w:t>1</w:t>
      </w:r>
      <w:r>
        <w:rPr>
          <w:rFonts w:hint="eastAsia" w:ascii="宋体" w:hAnsi="宋体"/>
          <w:color w:val="auto"/>
          <w:sz w:val="28"/>
          <w:szCs w:val="28"/>
          <w:highlight w:val="none"/>
          <w:lang w:val="en-US" w:eastAsia="zh-CN"/>
        </w:rPr>
        <w:t>1</w:t>
      </w:r>
      <w:r>
        <w:rPr>
          <w:rFonts w:hint="eastAsia" w:ascii="宋体" w:hAnsi="宋体"/>
          <w:color w:val="auto"/>
          <w:sz w:val="28"/>
          <w:szCs w:val="28"/>
          <w:highlight w:val="none"/>
          <w:lang w:val="zh-CN"/>
        </w:rPr>
        <w:t>）；</w:t>
      </w:r>
    </w:p>
    <w:p w14:paraId="7DC443DD">
      <w:pPr>
        <w:spacing w:line="380" w:lineRule="exact"/>
        <w:ind w:firstLine="560"/>
        <w:rPr>
          <w:rFonts w:hint="eastAsia" w:ascii="宋体" w:hAnsi="宋体"/>
          <w:color w:val="auto"/>
          <w:sz w:val="28"/>
          <w:szCs w:val="28"/>
          <w:highlight w:val="none"/>
        </w:rPr>
      </w:pPr>
      <w:r>
        <w:rPr>
          <w:rFonts w:hint="eastAsia" w:ascii="宋体" w:hAnsi="宋体"/>
          <w:color w:val="auto"/>
          <w:sz w:val="28"/>
          <w:szCs w:val="28"/>
          <w:highlight w:val="none"/>
          <w:lang w:val="en-US" w:eastAsia="zh-CN"/>
        </w:rPr>
        <w:t>4</w:t>
      </w:r>
      <w:r>
        <w:rPr>
          <w:rFonts w:hint="eastAsia" w:ascii="宋体" w:hAnsi="宋体"/>
          <w:color w:val="auto"/>
          <w:sz w:val="28"/>
          <w:szCs w:val="28"/>
          <w:highlight w:val="none"/>
        </w:rPr>
        <w:t>.2</w:t>
      </w:r>
      <w:r>
        <w:rPr>
          <w:rFonts w:hint="eastAsia" w:ascii="宋体" w:hAnsi="宋体"/>
          <w:color w:val="auto"/>
          <w:sz w:val="28"/>
          <w:szCs w:val="28"/>
          <w:highlight w:val="none"/>
          <w:lang w:val="zh-CN"/>
        </w:rPr>
        <w:t>残疾人福利性单位声明函（格式见附件</w:t>
      </w:r>
      <w:r>
        <w:rPr>
          <w:rFonts w:hint="eastAsia" w:ascii="宋体" w:hAnsi="宋体"/>
          <w:color w:val="auto"/>
          <w:sz w:val="28"/>
          <w:szCs w:val="28"/>
          <w:highlight w:val="none"/>
        </w:rPr>
        <w:t>1</w:t>
      </w:r>
      <w:r>
        <w:rPr>
          <w:rFonts w:hint="eastAsia" w:ascii="宋体" w:hAnsi="宋体"/>
          <w:color w:val="auto"/>
          <w:sz w:val="28"/>
          <w:szCs w:val="28"/>
          <w:highlight w:val="none"/>
          <w:lang w:val="en-US" w:eastAsia="zh-CN"/>
        </w:rPr>
        <w:t>2</w:t>
      </w:r>
      <w:r>
        <w:rPr>
          <w:rFonts w:hint="eastAsia" w:ascii="宋体" w:hAnsi="宋体"/>
          <w:color w:val="auto"/>
          <w:sz w:val="28"/>
          <w:szCs w:val="28"/>
          <w:highlight w:val="none"/>
          <w:lang w:val="zh-CN"/>
        </w:rPr>
        <w:t>）；</w:t>
      </w:r>
    </w:p>
    <w:p w14:paraId="674E3FC6">
      <w:pPr>
        <w:spacing w:line="380" w:lineRule="exact"/>
        <w:ind w:firstLine="560"/>
        <w:rPr>
          <w:rFonts w:hint="eastAsia" w:ascii="宋体" w:hAnsi="宋体" w:cs="宋体"/>
          <w:bCs/>
          <w:color w:val="auto"/>
          <w:sz w:val="28"/>
          <w:szCs w:val="28"/>
          <w:highlight w:val="none"/>
        </w:rPr>
      </w:pPr>
      <w:r>
        <w:rPr>
          <w:rFonts w:hint="eastAsia" w:ascii="宋体" w:hAnsi="宋体"/>
          <w:color w:val="auto"/>
          <w:sz w:val="28"/>
          <w:szCs w:val="28"/>
          <w:highlight w:val="none"/>
          <w:lang w:val="en-US" w:eastAsia="zh-CN"/>
        </w:rPr>
        <w:t>4</w:t>
      </w:r>
      <w:r>
        <w:rPr>
          <w:rFonts w:hint="eastAsia" w:ascii="宋体" w:hAnsi="宋体"/>
          <w:color w:val="auto"/>
          <w:sz w:val="28"/>
          <w:szCs w:val="28"/>
          <w:highlight w:val="none"/>
          <w:lang w:val="zh-CN"/>
        </w:rPr>
        <w:t>.</w:t>
      </w:r>
      <w:r>
        <w:rPr>
          <w:rFonts w:hint="eastAsia" w:ascii="宋体" w:hAnsi="宋体"/>
          <w:color w:val="auto"/>
          <w:sz w:val="28"/>
          <w:szCs w:val="28"/>
          <w:highlight w:val="none"/>
        </w:rPr>
        <w:t>3</w:t>
      </w:r>
      <w:r>
        <w:rPr>
          <w:rFonts w:hint="eastAsia" w:ascii="宋体" w:hAnsi="宋体"/>
          <w:color w:val="auto"/>
          <w:sz w:val="28"/>
          <w:szCs w:val="28"/>
          <w:highlight w:val="none"/>
          <w:lang w:val="zh-CN"/>
        </w:rPr>
        <w:t>监狱和戒毒管理部门所属企业证</w:t>
      </w:r>
      <w:r>
        <w:rPr>
          <w:rFonts w:hint="eastAsia" w:ascii="宋体" w:hAnsi="宋体"/>
          <w:bCs/>
          <w:color w:val="auto"/>
          <w:sz w:val="28"/>
          <w:szCs w:val="28"/>
          <w:highlight w:val="none"/>
        </w:rPr>
        <w:t>明材料（格式见附</w:t>
      </w:r>
      <w:r>
        <w:rPr>
          <w:rFonts w:hint="eastAsia" w:ascii="宋体" w:hAnsi="宋体"/>
          <w:color w:val="auto"/>
          <w:sz w:val="28"/>
          <w:szCs w:val="28"/>
          <w:highlight w:val="none"/>
          <w:lang w:val="zh-CN"/>
        </w:rPr>
        <w:t>件</w:t>
      </w:r>
      <w:r>
        <w:rPr>
          <w:rFonts w:hint="eastAsia" w:ascii="宋体" w:hAnsi="宋体"/>
          <w:color w:val="auto"/>
          <w:sz w:val="28"/>
          <w:szCs w:val="28"/>
          <w:highlight w:val="none"/>
        </w:rPr>
        <w:t>1</w:t>
      </w:r>
      <w:r>
        <w:rPr>
          <w:rFonts w:hint="eastAsia" w:ascii="宋体" w:hAnsi="宋体"/>
          <w:color w:val="auto"/>
          <w:sz w:val="28"/>
          <w:szCs w:val="28"/>
          <w:highlight w:val="none"/>
          <w:lang w:val="en-US" w:eastAsia="zh-CN"/>
        </w:rPr>
        <w:t>3</w:t>
      </w:r>
      <w:r>
        <w:rPr>
          <w:rFonts w:hint="eastAsia" w:ascii="宋体" w:hAnsi="宋体"/>
          <w:color w:val="auto"/>
          <w:sz w:val="28"/>
          <w:szCs w:val="28"/>
          <w:highlight w:val="none"/>
          <w:lang w:val="zh-CN"/>
        </w:rPr>
        <w:t>）；</w:t>
      </w:r>
    </w:p>
    <w:p w14:paraId="6525B2BD">
      <w:pPr>
        <w:spacing w:line="380" w:lineRule="exact"/>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t>注：上述“资格审查内容”中1-</w:t>
      </w:r>
      <w:r>
        <w:rPr>
          <w:rFonts w:hint="eastAsia" w:ascii="宋体" w:hAnsi="宋体" w:cs="宋体"/>
          <w:b/>
          <w:color w:val="auto"/>
          <w:sz w:val="28"/>
          <w:szCs w:val="28"/>
          <w:highlight w:val="none"/>
          <w:lang w:val="en-US" w:eastAsia="zh-CN"/>
        </w:rPr>
        <w:t>4</w:t>
      </w:r>
      <w:r>
        <w:rPr>
          <w:rFonts w:hint="eastAsia" w:ascii="宋体" w:hAnsi="宋体" w:cs="宋体"/>
          <w:b/>
          <w:color w:val="auto"/>
          <w:sz w:val="28"/>
          <w:szCs w:val="28"/>
          <w:highlight w:val="none"/>
        </w:rPr>
        <w:t>条投标人必须逐条响应，否则作无效响应处理。</w:t>
      </w:r>
    </w:p>
    <w:p w14:paraId="482E7CD6">
      <w:pPr>
        <w:spacing w:line="380" w:lineRule="exact"/>
        <w:ind w:left="480"/>
        <w:outlineLvl w:val="1"/>
        <w:rPr>
          <w:rFonts w:hint="eastAsia" w:ascii="宋体" w:hAnsi="宋体" w:cs="宋体"/>
          <w:b/>
          <w:color w:val="auto"/>
          <w:sz w:val="28"/>
          <w:szCs w:val="28"/>
          <w:highlight w:val="none"/>
        </w:rPr>
      </w:pPr>
      <w:bookmarkStart w:id="173" w:name="_Toc2566"/>
      <w:r>
        <w:rPr>
          <w:rFonts w:hint="eastAsia" w:ascii="宋体" w:hAnsi="宋体" w:cs="宋体"/>
          <w:b/>
          <w:color w:val="auto"/>
          <w:sz w:val="28"/>
          <w:szCs w:val="28"/>
          <w:highlight w:val="none"/>
        </w:rPr>
        <w:t>三、符合性审查内容</w:t>
      </w:r>
      <w:bookmarkEnd w:id="173"/>
    </w:p>
    <w:p w14:paraId="36C7D13D">
      <w:pPr>
        <w:spacing w:line="380" w:lineRule="exact"/>
        <w:ind w:firstLine="560"/>
        <w:rPr>
          <w:rFonts w:hint="eastAsia" w:ascii="宋体" w:hAnsi="宋体" w:cs="宋体"/>
          <w:bCs/>
          <w:color w:val="auto"/>
          <w:sz w:val="28"/>
          <w:szCs w:val="28"/>
          <w:highlight w:val="none"/>
        </w:rPr>
      </w:pPr>
      <w:bookmarkStart w:id="174" w:name="_Toc21971"/>
      <w:r>
        <w:rPr>
          <w:rFonts w:hint="eastAsia" w:ascii="宋体" w:hAnsi="宋体" w:cs="宋体"/>
          <w:bCs/>
          <w:color w:val="auto"/>
          <w:sz w:val="28"/>
          <w:szCs w:val="28"/>
          <w:highlight w:val="none"/>
        </w:rPr>
        <w:t>按招标文件第三部分 项目需求“</w:t>
      </w:r>
      <w:r>
        <w:rPr>
          <w:rFonts w:hint="eastAsia" w:ascii="宋体" w:hAnsi="宋体" w:cs="宋体"/>
          <w:bCs/>
          <w:color w:val="auto"/>
          <w:sz w:val="28"/>
          <w:szCs w:val="28"/>
          <w:highlight w:val="none"/>
          <w:lang w:val="en-US" w:eastAsia="zh-CN"/>
        </w:rPr>
        <w:t>九</w:t>
      </w:r>
      <w:r>
        <w:rPr>
          <w:rFonts w:hint="eastAsia" w:ascii="宋体" w:hAnsi="宋体" w:cs="宋体"/>
          <w:bCs/>
          <w:color w:val="auto"/>
          <w:sz w:val="28"/>
          <w:szCs w:val="28"/>
          <w:highlight w:val="none"/>
        </w:rPr>
        <w:t>、采购需求中必须满足的实质性要求”提供测试报告</w:t>
      </w:r>
      <w:r>
        <w:rPr>
          <w:rFonts w:hint="eastAsia" w:ascii="宋体" w:hAnsi="宋体" w:cs="宋体"/>
          <w:bCs/>
          <w:color w:val="auto"/>
          <w:sz w:val="28"/>
          <w:szCs w:val="28"/>
          <w:highlight w:val="none"/>
          <w:lang w:val="en-US" w:eastAsia="zh-CN"/>
        </w:rPr>
        <w:t>和</w:t>
      </w:r>
      <w:r>
        <w:rPr>
          <w:rFonts w:hint="eastAsia" w:ascii="宋体" w:hAnsi="宋体" w:cs="宋体"/>
          <w:bCs/>
          <w:color w:val="auto"/>
          <w:sz w:val="28"/>
          <w:szCs w:val="28"/>
          <w:highlight w:val="none"/>
        </w:rPr>
        <w:t>承诺函</w:t>
      </w:r>
      <w:r>
        <w:rPr>
          <w:rFonts w:hint="eastAsia" w:ascii="宋体" w:hAnsi="宋体" w:cs="宋体"/>
          <w:bCs/>
          <w:color w:val="auto"/>
          <w:sz w:val="28"/>
          <w:szCs w:val="28"/>
          <w:highlight w:val="none"/>
          <w:lang w:eastAsia="zh-CN"/>
        </w:rPr>
        <w:t>（</w:t>
      </w:r>
      <w:r>
        <w:rPr>
          <w:rFonts w:hint="eastAsia" w:ascii="宋体" w:hAnsi="宋体" w:cs="宋体"/>
          <w:bCs/>
          <w:color w:val="auto"/>
          <w:sz w:val="28"/>
          <w:szCs w:val="28"/>
          <w:highlight w:val="none"/>
          <w:lang w:val="en-US" w:eastAsia="zh-CN"/>
        </w:rPr>
        <w:t>承诺函格式详见附件14</w:t>
      </w:r>
      <w:r>
        <w:rPr>
          <w:rFonts w:hint="eastAsia" w:ascii="宋体" w:hAnsi="宋体" w:cs="宋体"/>
          <w:bCs/>
          <w:color w:val="auto"/>
          <w:sz w:val="28"/>
          <w:szCs w:val="28"/>
          <w:highlight w:val="none"/>
          <w:lang w:eastAsia="zh-CN"/>
        </w:rPr>
        <w:t>）</w:t>
      </w:r>
      <w:r>
        <w:rPr>
          <w:rFonts w:hint="eastAsia" w:ascii="宋体" w:hAnsi="宋体" w:cs="宋体"/>
          <w:bCs/>
          <w:color w:val="auto"/>
          <w:sz w:val="28"/>
          <w:szCs w:val="28"/>
          <w:highlight w:val="none"/>
          <w:lang w:val="zh-CN"/>
        </w:rPr>
        <w:t>；</w:t>
      </w:r>
    </w:p>
    <w:p w14:paraId="208CE504">
      <w:pPr>
        <w:spacing w:line="380" w:lineRule="exact"/>
        <w:ind w:firstLine="562"/>
        <w:jc w:val="left"/>
        <w:outlineLvl w:val="1"/>
        <w:rPr>
          <w:rFonts w:hint="eastAsia" w:ascii="宋体" w:hAnsi="宋体" w:cs="宋体"/>
          <w:b/>
          <w:color w:val="auto"/>
          <w:sz w:val="28"/>
          <w:szCs w:val="28"/>
          <w:highlight w:val="none"/>
        </w:rPr>
      </w:pPr>
      <w:r>
        <w:rPr>
          <w:rFonts w:hint="eastAsia" w:ascii="宋体" w:hAnsi="宋体" w:cs="宋体"/>
          <w:b/>
          <w:color w:val="auto"/>
          <w:sz w:val="28"/>
          <w:szCs w:val="28"/>
          <w:highlight w:val="none"/>
        </w:rPr>
        <w:t>四、商务技术文件</w:t>
      </w:r>
      <w:bookmarkEnd w:id="174"/>
    </w:p>
    <w:p w14:paraId="4EAF5F45">
      <w:pPr>
        <w:spacing w:line="380" w:lineRule="exact"/>
        <w:ind w:firstLine="560"/>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1.</w:t>
      </w:r>
      <w:r>
        <w:rPr>
          <w:rFonts w:hint="eastAsia" w:ascii="宋体" w:hAnsi="宋体" w:cs="宋体"/>
          <w:bCs/>
          <w:color w:val="auto"/>
          <w:sz w:val="28"/>
          <w:szCs w:val="28"/>
          <w:highlight w:val="none"/>
          <w:lang w:val="zh-CN"/>
        </w:rPr>
        <w:t>商务技术评分标准中须提供的相关得分佐证材料；</w:t>
      </w:r>
    </w:p>
    <w:p w14:paraId="412421A0">
      <w:pPr>
        <w:spacing w:line="380" w:lineRule="exact"/>
        <w:ind w:firstLine="560"/>
        <w:contextualSpacing/>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2.</w:t>
      </w:r>
      <w:r>
        <w:rPr>
          <w:rFonts w:hint="eastAsia" w:ascii="宋体" w:hAnsi="宋体" w:cs="宋体"/>
          <w:bCs/>
          <w:color w:val="auto"/>
          <w:sz w:val="28"/>
          <w:szCs w:val="28"/>
          <w:highlight w:val="none"/>
          <w:lang w:val="zh-CN"/>
        </w:rPr>
        <w:t>投标人认为需要提交的其他商务技术材料。</w:t>
      </w:r>
    </w:p>
    <w:p w14:paraId="002C3157">
      <w:pPr>
        <w:spacing w:line="480" w:lineRule="exact"/>
        <w:rPr>
          <w:rFonts w:hint="eastAsia" w:ascii="宋体" w:hAnsi="宋体" w:cs="宋体"/>
          <w:color w:val="auto"/>
          <w:sz w:val="28"/>
          <w:szCs w:val="28"/>
          <w:highlight w:val="none"/>
        </w:rPr>
      </w:pPr>
    </w:p>
    <w:p w14:paraId="6E66B7EC">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p>
    <w:p w14:paraId="20D68A98">
      <w:pPr>
        <w:spacing w:line="460" w:lineRule="exact"/>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附件1</w:t>
      </w:r>
    </w:p>
    <w:p w14:paraId="4FBC9E3D">
      <w:pPr>
        <w:spacing w:line="48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投标分项报价表</w:t>
      </w:r>
    </w:p>
    <w:tbl>
      <w:tblPr>
        <w:tblStyle w:val="49"/>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9"/>
        <w:gridCol w:w="1649"/>
        <w:gridCol w:w="795"/>
        <w:gridCol w:w="818"/>
        <w:gridCol w:w="1035"/>
        <w:gridCol w:w="1166"/>
        <w:gridCol w:w="1093"/>
        <w:gridCol w:w="1108"/>
        <w:gridCol w:w="1297"/>
      </w:tblGrid>
      <w:tr w14:paraId="1CA9A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jc w:val="center"/>
        </w:trPr>
        <w:tc>
          <w:tcPr>
            <w:tcW w:w="599" w:type="dxa"/>
            <w:tcBorders>
              <w:top w:val="single" w:color="auto" w:sz="4" w:space="0"/>
              <w:left w:val="single" w:color="auto" w:sz="4" w:space="0"/>
              <w:bottom w:val="single" w:color="auto" w:sz="4" w:space="0"/>
              <w:right w:val="single" w:color="auto" w:sz="4" w:space="0"/>
            </w:tcBorders>
            <w:noWrap w:val="0"/>
            <w:vAlign w:val="center"/>
          </w:tcPr>
          <w:p w14:paraId="6D889AFB">
            <w:pPr>
              <w:keepNext w:val="0"/>
              <w:keepLines w:val="0"/>
              <w:pageBreakBefore w:val="0"/>
              <w:widowControl w:val="0"/>
              <w:spacing w:line="264" w:lineRule="auto"/>
              <w:contextualSpacing/>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序号</w:t>
            </w:r>
          </w:p>
        </w:tc>
        <w:tc>
          <w:tcPr>
            <w:tcW w:w="1649" w:type="dxa"/>
            <w:tcBorders>
              <w:top w:val="single" w:color="auto" w:sz="4" w:space="0"/>
              <w:left w:val="nil"/>
              <w:bottom w:val="single" w:color="auto" w:sz="4" w:space="0"/>
              <w:right w:val="single" w:color="auto" w:sz="4" w:space="0"/>
            </w:tcBorders>
            <w:noWrap w:val="0"/>
            <w:vAlign w:val="center"/>
          </w:tcPr>
          <w:p w14:paraId="660F050B">
            <w:pPr>
              <w:keepNext w:val="0"/>
              <w:keepLines w:val="0"/>
              <w:pageBreakBefore w:val="0"/>
              <w:widowControl w:val="0"/>
              <w:spacing w:line="264" w:lineRule="auto"/>
              <w:contextualSpacing/>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产品名称</w:t>
            </w:r>
          </w:p>
        </w:tc>
        <w:tc>
          <w:tcPr>
            <w:tcW w:w="795" w:type="dxa"/>
            <w:tcBorders>
              <w:top w:val="single" w:color="auto" w:sz="4" w:space="0"/>
              <w:left w:val="nil"/>
              <w:bottom w:val="single" w:color="auto" w:sz="4" w:space="0"/>
              <w:right w:val="single" w:color="auto" w:sz="4" w:space="0"/>
            </w:tcBorders>
            <w:noWrap w:val="0"/>
            <w:vAlign w:val="center"/>
          </w:tcPr>
          <w:p w14:paraId="66257CA4">
            <w:pPr>
              <w:keepNext w:val="0"/>
              <w:keepLines w:val="0"/>
              <w:pageBreakBefore w:val="0"/>
              <w:widowControl w:val="0"/>
              <w:spacing w:line="264" w:lineRule="auto"/>
              <w:contextualSpacing/>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数量</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6282E391">
            <w:pPr>
              <w:keepNext w:val="0"/>
              <w:keepLines w:val="0"/>
              <w:pageBreakBefore w:val="0"/>
              <w:widowControl w:val="0"/>
              <w:spacing w:line="264" w:lineRule="auto"/>
              <w:contextualSpacing/>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单位</w:t>
            </w:r>
          </w:p>
        </w:tc>
        <w:tc>
          <w:tcPr>
            <w:tcW w:w="1035" w:type="dxa"/>
            <w:tcBorders>
              <w:top w:val="single" w:color="auto" w:sz="4" w:space="0"/>
              <w:left w:val="nil"/>
              <w:bottom w:val="single" w:color="auto" w:sz="4" w:space="0"/>
              <w:right w:val="single" w:color="auto" w:sz="4" w:space="0"/>
            </w:tcBorders>
            <w:noWrap w:val="0"/>
            <w:vAlign w:val="center"/>
          </w:tcPr>
          <w:p w14:paraId="1D247933">
            <w:pPr>
              <w:keepNext w:val="0"/>
              <w:keepLines w:val="0"/>
              <w:pageBreakBefore w:val="0"/>
              <w:widowControl w:val="0"/>
              <w:spacing w:line="264" w:lineRule="auto"/>
              <w:contextualSpacing/>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品牌</w:t>
            </w:r>
          </w:p>
        </w:tc>
        <w:tc>
          <w:tcPr>
            <w:tcW w:w="1166" w:type="dxa"/>
            <w:tcBorders>
              <w:top w:val="single" w:color="auto" w:sz="4" w:space="0"/>
              <w:left w:val="nil"/>
              <w:bottom w:val="single" w:color="auto" w:sz="4" w:space="0"/>
              <w:right w:val="single" w:color="auto" w:sz="4" w:space="0"/>
            </w:tcBorders>
            <w:noWrap w:val="0"/>
            <w:vAlign w:val="center"/>
          </w:tcPr>
          <w:p w14:paraId="7AF8571F">
            <w:pPr>
              <w:keepNext w:val="0"/>
              <w:keepLines w:val="0"/>
              <w:pageBreakBefore w:val="0"/>
              <w:widowControl w:val="0"/>
              <w:spacing w:line="264" w:lineRule="auto"/>
              <w:contextualSpacing/>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规格型号（如有）</w:t>
            </w:r>
          </w:p>
        </w:tc>
        <w:tc>
          <w:tcPr>
            <w:tcW w:w="1093" w:type="dxa"/>
            <w:tcBorders>
              <w:top w:val="single" w:color="auto" w:sz="4" w:space="0"/>
              <w:left w:val="nil"/>
              <w:bottom w:val="single" w:color="auto" w:sz="4" w:space="0"/>
              <w:right w:val="single" w:color="auto" w:sz="4" w:space="0"/>
            </w:tcBorders>
            <w:noWrap w:val="0"/>
            <w:vAlign w:val="center"/>
          </w:tcPr>
          <w:p w14:paraId="7943C711">
            <w:pPr>
              <w:keepNext w:val="0"/>
              <w:keepLines w:val="0"/>
              <w:pageBreakBefore w:val="0"/>
              <w:widowControl w:val="0"/>
              <w:spacing w:line="264" w:lineRule="auto"/>
              <w:contextualSpacing/>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制造商名称</w:t>
            </w:r>
          </w:p>
        </w:tc>
        <w:tc>
          <w:tcPr>
            <w:tcW w:w="1108" w:type="dxa"/>
            <w:tcBorders>
              <w:top w:val="single" w:color="auto" w:sz="4" w:space="0"/>
              <w:left w:val="nil"/>
              <w:bottom w:val="single" w:color="auto" w:sz="4" w:space="0"/>
              <w:right w:val="single" w:color="auto" w:sz="4" w:space="0"/>
            </w:tcBorders>
            <w:noWrap w:val="0"/>
            <w:vAlign w:val="center"/>
          </w:tcPr>
          <w:p w14:paraId="1009EB77">
            <w:pPr>
              <w:keepNext w:val="0"/>
              <w:keepLines w:val="0"/>
              <w:pageBreakBefore w:val="0"/>
              <w:widowControl w:val="0"/>
              <w:spacing w:line="264" w:lineRule="auto"/>
              <w:contextualSpacing/>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投标单价（元）</w:t>
            </w:r>
          </w:p>
        </w:tc>
        <w:tc>
          <w:tcPr>
            <w:tcW w:w="1297" w:type="dxa"/>
            <w:tcBorders>
              <w:top w:val="single" w:color="auto" w:sz="4" w:space="0"/>
              <w:left w:val="nil"/>
              <w:bottom w:val="single" w:color="auto" w:sz="4" w:space="0"/>
              <w:right w:val="single" w:color="auto" w:sz="4" w:space="0"/>
            </w:tcBorders>
            <w:noWrap w:val="0"/>
            <w:vAlign w:val="center"/>
          </w:tcPr>
          <w:p w14:paraId="01653104">
            <w:pPr>
              <w:keepNext w:val="0"/>
              <w:keepLines w:val="0"/>
              <w:pageBreakBefore w:val="0"/>
              <w:widowControl w:val="0"/>
              <w:spacing w:line="264" w:lineRule="auto"/>
              <w:contextualSpacing/>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投标合价（元）</w:t>
            </w:r>
          </w:p>
        </w:tc>
      </w:tr>
      <w:tr w14:paraId="190D3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599" w:type="dxa"/>
            <w:tcBorders>
              <w:top w:val="single" w:color="auto" w:sz="4" w:space="0"/>
              <w:left w:val="single" w:color="auto" w:sz="4" w:space="0"/>
              <w:bottom w:val="single" w:color="auto" w:sz="4" w:space="0"/>
              <w:right w:val="single" w:color="auto" w:sz="4" w:space="0"/>
            </w:tcBorders>
            <w:noWrap w:val="0"/>
            <w:vAlign w:val="center"/>
          </w:tcPr>
          <w:p w14:paraId="3D798EE7">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1</w:t>
            </w:r>
          </w:p>
        </w:tc>
        <w:tc>
          <w:tcPr>
            <w:tcW w:w="1649" w:type="dxa"/>
            <w:tcBorders>
              <w:top w:val="single" w:color="auto" w:sz="4" w:space="0"/>
              <w:left w:val="nil"/>
              <w:bottom w:val="single" w:color="auto" w:sz="4" w:space="0"/>
              <w:right w:val="single" w:color="auto" w:sz="4" w:space="0"/>
            </w:tcBorders>
            <w:noWrap w:val="0"/>
            <w:vAlign w:val="center"/>
          </w:tcPr>
          <w:p w14:paraId="7D1EFAD6">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小型教室黑板</w:t>
            </w:r>
          </w:p>
        </w:tc>
        <w:tc>
          <w:tcPr>
            <w:tcW w:w="795" w:type="dxa"/>
            <w:tcBorders>
              <w:top w:val="single" w:color="auto" w:sz="4" w:space="0"/>
              <w:left w:val="nil"/>
              <w:bottom w:val="single" w:color="auto" w:sz="4" w:space="0"/>
              <w:right w:val="single" w:color="auto" w:sz="4" w:space="0"/>
            </w:tcBorders>
            <w:noWrap w:val="0"/>
            <w:vAlign w:val="center"/>
          </w:tcPr>
          <w:p w14:paraId="71BFAA63">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13</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724FE5A5">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套</w:t>
            </w:r>
          </w:p>
        </w:tc>
        <w:tc>
          <w:tcPr>
            <w:tcW w:w="1035" w:type="dxa"/>
            <w:tcBorders>
              <w:top w:val="single" w:color="auto" w:sz="4" w:space="0"/>
              <w:left w:val="nil"/>
              <w:bottom w:val="single" w:color="auto" w:sz="4" w:space="0"/>
              <w:right w:val="single" w:color="auto" w:sz="4" w:space="0"/>
            </w:tcBorders>
            <w:noWrap w:val="0"/>
            <w:vAlign w:val="center"/>
          </w:tcPr>
          <w:p w14:paraId="771438B6">
            <w:pPr>
              <w:spacing w:line="360" w:lineRule="auto"/>
              <w:contextualSpacing/>
              <w:jc w:val="center"/>
              <w:rPr>
                <w:rFonts w:hint="eastAsia" w:ascii="宋体" w:hAnsi="宋体" w:cs="宋体"/>
                <w:color w:val="auto"/>
                <w:sz w:val="28"/>
                <w:szCs w:val="28"/>
                <w:highlight w:val="none"/>
              </w:rPr>
            </w:pPr>
          </w:p>
        </w:tc>
        <w:tc>
          <w:tcPr>
            <w:tcW w:w="1166" w:type="dxa"/>
            <w:tcBorders>
              <w:top w:val="single" w:color="auto" w:sz="4" w:space="0"/>
              <w:left w:val="nil"/>
              <w:bottom w:val="single" w:color="auto" w:sz="4" w:space="0"/>
              <w:right w:val="single" w:color="auto" w:sz="4" w:space="0"/>
            </w:tcBorders>
            <w:noWrap w:val="0"/>
            <w:vAlign w:val="center"/>
          </w:tcPr>
          <w:p w14:paraId="1B71A1D8">
            <w:pPr>
              <w:spacing w:line="360" w:lineRule="auto"/>
              <w:contextualSpacing/>
              <w:jc w:val="center"/>
              <w:rPr>
                <w:rFonts w:hint="eastAsia" w:ascii="宋体" w:hAnsi="宋体" w:cs="宋体"/>
                <w:color w:val="auto"/>
                <w:sz w:val="28"/>
                <w:szCs w:val="28"/>
                <w:highlight w:val="none"/>
              </w:rPr>
            </w:pPr>
          </w:p>
        </w:tc>
        <w:tc>
          <w:tcPr>
            <w:tcW w:w="1093" w:type="dxa"/>
            <w:tcBorders>
              <w:top w:val="single" w:color="auto" w:sz="4" w:space="0"/>
              <w:left w:val="nil"/>
              <w:bottom w:val="single" w:color="auto" w:sz="4" w:space="0"/>
              <w:right w:val="single" w:color="auto" w:sz="4" w:space="0"/>
            </w:tcBorders>
            <w:noWrap w:val="0"/>
            <w:vAlign w:val="center"/>
          </w:tcPr>
          <w:p w14:paraId="11DA33C5">
            <w:pPr>
              <w:spacing w:line="360" w:lineRule="auto"/>
              <w:contextualSpacing/>
              <w:jc w:val="center"/>
              <w:rPr>
                <w:rFonts w:hint="eastAsia" w:ascii="宋体" w:hAnsi="宋体" w:cs="宋体"/>
                <w:color w:val="auto"/>
                <w:sz w:val="28"/>
                <w:szCs w:val="28"/>
                <w:highlight w:val="none"/>
              </w:rPr>
            </w:pPr>
          </w:p>
        </w:tc>
        <w:tc>
          <w:tcPr>
            <w:tcW w:w="1108" w:type="dxa"/>
            <w:tcBorders>
              <w:top w:val="single" w:color="auto" w:sz="4" w:space="0"/>
              <w:left w:val="nil"/>
              <w:bottom w:val="single" w:color="auto" w:sz="4" w:space="0"/>
              <w:right w:val="single" w:color="auto" w:sz="4" w:space="0"/>
            </w:tcBorders>
            <w:noWrap w:val="0"/>
            <w:vAlign w:val="center"/>
          </w:tcPr>
          <w:p w14:paraId="309AC37A">
            <w:pPr>
              <w:spacing w:line="360" w:lineRule="auto"/>
              <w:contextualSpacing/>
              <w:jc w:val="center"/>
              <w:rPr>
                <w:rFonts w:hint="eastAsia" w:ascii="宋体" w:hAnsi="宋体" w:cs="宋体"/>
                <w:color w:val="auto"/>
                <w:sz w:val="28"/>
                <w:szCs w:val="28"/>
                <w:highlight w:val="none"/>
              </w:rPr>
            </w:pPr>
          </w:p>
        </w:tc>
        <w:tc>
          <w:tcPr>
            <w:tcW w:w="1297" w:type="dxa"/>
            <w:tcBorders>
              <w:top w:val="single" w:color="auto" w:sz="4" w:space="0"/>
              <w:left w:val="nil"/>
              <w:bottom w:val="single" w:color="auto" w:sz="4" w:space="0"/>
              <w:right w:val="single" w:color="auto" w:sz="4" w:space="0"/>
            </w:tcBorders>
            <w:noWrap w:val="0"/>
            <w:vAlign w:val="center"/>
          </w:tcPr>
          <w:p w14:paraId="6D45D4A9">
            <w:pPr>
              <w:spacing w:line="360" w:lineRule="auto"/>
              <w:contextualSpacing/>
              <w:jc w:val="center"/>
              <w:rPr>
                <w:rFonts w:hint="eastAsia" w:ascii="宋体" w:hAnsi="宋体" w:cs="宋体"/>
                <w:color w:val="auto"/>
                <w:sz w:val="28"/>
                <w:szCs w:val="28"/>
                <w:highlight w:val="none"/>
              </w:rPr>
            </w:pPr>
          </w:p>
        </w:tc>
      </w:tr>
      <w:tr w14:paraId="15CE3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599" w:type="dxa"/>
            <w:tcBorders>
              <w:top w:val="single" w:color="auto" w:sz="4" w:space="0"/>
              <w:left w:val="single" w:color="auto" w:sz="4" w:space="0"/>
              <w:bottom w:val="single" w:color="auto" w:sz="4" w:space="0"/>
              <w:right w:val="single" w:color="auto" w:sz="4" w:space="0"/>
            </w:tcBorders>
            <w:noWrap w:val="0"/>
            <w:vAlign w:val="center"/>
          </w:tcPr>
          <w:p w14:paraId="2244FDC7">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2</w:t>
            </w:r>
          </w:p>
        </w:tc>
        <w:tc>
          <w:tcPr>
            <w:tcW w:w="1649" w:type="dxa"/>
            <w:tcBorders>
              <w:top w:val="single" w:color="auto" w:sz="4" w:space="0"/>
              <w:left w:val="nil"/>
              <w:bottom w:val="single" w:color="auto" w:sz="4" w:space="0"/>
              <w:right w:val="single" w:color="auto" w:sz="4" w:space="0"/>
            </w:tcBorders>
            <w:noWrap w:val="0"/>
            <w:vAlign w:val="center"/>
          </w:tcPr>
          <w:p w14:paraId="7DEF3709">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中、大型教室黑板</w:t>
            </w:r>
          </w:p>
        </w:tc>
        <w:tc>
          <w:tcPr>
            <w:tcW w:w="795" w:type="dxa"/>
            <w:tcBorders>
              <w:top w:val="single" w:color="auto" w:sz="4" w:space="0"/>
              <w:left w:val="nil"/>
              <w:bottom w:val="single" w:color="auto" w:sz="4" w:space="0"/>
              <w:right w:val="single" w:color="auto" w:sz="4" w:space="0"/>
            </w:tcBorders>
            <w:noWrap w:val="0"/>
            <w:vAlign w:val="center"/>
          </w:tcPr>
          <w:p w14:paraId="71F407D0">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29</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00E98547">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套</w:t>
            </w:r>
          </w:p>
        </w:tc>
        <w:tc>
          <w:tcPr>
            <w:tcW w:w="1035" w:type="dxa"/>
            <w:tcBorders>
              <w:top w:val="single" w:color="auto" w:sz="4" w:space="0"/>
              <w:left w:val="nil"/>
              <w:bottom w:val="single" w:color="auto" w:sz="4" w:space="0"/>
              <w:right w:val="single" w:color="auto" w:sz="4" w:space="0"/>
            </w:tcBorders>
            <w:noWrap w:val="0"/>
            <w:vAlign w:val="center"/>
          </w:tcPr>
          <w:p w14:paraId="5CE1C054">
            <w:pPr>
              <w:spacing w:line="360" w:lineRule="auto"/>
              <w:jc w:val="center"/>
              <w:rPr>
                <w:rFonts w:hint="eastAsia" w:ascii="宋体" w:hAnsi="宋体" w:cs="宋体"/>
                <w:color w:val="auto"/>
                <w:sz w:val="28"/>
                <w:szCs w:val="28"/>
                <w:highlight w:val="none"/>
              </w:rPr>
            </w:pPr>
          </w:p>
        </w:tc>
        <w:tc>
          <w:tcPr>
            <w:tcW w:w="1166" w:type="dxa"/>
            <w:tcBorders>
              <w:top w:val="single" w:color="auto" w:sz="4" w:space="0"/>
              <w:left w:val="nil"/>
              <w:bottom w:val="single" w:color="auto" w:sz="4" w:space="0"/>
              <w:right w:val="single" w:color="auto" w:sz="4" w:space="0"/>
            </w:tcBorders>
            <w:noWrap w:val="0"/>
            <w:vAlign w:val="center"/>
          </w:tcPr>
          <w:p w14:paraId="5F04A789">
            <w:pPr>
              <w:spacing w:line="360" w:lineRule="auto"/>
              <w:jc w:val="center"/>
              <w:rPr>
                <w:rFonts w:hint="eastAsia" w:ascii="宋体" w:hAnsi="宋体" w:cs="宋体"/>
                <w:color w:val="auto"/>
                <w:sz w:val="28"/>
                <w:szCs w:val="28"/>
                <w:highlight w:val="none"/>
              </w:rPr>
            </w:pPr>
          </w:p>
        </w:tc>
        <w:tc>
          <w:tcPr>
            <w:tcW w:w="1093" w:type="dxa"/>
            <w:tcBorders>
              <w:top w:val="single" w:color="auto" w:sz="4" w:space="0"/>
              <w:left w:val="nil"/>
              <w:bottom w:val="single" w:color="auto" w:sz="4" w:space="0"/>
              <w:right w:val="single" w:color="auto" w:sz="4" w:space="0"/>
            </w:tcBorders>
            <w:noWrap w:val="0"/>
            <w:vAlign w:val="center"/>
          </w:tcPr>
          <w:p w14:paraId="485BAAAC">
            <w:pPr>
              <w:spacing w:line="360" w:lineRule="auto"/>
              <w:jc w:val="center"/>
              <w:rPr>
                <w:rFonts w:hint="eastAsia" w:ascii="宋体" w:hAnsi="宋体" w:cs="宋体"/>
                <w:color w:val="auto"/>
                <w:sz w:val="28"/>
                <w:szCs w:val="28"/>
                <w:highlight w:val="none"/>
              </w:rPr>
            </w:pPr>
          </w:p>
        </w:tc>
        <w:tc>
          <w:tcPr>
            <w:tcW w:w="1108" w:type="dxa"/>
            <w:tcBorders>
              <w:top w:val="single" w:color="auto" w:sz="4" w:space="0"/>
              <w:left w:val="nil"/>
              <w:bottom w:val="single" w:color="auto" w:sz="4" w:space="0"/>
              <w:right w:val="single" w:color="auto" w:sz="4" w:space="0"/>
            </w:tcBorders>
            <w:noWrap w:val="0"/>
            <w:vAlign w:val="center"/>
          </w:tcPr>
          <w:p w14:paraId="1F1F30C0">
            <w:pPr>
              <w:spacing w:line="360" w:lineRule="auto"/>
              <w:jc w:val="center"/>
              <w:rPr>
                <w:rFonts w:hint="eastAsia" w:ascii="宋体" w:hAnsi="宋体" w:cs="宋体"/>
                <w:color w:val="auto"/>
                <w:sz w:val="28"/>
                <w:szCs w:val="28"/>
                <w:highlight w:val="none"/>
              </w:rPr>
            </w:pPr>
          </w:p>
        </w:tc>
        <w:tc>
          <w:tcPr>
            <w:tcW w:w="1297" w:type="dxa"/>
            <w:tcBorders>
              <w:top w:val="single" w:color="auto" w:sz="4" w:space="0"/>
              <w:left w:val="nil"/>
              <w:bottom w:val="single" w:color="auto" w:sz="4" w:space="0"/>
              <w:right w:val="single" w:color="auto" w:sz="4" w:space="0"/>
            </w:tcBorders>
            <w:noWrap w:val="0"/>
            <w:vAlign w:val="center"/>
          </w:tcPr>
          <w:p w14:paraId="6796D93F">
            <w:pPr>
              <w:spacing w:line="360" w:lineRule="auto"/>
              <w:jc w:val="center"/>
              <w:rPr>
                <w:rFonts w:hint="eastAsia" w:ascii="宋体" w:hAnsi="宋体" w:cs="宋体"/>
                <w:color w:val="auto"/>
                <w:sz w:val="28"/>
                <w:szCs w:val="28"/>
                <w:highlight w:val="none"/>
              </w:rPr>
            </w:pPr>
          </w:p>
        </w:tc>
      </w:tr>
      <w:tr w14:paraId="7520B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599" w:type="dxa"/>
            <w:tcBorders>
              <w:top w:val="single" w:color="auto" w:sz="4" w:space="0"/>
              <w:left w:val="single" w:color="auto" w:sz="4" w:space="0"/>
              <w:bottom w:val="single" w:color="auto" w:sz="4" w:space="0"/>
              <w:right w:val="single" w:color="auto" w:sz="4" w:space="0"/>
            </w:tcBorders>
            <w:noWrap w:val="0"/>
            <w:vAlign w:val="center"/>
          </w:tcPr>
          <w:p w14:paraId="66F6084F">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3</w:t>
            </w:r>
          </w:p>
        </w:tc>
        <w:tc>
          <w:tcPr>
            <w:tcW w:w="1649" w:type="dxa"/>
            <w:tcBorders>
              <w:top w:val="single" w:color="auto" w:sz="4" w:space="0"/>
              <w:left w:val="nil"/>
              <w:bottom w:val="single" w:color="auto" w:sz="4" w:space="0"/>
              <w:right w:val="single" w:color="auto" w:sz="4" w:space="0"/>
            </w:tcBorders>
            <w:noWrap w:val="0"/>
            <w:vAlign w:val="center"/>
          </w:tcPr>
          <w:p w14:paraId="67903BED">
            <w:pPr>
              <w:widowControl/>
              <w:jc w:val="center"/>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lang w:bidi="ar"/>
              </w:rPr>
              <w:t>阶梯教室上下推拉黑板</w:t>
            </w:r>
          </w:p>
        </w:tc>
        <w:tc>
          <w:tcPr>
            <w:tcW w:w="795" w:type="dxa"/>
            <w:tcBorders>
              <w:top w:val="single" w:color="auto" w:sz="4" w:space="0"/>
              <w:left w:val="nil"/>
              <w:bottom w:val="single" w:color="auto" w:sz="4" w:space="0"/>
              <w:right w:val="single" w:color="auto" w:sz="4" w:space="0"/>
            </w:tcBorders>
            <w:noWrap w:val="0"/>
            <w:vAlign w:val="center"/>
          </w:tcPr>
          <w:p w14:paraId="5F49B257">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3</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5C87705D">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套</w:t>
            </w:r>
          </w:p>
        </w:tc>
        <w:tc>
          <w:tcPr>
            <w:tcW w:w="1035" w:type="dxa"/>
            <w:tcBorders>
              <w:top w:val="single" w:color="auto" w:sz="4" w:space="0"/>
              <w:left w:val="nil"/>
              <w:bottom w:val="single" w:color="auto" w:sz="4" w:space="0"/>
              <w:right w:val="single" w:color="auto" w:sz="4" w:space="0"/>
            </w:tcBorders>
            <w:noWrap w:val="0"/>
            <w:vAlign w:val="center"/>
          </w:tcPr>
          <w:p w14:paraId="38261493">
            <w:pPr>
              <w:spacing w:line="360" w:lineRule="auto"/>
              <w:jc w:val="center"/>
              <w:rPr>
                <w:rFonts w:hint="eastAsia" w:ascii="宋体" w:hAnsi="宋体" w:cs="宋体"/>
                <w:color w:val="auto"/>
                <w:sz w:val="28"/>
                <w:szCs w:val="28"/>
                <w:highlight w:val="none"/>
              </w:rPr>
            </w:pPr>
          </w:p>
        </w:tc>
        <w:tc>
          <w:tcPr>
            <w:tcW w:w="1166" w:type="dxa"/>
            <w:tcBorders>
              <w:top w:val="single" w:color="auto" w:sz="4" w:space="0"/>
              <w:left w:val="nil"/>
              <w:bottom w:val="single" w:color="auto" w:sz="4" w:space="0"/>
              <w:right w:val="single" w:color="auto" w:sz="4" w:space="0"/>
            </w:tcBorders>
            <w:noWrap w:val="0"/>
            <w:vAlign w:val="center"/>
          </w:tcPr>
          <w:p w14:paraId="64D5C1BA">
            <w:pPr>
              <w:spacing w:line="360" w:lineRule="auto"/>
              <w:jc w:val="center"/>
              <w:rPr>
                <w:rFonts w:hint="eastAsia" w:ascii="宋体" w:hAnsi="宋体" w:cs="宋体"/>
                <w:color w:val="auto"/>
                <w:sz w:val="28"/>
                <w:szCs w:val="28"/>
                <w:highlight w:val="none"/>
              </w:rPr>
            </w:pPr>
          </w:p>
        </w:tc>
        <w:tc>
          <w:tcPr>
            <w:tcW w:w="1093" w:type="dxa"/>
            <w:tcBorders>
              <w:top w:val="single" w:color="auto" w:sz="4" w:space="0"/>
              <w:left w:val="nil"/>
              <w:bottom w:val="single" w:color="auto" w:sz="4" w:space="0"/>
              <w:right w:val="single" w:color="auto" w:sz="4" w:space="0"/>
            </w:tcBorders>
            <w:noWrap w:val="0"/>
            <w:vAlign w:val="center"/>
          </w:tcPr>
          <w:p w14:paraId="14B7D903">
            <w:pPr>
              <w:spacing w:line="360" w:lineRule="auto"/>
              <w:jc w:val="center"/>
              <w:rPr>
                <w:rFonts w:hint="eastAsia" w:ascii="宋体" w:hAnsi="宋体" w:cs="宋体"/>
                <w:color w:val="auto"/>
                <w:sz w:val="28"/>
                <w:szCs w:val="28"/>
                <w:highlight w:val="none"/>
              </w:rPr>
            </w:pPr>
          </w:p>
        </w:tc>
        <w:tc>
          <w:tcPr>
            <w:tcW w:w="1108" w:type="dxa"/>
            <w:tcBorders>
              <w:top w:val="single" w:color="auto" w:sz="4" w:space="0"/>
              <w:left w:val="nil"/>
              <w:bottom w:val="single" w:color="auto" w:sz="4" w:space="0"/>
              <w:right w:val="single" w:color="auto" w:sz="4" w:space="0"/>
            </w:tcBorders>
            <w:noWrap w:val="0"/>
            <w:vAlign w:val="center"/>
          </w:tcPr>
          <w:p w14:paraId="352CFAAB">
            <w:pPr>
              <w:spacing w:line="360" w:lineRule="auto"/>
              <w:jc w:val="center"/>
              <w:rPr>
                <w:rFonts w:hint="eastAsia" w:ascii="宋体" w:hAnsi="宋体" w:cs="宋体"/>
                <w:color w:val="auto"/>
                <w:sz w:val="28"/>
                <w:szCs w:val="28"/>
                <w:highlight w:val="none"/>
              </w:rPr>
            </w:pPr>
          </w:p>
        </w:tc>
        <w:tc>
          <w:tcPr>
            <w:tcW w:w="1297" w:type="dxa"/>
            <w:tcBorders>
              <w:top w:val="single" w:color="auto" w:sz="4" w:space="0"/>
              <w:left w:val="nil"/>
              <w:bottom w:val="single" w:color="auto" w:sz="4" w:space="0"/>
              <w:right w:val="single" w:color="auto" w:sz="4" w:space="0"/>
            </w:tcBorders>
            <w:noWrap w:val="0"/>
            <w:vAlign w:val="center"/>
          </w:tcPr>
          <w:p w14:paraId="399D65BF">
            <w:pPr>
              <w:spacing w:line="360" w:lineRule="auto"/>
              <w:jc w:val="center"/>
              <w:rPr>
                <w:rFonts w:hint="eastAsia" w:ascii="宋体" w:hAnsi="宋体" w:cs="宋体"/>
                <w:color w:val="auto"/>
                <w:sz w:val="28"/>
                <w:szCs w:val="28"/>
                <w:highlight w:val="none"/>
              </w:rPr>
            </w:pPr>
          </w:p>
        </w:tc>
      </w:tr>
      <w:tr w14:paraId="250DA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599" w:type="dxa"/>
            <w:tcBorders>
              <w:left w:val="single" w:color="auto" w:sz="4" w:space="0"/>
              <w:bottom w:val="single" w:color="auto" w:sz="4" w:space="0"/>
              <w:right w:val="single" w:color="auto" w:sz="4" w:space="0"/>
            </w:tcBorders>
            <w:noWrap w:val="0"/>
            <w:vAlign w:val="center"/>
          </w:tcPr>
          <w:p w14:paraId="7028D8E7">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4</w:t>
            </w:r>
          </w:p>
        </w:tc>
        <w:tc>
          <w:tcPr>
            <w:tcW w:w="1649" w:type="dxa"/>
            <w:tcBorders>
              <w:left w:val="nil"/>
              <w:bottom w:val="single" w:color="auto" w:sz="4" w:space="0"/>
              <w:right w:val="single" w:color="auto" w:sz="4" w:space="0"/>
            </w:tcBorders>
            <w:noWrap w:val="0"/>
            <w:vAlign w:val="center"/>
          </w:tcPr>
          <w:p w14:paraId="2D21E46E">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120寸幕布</w:t>
            </w:r>
          </w:p>
        </w:tc>
        <w:tc>
          <w:tcPr>
            <w:tcW w:w="795" w:type="dxa"/>
            <w:tcBorders>
              <w:top w:val="single" w:color="auto" w:sz="4" w:space="0"/>
              <w:left w:val="nil"/>
              <w:bottom w:val="single" w:color="auto" w:sz="4" w:space="0"/>
              <w:right w:val="single" w:color="auto" w:sz="4" w:space="0"/>
            </w:tcBorders>
            <w:noWrap w:val="0"/>
            <w:vAlign w:val="center"/>
          </w:tcPr>
          <w:p w14:paraId="32624A88">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35</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787CE2C6">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幅</w:t>
            </w:r>
          </w:p>
        </w:tc>
        <w:tc>
          <w:tcPr>
            <w:tcW w:w="1035" w:type="dxa"/>
            <w:tcBorders>
              <w:top w:val="single" w:color="auto" w:sz="4" w:space="0"/>
              <w:left w:val="nil"/>
              <w:bottom w:val="single" w:color="auto" w:sz="4" w:space="0"/>
              <w:right w:val="single" w:color="auto" w:sz="4" w:space="0"/>
            </w:tcBorders>
            <w:noWrap w:val="0"/>
            <w:vAlign w:val="center"/>
          </w:tcPr>
          <w:p w14:paraId="57F0EAFE">
            <w:pPr>
              <w:spacing w:line="360" w:lineRule="auto"/>
              <w:jc w:val="center"/>
              <w:rPr>
                <w:rFonts w:hint="eastAsia" w:ascii="宋体" w:hAnsi="宋体" w:cs="宋体"/>
                <w:color w:val="auto"/>
                <w:sz w:val="28"/>
                <w:szCs w:val="28"/>
                <w:highlight w:val="none"/>
              </w:rPr>
            </w:pPr>
          </w:p>
        </w:tc>
        <w:tc>
          <w:tcPr>
            <w:tcW w:w="1166" w:type="dxa"/>
            <w:tcBorders>
              <w:top w:val="single" w:color="auto" w:sz="4" w:space="0"/>
              <w:left w:val="nil"/>
              <w:bottom w:val="single" w:color="auto" w:sz="4" w:space="0"/>
              <w:right w:val="single" w:color="auto" w:sz="4" w:space="0"/>
            </w:tcBorders>
            <w:noWrap w:val="0"/>
            <w:vAlign w:val="center"/>
          </w:tcPr>
          <w:p w14:paraId="4F1D42C5">
            <w:pPr>
              <w:spacing w:line="360" w:lineRule="auto"/>
              <w:jc w:val="center"/>
              <w:rPr>
                <w:rFonts w:hint="eastAsia" w:ascii="宋体" w:hAnsi="宋体" w:cs="宋体"/>
                <w:color w:val="auto"/>
                <w:sz w:val="28"/>
                <w:szCs w:val="28"/>
                <w:highlight w:val="none"/>
              </w:rPr>
            </w:pPr>
          </w:p>
        </w:tc>
        <w:tc>
          <w:tcPr>
            <w:tcW w:w="1093" w:type="dxa"/>
            <w:tcBorders>
              <w:top w:val="single" w:color="auto" w:sz="4" w:space="0"/>
              <w:left w:val="nil"/>
              <w:bottom w:val="single" w:color="auto" w:sz="4" w:space="0"/>
              <w:right w:val="single" w:color="auto" w:sz="4" w:space="0"/>
            </w:tcBorders>
            <w:noWrap w:val="0"/>
            <w:vAlign w:val="center"/>
          </w:tcPr>
          <w:p w14:paraId="1F9FD5BB">
            <w:pPr>
              <w:spacing w:line="360" w:lineRule="auto"/>
              <w:jc w:val="center"/>
              <w:rPr>
                <w:rFonts w:hint="eastAsia" w:ascii="宋体" w:hAnsi="宋体" w:cs="宋体"/>
                <w:color w:val="auto"/>
                <w:sz w:val="28"/>
                <w:szCs w:val="28"/>
                <w:highlight w:val="none"/>
              </w:rPr>
            </w:pPr>
          </w:p>
        </w:tc>
        <w:tc>
          <w:tcPr>
            <w:tcW w:w="1108" w:type="dxa"/>
            <w:tcBorders>
              <w:top w:val="single" w:color="auto" w:sz="4" w:space="0"/>
              <w:left w:val="nil"/>
              <w:bottom w:val="single" w:color="auto" w:sz="4" w:space="0"/>
              <w:right w:val="single" w:color="auto" w:sz="4" w:space="0"/>
            </w:tcBorders>
            <w:noWrap w:val="0"/>
            <w:vAlign w:val="center"/>
          </w:tcPr>
          <w:p w14:paraId="27D8E604">
            <w:pPr>
              <w:spacing w:line="360" w:lineRule="auto"/>
              <w:jc w:val="center"/>
              <w:rPr>
                <w:rFonts w:hint="eastAsia" w:ascii="宋体" w:hAnsi="宋体" w:cs="宋体"/>
                <w:color w:val="auto"/>
                <w:sz w:val="28"/>
                <w:szCs w:val="28"/>
                <w:highlight w:val="none"/>
              </w:rPr>
            </w:pPr>
          </w:p>
        </w:tc>
        <w:tc>
          <w:tcPr>
            <w:tcW w:w="1297" w:type="dxa"/>
            <w:tcBorders>
              <w:top w:val="single" w:color="auto" w:sz="4" w:space="0"/>
              <w:left w:val="nil"/>
              <w:bottom w:val="single" w:color="auto" w:sz="4" w:space="0"/>
              <w:right w:val="single" w:color="auto" w:sz="4" w:space="0"/>
            </w:tcBorders>
            <w:noWrap w:val="0"/>
            <w:vAlign w:val="center"/>
          </w:tcPr>
          <w:p w14:paraId="6ABB781C">
            <w:pPr>
              <w:spacing w:line="360" w:lineRule="auto"/>
              <w:jc w:val="center"/>
              <w:rPr>
                <w:rFonts w:hint="eastAsia" w:ascii="宋体" w:hAnsi="宋体" w:cs="宋体"/>
                <w:color w:val="auto"/>
                <w:sz w:val="28"/>
                <w:szCs w:val="28"/>
                <w:highlight w:val="none"/>
              </w:rPr>
            </w:pPr>
          </w:p>
        </w:tc>
      </w:tr>
      <w:tr w14:paraId="14EB1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599" w:type="dxa"/>
            <w:tcBorders>
              <w:top w:val="single" w:color="auto" w:sz="4" w:space="0"/>
              <w:left w:val="single" w:color="auto" w:sz="4" w:space="0"/>
              <w:bottom w:val="single" w:color="auto" w:sz="4" w:space="0"/>
              <w:right w:val="single" w:color="auto" w:sz="4" w:space="0"/>
            </w:tcBorders>
            <w:noWrap w:val="0"/>
            <w:vAlign w:val="center"/>
          </w:tcPr>
          <w:p w14:paraId="07536670">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5</w:t>
            </w:r>
          </w:p>
        </w:tc>
        <w:tc>
          <w:tcPr>
            <w:tcW w:w="1649" w:type="dxa"/>
            <w:tcBorders>
              <w:top w:val="single" w:color="auto" w:sz="4" w:space="0"/>
              <w:left w:val="nil"/>
              <w:bottom w:val="single" w:color="auto" w:sz="4" w:space="0"/>
              <w:right w:val="single" w:color="auto" w:sz="4" w:space="0"/>
            </w:tcBorders>
            <w:noWrap w:val="0"/>
            <w:vAlign w:val="center"/>
          </w:tcPr>
          <w:p w14:paraId="2A073D55">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150寸幕布</w:t>
            </w:r>
          </w:p>
        </w:tc>
        <w:tc>
          <w:tcPr>
            <w:tcW w:w="795" w:type="dxa"/>
            <w:tcBorders>
              <w:top w:val="single" w:color="auto" w:sz="4" w:space="0"/>
              <w:left w:val="nil"/>
              <w:bottom w:val="single" w:color="auto" w:sz="4" w:space="0"/>
              <w:right w:val="single" w:color="auto" w:sz="4" w:space="0"/>
            </w:tcBorders>
            <w:noWrap w:val="0"/>
            <w:vAlign w:val="center"/>
          </w:tcPr>
          <w:p w14:paraId="47462F22">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3</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46469897">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幅</w:t>
            </w:r>
          </w:p>
        </w:tc>
        <w:tc>
          <w:tcPr>
            <w:tcW w:w="1035" w:type="dxa"/>
            <w:tcBorders>
              <w:top w:val="single" w:color="auto" w:sz="4" w:space="0"/>
              <w:left w:val="nil"/>
              <w:bottom w:val="single" w:color="auto" w:sz="4" w:space="0"/>
              <w:right w:val="single" w:color="auto" w:sz="4" w:space="0"/>
            </w:tcBorders>
            <w:noWrap w:val="0"/>
            <w:vAlign w:val="center"/>
          </w:tcPr>
          <w:p w14:paraId="6810549A">
            <w:pPr>
              <w:spacing w:line="360" w:lineRule="auto"/>
              <w:jc w:val="center"/>
              <w:rPr>
                <w:rFonts w:hint="eastAsia" w:ascii="宋体" w:hAnsi="宋体" w:cs="宋体"/>
                <w:color w:val="auto"/>
                <w:sz w:val="28"/>
                <w:szCs w:val="28"/>
                <w:highlight w:val="none"/>
              </w:rPr>
            </w:pPr>
          </w:p>
        </w:tc>
        <w:tc>
          <w:tcPr>
            <w:tcW w:w="1166" w:type="dxa"/>
            <w:tcBorders>
              <w:top w:val="single" w:color="auto" w:sz="4" w:space="0"/>
              <w:left w:val="nil"/>
              <w:bottom w:val="single" w:color="auto" w:sz="4" w:space="0"/>
              <w:right w:val="single" w:color="auto" w:sz="4" w:space="0"/>
            </w:tcBorders>
            <w:noWrap w:val="0"/>
            <w:vAlign w:val="center"/>
          </w:tcPr>
          <w:p w14:paraId="600B6F4B">
            <w:pPr>
              <w:spacing w:line="360" w:lineRule="auto"/>
              <w:jc w:val="center"/>
              <w:rPr>
                <w:rFonts w:hint="eastAsia" w:ascii="宋体" w:hAnsi="宋体" w:cs="宋体"/>
                <w:color w:val="auto"/>
                <w:sz w:val="28"/>
                <w:szCs w:val="28"/>
                <w:highlight w:val="none"/>
              </w:rPr>
            </w:pPr>
          </w:p>
        </w:tc>
        <w:tc>
          <w:tcPr>
            <w:tcW w:w="1093" w:type="dxa"/>
            <w:tcBorders>
              <w:top w:val="single" w:color="auto" w:sz="4" w:space="0"/>
              <w:left w:val="nil"/>
              <w:bottom w:val="single" w:color="auto" w:sz="4" w:space="0"/>
              <w:right w:val="single" w:color="auto" w:sz="4" w:space="0"/>
            </w:tcBorders>
            <w:noWrap w:val="0"/>
            <w:vAlign w:val="center"/>
          </w:tcPr>
          <w:p w14:paraId="41F99129">
            <w:pPr>
              <w:spacing w:line="360" w:lineRule="auto"/>
              <w:jc w:val="center"/>
              <w:rPr>
                <w:rFonts w:hint="eastAsia" w:ascii="宋体" w:hAnsi="宋体" w:cs="宋体"/>
                <w:color w:val="auto"/>
                <w:sz w:val="28"/>
                <w:szCs w:val="28"/>
                <w:highlight w:val="none"/>
              </w:rPr>
            </w:pPr>
          </w:p>
        </w:tc>
        <w:tc>
          <w:tcPr>
            <w:tcW w:w="1108" w:type="dxa"/>
            <w:tcBorders>
              <w:top w:val="single" w:color="auto" w:sz="4" w:space="0"/>
              <w:left w:val="nil"/>
              <w:bottom w:val="single" w:color="auto" w:sz="4" w:space="0"/>
              <w:right w:val="single" w:color="auto" w:sz="4" w:space="0"/>
            </w:tcBorders>
            <w:noWrap w:val="0"/>
            <w:vAlign w:val="center"/>
          </w:tcPr>
          <w:p w14:paraId="4CED12CE">
            <w:pPr>
              <w:spacing w:line="360" w:lineRule="auto"/>
              <w:jc w:val="center"/>
              <w:rPr>
                <w:rFonts w:hint="eastAsia" w:ascii="宋体" w:hAnsi="宋体" w:cs="宋体"/>
                <w:color w:val="auto"/>
                <w:sz w:val="28"/>
                <w:szCs w:val="28"/>
                <w:highlight w:val="none"/>
              </w:rPr>
            </w:pPr>
          </w:p>
        </w:tc>
        <w:tc>
          <w:tcPr>
            <w:tcW w:w="1297" w:type="dxa"/>
            <w:tcBorders>
              <w:top w:val="single" w:color="auto" w:sz="4" w:space="0"/>
              <w:left w:val="nil"/>
              <w:bottom w:val="single" w:color="auto" w:sz="4" w:space="0"/>
              <w:right w:val="single" w:color="auto" w:sz="4" w:space="0"/>
            </w:tcBorders>
            <w:noWrap w:val="0"/>
            <w:vAlign w:val="center"/>
          </w:tcPr>
          <w:p w14:paraId="19B5FCA0">
            <w:pPr>
              <w:spacing w:line="360" w:lineRule="auto"/>
              <w:jc w:val="center"/>
              <w:rPr>
                <w:rFonts w:hint="eastAsia" w:ascii="宋体" w:hAnsi="宋体" w:cs="宋体"/>
                <w:color w:val="auto"/>
                <w:sz w:val="28"/>
                <w:szCs w:val="28"/>
                <w:highlight w:val="none"/>
              </w:rPr>
            </w:pPr>
          </w:p>
        </w:tc>
      </w:tr>
      <w:tr w14:paraId="7FDC3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599" w:type="dxa"/>
            <w:tcBorders>
              <w:top w:val="single" w:color="auto" w:sz="4" w:space="0"/>
              <w:left w:val="single" w:color="auto" w:sz="4" w:space="0"/>
              <w:bottom w:val="single" w:color="auto" w:sz="4" w:space="0"/>
              <w:right w:val="single" w:color="auto" w:sz="4" w:space="0"/>
            </w:tcBorders>
            <w:noWrap w:val="0"/>
            <w:vAlign w:val="center"/>
          </w:tcPr>
          <w:p w14:paraId="2097C488">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6</w:t>
            </w:r>
          </w:p>
        </w:tc>
        <w:tc>
          <w:tcPr>
            <w:tcW w:w="1649" w:type="dxa"/>
            <w:tcBorders>
              <w:top w:val="single" w:color="auto" w:sz="4" w:space="0"/>
              <w:left w:val="nil"/>
              <w:bottom w:val="single" w:color="auto" w:sz="4" w:space="0"/>
              <w:right w:val="single" w:color="auto" w:sz="4" w:space="0"/>
            </w:tcBorders>
            <w:noWrap w:val="0"/>
            <w:vAlign w:val="center"/>
          </w:tcPr>
          <w:p w14:paraId="3B3912A4">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讲台控制面板</w:t>
            </w:r>
          </w:p>
        </w:tc>
        <w:tc>
          <w:tcPr>
            <w:tcW w:w="795" w:type="dxa"/>
            <w:tcBorders>
              <w:top w:val="single" w:color="auto" w:sz="4" w:space="0"/>
              <w:left w:val="nil"/>
              <w:bottom w:val="single" w:color="auto" w:sz="4" w:space="0"/>
              <w:right w:val="single" w:color="auto" w:sz="4" w:space="0"/>
            </w:tcBorders>
            <w:noWrap w:val="0"/>
            <w:vAlign w:val="center"/>
          </w:tcPr>
          <w:p w14:paraId="3CD0AB98">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45</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6C9C99A5">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台</w:t>
            </w:r>
          </w:p>
        </w:tc>
        <w:tc>
          <w:tcPr>
            <w:tcW w:w="1035" w:type="dxa"/>
            <w:tcBorders>
              <w:top w:val="single" w:color="auto" w:sz="4" w:space="0"/>
              <w:left w:val="nil"/>
              <w:bottom w:val="single" w:color="auto" w:sz="4" w:space="0"/>
              <w:right w:val="single" w:color="auto" w:sz="4" w:space="0"/>
            </w:tcBorders>
            <w:noWrap w:val="0"/>
            <w:vAlign w:val="center"/>
          </w:tcPr>
          <w:p w14:paraId="6E300468">
            <w:pPr>
              <w:spacing w:line="360" w:lineRule="auto"/>
              <w:jc w:val="center"/>
              <w:rPr>
                <w:rFonts w:hint="eastAsia" w:ascii="宋体" w:hAnsi="宋体" w:cs="宋体"/>
                <w:color w:val="auto"/>
                <w:sz w:val="28"/>
                <w:szCs w:val="28"/>
                <w:highlight w:val="none"/>
              </w:rPr>
            </w:pPr>
          </w:p>
        </w:tc>
        <w:tc>
          <w:tcPr>
            <w:tcW w:w="1166" w:type="dxa"/>
            <w:tcBorders>
              <w:top w:val="single" w:color="auto" w:sz="4" w:space="0"/>
              <w:left w:val="nil"/>
              <w:bottom w:val="single" w:color="auto" w:sz="4" w:space="0"/>
              <w:right w:val="single" w:color="auto" w:sz="4" w:space="0"/>
            </w:tcBorders>
            <w:noWrap w:val="0"/>
            <w:vAlign w:val="center"/>
          </w:tcPr>
          <w:p w14:paraId="153605E1">
            <w:pPr>
              <w:spacing w:line="360" w:lineRule="auto"/>
              <w:jc w:val="center"/>
              <w:rPr>
                <w:rFonts w:hint="eastAsia" w:ascii="宋体" w:hAnsi="宋体" w:cs="宋体"/>
                <w:color w:val="auto"/>
                <w:sz w:val="28"/>
                <w:szCs w:val="28"/>
                <w:highlight w:val="none"/>
              </w:rPr>
            </w:pPr>
          </w:p>
        </w:tc>
        <w:tc>
          <w:tcPr>
            <w:tcW w:w="1093" w:type="dxa"/>
            <w:tcBorders>
              <w:top w:val="single" w:color="auto" w:sz="4" w:space="0"/>
              <w:left w:val="nil"/>
              <w:bottom w:val="single" w:color="auto" w:sz="4" w:space="0"/>
              <w:right w:val="single" w:color="auto" w:sz="4" w:space="0"/>
            </w:tcBorders>
            <w:noWrap w:val="0"/>
            <w:vAlign w:val="center"/>
          </w:tcPr>
          <w:p w14:paraId="0226369F">
            <w:pPr>
              <w:spacing w:line="360" w:lineRule="auto"/>
              <w:jc w:val="center"/>
              <w:rPr>
                <w:rFonts w:hint="eastAsia" w:ascii="宋体" w:hAnsi="宋体" w:cs="宋体"/>
                <w:color w:val="auto"/>
                <w:sz w:val="28"/>
                <w:szCs w:val="28"/>
                <w:highlight w:val="none"/>
              </w:rPr>
            </w:pPr>
          </w:p>
        </w:tc>
        <w:tc>
          <w:tcPr>
            <w:tcW w:w="1108" w:type="dxa"/>
            <w:tcBorders>
              <w:top w:val="single" w:color="auto" w:sz="4" w:space="0"/>
              <w:left w:val="nil"/>
              <w:bottom w:val="single" w:color="auto" w:sz="4" w:space="0"/>
              <w:right w:val="single" w:color="auto" w:sz="4" w:space="0"/>
            </w:tcBorders>
            <w:noWrap w:val="0"/>
            <w:vAlign w:val="center"/>
          </w:tcPr>
          <w:p w14:paraId="214B2E05">
            <w:pPr>
              <w:spacing w:line="360" w:lineRule="auto"/>
              <w:jc w:val="center"/>
              <w:rPr>
                <w:rFonts w:hint="eastAsia" w:ascii="宋体" w:hAnsi="宋体" w:cs="宋体"/>
                <w:color w:val="auto"/>
                <w:sz w:val="28"/>
                <w:szCs w:val="28"/>
                <w:highlight w:val="none"/>
              </w:rPr>
            </w:pPr>
          </w:p>
        </w:tc>
        <w:tc>
          <w:tcPr>
            <w:tcW w:w="1297" w:type="dxa"/>
            <w:tcBorders>
              <w:top w:val="single" w:color="auto" w:sz="4" w:space="0"/>
              <w:left w:val="nil"/>
              <w:bottom w:val="single" w:color="auto" w:sz="4" w:space="0"/>
              <w:right w:val="single" w:color="auto" w:sz="4" w:space="0"/>
            </w:tcBorders>
            <w:noWrap w:val="0"/>
            <w:vAlign w:val="center"/>
          </w:tcPr>
          <w:p w14:paraId="354B0B6E">
            <w:pPr>
              <w:spacing w:line="360" w:lineRule="auto"/>
              <w:jc w:val="center"/>
              <w:rPr>
                <w:rFonts w:hint="eastAsia" w:ascii="宋体" w:hAnsi="宋体" w:cs="宋体"/>
                <w:color w:val="auto"/>
                <w:sz w:val="28"/>
                <w:szCs w:val="28"/>
                <w:highlight w:val="none"/>
              </w:rPr>
            </w:pPr>
          </w:p>
        </w:tc>
      </w:tr>
      <w:tr w14:paraId="5890D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599" w:type="dxa"/>
            <w:tcBorders>
              <w:top w:val="single" w:color="auto" w:sz="4" w:space="0"/>
              <w:left w:val="single" w:color="auto" w:sz="4" w:space="0"/>
              <w:bottom w:val="single" w:color="auto" w:sz="4" w:space="0"/>
              <w:right w:val="single" w:color="auto" w:sz="4" w:space="0"/>
            </w:tcBorders>
            <w:noWrap w:val="0"/>
            <w:vAlign w:val="center"/>
          </w:tcPr>
          <w:p w14:paraId="323742AC">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7</w:t>
            </w:r>
          </w:p>
        </w:tc>
        <w:tc>
          <w:tcPr>
            <w:tcW w:w="1649" w:type="dxa"/>
            <w:tcBorders>
              <w:top w:val="single" w:color="auto" w:sz="4" w:space="0"/>
              <w:left w:val="nil"/>
              <w:bottom w:val="single" w:color="auto" w:sz="4" w:space="0"/>
              <w:right w:val="single" w:color="auto" w:sz="4" w:space="0"/>
            </w:tcBorders>
            <w:noWrap w:val="0"/>
            <w:vAlign w:val="center"/>
          </w:tcPr>
          <w:p w14:paraId="69398DA9">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智能升降讲台</w:t>
            </w:r>
          </w:p>
        </w:tc>
        <w:tc>
          <w:tcPr>
            <w:tcW w:w="795" w:type="dxa"/>
            <w:tcBorders>
              <w:top w:val="single" w:color="auto" w:sz="4" w:space="0"/>
              <w:left w:val="nil"/>
              <w:bottom w:val="single" w:color="auto" w:sz="4" w:space="0"/>
              <w:right w:val="single" w:color="auto" w:sz="4" w:space="0"/>
            </w:tcBorders>
            <w:noWrap w:val="0"/>
            <w:vAlign w:val="center"/>
          </w:tcPr>
          <w:p w14:paraId="5813ECA9">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45</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4A13891E">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张</w:t>
            </w:r>
          </w:p>
        </w:tc>
        <w:tc>
          <w:tcPr>
            <w:tcW w:w="1035" w:type="dxa"/>
            <w:tcBorders>
              <w:top w:val="single" w:color="auto" w:sz="4" w:space="0"/>
              <w:left w:val="nil"/>
              <w:bottom w:val="single" w:color="auto" w:sz="4" w:space="0"/>
              <w:right w:val="single" w:color="auto" w:sz="4" w:space="0"/>
            </w:tcBorders>
            <w:noWrap w:val="0"/>
            <w:vAlign w:val="center"/>
          </w:tcPr>
          <w:p w14:paraId="08EA0C9C">
            <w:pPr>
              <w:spacing w:line="360" w:lineRule="auto"/>
              <w:jc w:val="center"/>
              <w:rPr>
                <w:rFonts w:hint="eastAsia" w:ascii="宋体" w:hAnsi="宋体" w:cs="宋体"/>
                <w:color w:val="auto"/>
                <w:sz w:val="28"/>
                <w:szCs w:val="28"/>
                <w:highlight w:val="none"/>
              </w:rPr>
            </w:pPr>
          </w:p>
        </w:tc>
        <w:tc>
          <w:tcPr>
            <w:tcW w:w="1166" w:type="dxa"/>
            <w:tcBorders>
              <w:top w:val="single" w:color="auto" w:sz="4" w:space="0"/>
              <w:left w:val="nil"/>
              <w:bottom w:val="single" w:color="auto" w:sz="4" w:space="0"/>
              <w:right w:val="single" w:color="auto" w:sz="4" w:space="0"/>
            </w:tcBorders>
            <w:noWrap w:val="0"/>
            <w:vAlign w:val="center"/>
          </w:tcPr>
          <w:p w14:paraId="342E75D4">
            <w:pPr>
              <w:spacing w:line="360" w:lineRule="auto"/>
              <w:jc w:val="center"/>
              <w:rPr>
                <w:rFonts w:hint="eastAsia" w:ascii="宋体" w:hAnsi="宋体" w:cs="宋体"/>
                <w:color w:val="auto"/>
                <w:sz w:val="28"/>
                <w:szCs w:val="28"/>
                <w:highlight w:val="none"/>
              </w:rPr>
            </w:pPr>
          </w:p>
        </w:tc>
        <w:tc>
          <w:tcPr>
            <w:tcW w:w="1093" w:type="dxa"/>
            <w:tcBorders>
              <w:top w:val="single" w:color="auto" w:sz="4" w:space="0"/>
              <w:left w:val="nil"/>
              <w:bottom w:val="single" w:color="auto" w:sz="4" w:space="0"/>
              <w:right w:val="single" w:color="auto" w:sz="4" w:space="0"/>
            </w:tcBorders>
            <w:noWrap w:val="0"/>
            <w:vAlign w:val="center"/>
          </w:tcPr>
          <w:p w14:paraId="1BF67E30">
            <w:pPr>
              <w:spacing w:line="360" w:lineRule="auto"/>
              <w:jc w:val="center"/>
              <w:rPr>
                <w:rFonts w:hint="eastAsia" w:ascii="宋体" w:hAnsi="宋体" w:cs="宋体"/>
                <w:color w:val="auto"/>
                <w:sz w:val="28"/>
                <w:szCs w:val="28"/>
                <w:highlight w:val="none"/>
              </w:rPr>
            </w:pPr>
          </w:p>
        </w:tc>
        <w:tc>
          <w:tcPr>
            <w:tcW w:w="1108" w:type="dxa"/>
            <w:tcBorders>
              <w:top w:val="single" w:color="auto" w:sz="4" w:space="0"/>
              <w:left w:val="nil"/>
              <w:bottom w:val="single" w:color="auto" w:sz="4" w:space="0"/>
              <w:right w:val="single" w:color="auto" w:sz="4" w:space="0"/>
            </w:tcBorders>
            <w:noWrap w:val="0"/>
            <w:vAlign w:val="center"/>
          </w:tcPr>
          <w:p w14:paraId="294C65D3">
            <w:pPr>
              <w:spacing w:line="360" w:lineRule="auto"/>
              <w:jc w:val="center"/>
              <w:rPr>
                <w:rFonts w:hint="eastAsia" w:ascii="宋体" w:hAnsi="宋体" w:cs="宋体"/>
                <w:color w:val="auto"/>
                <w:sz w:val="28"/>
                <w:szCs w:val="28"/>
                <w:highlight w:val="none"/>
              </w:rPr>
            </w:pPr>
          </w:p>
        </w:tc>
        <w:tc>
          <w:tcPr>
            <w:tcW w:w="1297" w:type="dxa"/>
            <w:tcBorders>
              <w:top w:val="single" w:color="auto" w:sz="4" w:space="0"/>
              <w:left w:val="nil"/>
              <w:bottom w:val="single" w:color="auto" w:sz="4" w:space="0"/>
              <w:right w:val="single" w:color="auto" w:sz="4" w:space="0"/>
            </w:tcBorders>
            <w:noWrap w:val="0"/>
            <w:vAlign w:val="center"/>
          </w:tcPr>
          <w:p w14:paraId="7997A19D">
            <w:pPr>
              <w:spacing w:line="360" w:lineRule="auto"/>
              <w:jc w:val="center"/>
              <w:rPr>
                <w:rFonts w:hint="eastAsia" w:ascii="宋体" w:hAnsi="宋体" w:cs="宋体"/>
                <w:color w:val="auto"/>
                <w:sz w:val="28"/>
                <w:szCs w:val="28"/>
                <w:highlight w:val="none"/>
              </w:rPr>
            </w:pPr>
          </w:p>
        </w:tc>
      </w:tr>
      <w:tr w14:paraId="7AD45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599" w:type="dxa"/>
            <w:tcBorders>
              <w:top w:val="single" w:color="auto" w:sz="4" w:space="0"/>
              <w:left w:val="single" w:color="auto" w:sz="4" w:space="0"/>
              <w:bottom w:val="single" w:color="auto" w:sz="4" w:space="0"/>
              <w:right w:val="single" w:color="auto" w:sz="4" w:space="0"/>
            </w:tcBorders>
            <w:noWrap w:val="0"/>
            <w:vAlign w:val="center"/>
          </w:tcPr>
          <w:p w14:paraId="68EB8127">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8</w:t>
            </w:r>
          </w:p>
        </w:tc>
        <w:tc>
          <w:tcPr>
            <w:tcW w:w="1649" w:type="dxa"/>
            <w:tcBorders>
              <w:top w:val="single" w:color="auto" w:sz="4" w:space="0"/>
              <w:left w:val="nil"/>
              <w:bottom w:val="single" w:color="auto" w:sz="4" w:space="0"/>
              <w:right w:val="single" w:color="auto" w:sz="4" w:space="0"/>
            </w:tcBorders>
            <w:noWrap w:val="0"/>
            <w:vAlign w:val="center"/>
          </w:tcPr>
          <w:p w14:paraId="1B6B37CB">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中控主机</w:t>
            </w:r>
          </w:p>
        </w:tc>
        <w:tc>
          <w:tcPr>
            <w:tcW w:w="795" w:type="dxa"/>
            <w:tcBorders>
              <w:top w:val="single" w:color="auto" w:sz="4" w:space="0"/>
              <w:left w:val="nil"/>
              <w:bottom w:val="single" w:color="auto" w:sz="4" w:space="0"/>
              <w:right w:val="single" w:color="auto" w:sz="4" w:space="0"/>
            </w:tcBorders>
            <w:noWrap w:val="0"/>
            <w:vAlign w:val="center"/>
          </w:tcPr>
          <w:p w14:paraId="1B39250F">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45</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49743DCC">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台</w:t>
            </w:r>
          </w:p>
        </w:tc>
        <w:tc>
          <w:tcPr>
            <w:tcW w:w="1035" w:type="dxa"/>
            <w:tcBorders>
              <w:top w:val="single" w:color="auto" w:sz="4" w:space="0"/>
              <w:left w:val="nil"/>
              <w:bottom w:val="single" w:color="auto" w:sz="4" w:space="0"/>
              <w:right w:val="single" w:color="auto" w:sz="4" w:space="0"/>
            </w:tcBorders>
            <w:noWrap w:val="0"/>
            <w:vAlign w:val="center"/>
          </w:tcPr>
          <w:p w14:paraId="5A929616">
            <w:pPr>
              <w:spacing w:line="360" w:lineRule="auto"/>
              <w:jc w:val="center"/>
              <w:rPr>
                <w:rFonts w:hint="eastAsia" w:ascii="宋体" w:hAnsi="宋体" w:cs="宋体"/>
                <w:color w:val="auto"/>
                <w:sz w:val="28"/>
                <w:szCs w:val="28"/>
                <w:highlight w:val="none"/>
              </w:rPr>
            </w:pPr>
          </w:p>
        </w:tc>
        <w:tc>
          <w:tcPr>
            <w:tcW w:w="1166" w:type="dxa"/>
            <w:tcBorders>
              <w:top w:val="single" w:color="auto" w:sz="4" w:space="0"/>
              <w:left w:val="nil"/>
              <w:bottom w:val="single" w:color="auto" w:sz="4" w:space="0"/>
              <w:right w:val="single" w:color="auto" w:sz="4" w:space="0"/>
            </w:tcBorders>
            <w:noWrap w:val="0"/>
            <w:vAlign w:val="center"/>
          </w:tcPr>
          <w:p w14:paraId="2345CB1D">
            <w:pPr>
              <w:spacing w:line="360" w:lineRule="auto"/>
              <w:jc w:val="center"/>
              <w:rPr>
                <w:rFonts w:hint="eastAsia" w:ascii="宋体" w:hAnsi="宋体" w:cs="宋体"/>
                <w:color w:val="auto"/>
                <w:sz w:val="28"/>
                <w:szCs w:val="28"/>
                <w:highlight w:val="none"/>
              </w:rPr>
            </w:pPr>
          </w:p>
        </w:tc>
        <w:tc>
          <w:tcPr>
            <w:tcW w:w="1093" w:type="dxa"/>
            <w:tcBorders>
              <w:top w:val="single" w:color="auto" w:sz="4" w:space="0"/>
              <w:left w:val="nil"/>
              <w:bottom w:val="single" w:color="auto" w:sz="4" w:space="0"/>
              <w:right w:val="single" w:color="auto" w:sz="4" w:space="0"/>
            </w:tcBorders>
            <w:noWrap w:val="0"/>
            <w:vAlign w:val="center"/>
          </w:tcPr>
          <w:p w14:paraId="6005BC11">
            <w:pPr>
              <w:spacing w:line="360" w:lineRule="auto"/>
              <w:jc w:val="center"/>
              <w:rPr>
                <w:rFonts w:hint="eastAsia" w:ascii="宋体" w:hAnsi="宋体" w:cs="宋体"/>
                <w:color w:val="auto"/>
                <w:sz w:val="28"/>
                <w:szCs w:val="28"/>
                <w:highlight w:val="none"/>
              </w:rPr>
            </w:pPr>
          </w:p>
        </w:tc>
        <w:tc>
          <w:tcPr>
            <w:tcW w:w="1108" w:type="dxa"/>
            <w:tcBorders>
              <w:top w:val="single" w:color="auto" w:sz="4" w:space="0"/>
              <w:left w:val="nil"/>
              <w:bottom w:val="single" w:color="auto" w:sz="4" w:space="0"/>
              <w:right w:val="single" w:color="auto" w:sz="4" w:space="0"/>
            </w:tcBorders>
            <w:noWrap w:val="0"/>
            <w:vAlign w:val="center"/>
          </w:tcPr>
          <w:p w14:paraId="7CE49652">
            <w:pPr>
              <w:spacing w:line="360" w:lineRule="auto"/>
              <w:jc w:val="center"/>
              <w:rPr>
                <w:rFonts w:hint="eastAsia" w:ascii="宋体" w:hAnsi="宋体" w:cs="宋体"/>
                <w:color w:val="auto"/>
                <w:sz w:val="28"/>
                <w:szCs w:val="28"/>
                <w:highlight w:val="none"/>
              </w:rPr>
            </w:pPr>
          </w:p>
        </w:tc>
        <w:tc>
          <w:tcPr>
            <w:tcW w:w="1297" w:type="dxa"/>
            <w:tcBorders>
              <w:top w:val="single" w:color="auto" w:sz="4" w:space="0"/>
              <w:left w:val="nil"/>
              <w:bottom w:val="single" w:color="auto" w:sz="4" w:space="0"/>
              <w:right w:val="single" w:color="auto" w:sz="4" w:space="0"/>
            </w:tcBorders>
            <w:noWrap w:val="0"/>
            <w:vAlign w:val="center"/>
          </w:tcPr>
          <w:p w14:paraId="73B30B85">
            <w:pPr>
              <w:spacing w:line="360" w:lineRule="auto"/>
              <w:jc w:val="center"/>
              <w:rPr>
                <w:rFonts w:hint="eastAsia" w:ascii="宋体" w:hAnsi="宋体" w:cs="宋体"/>
                <w:color w:val="auto"/>
                <w:sz w:val="28"/>
                <w:szCs w:val="28"/>
                <w:highlight w:val="none"/>
              </w:rPr>
            </w:pPr>
          </w:p>
        </w:tc>
      </w:tr>
      <w:tr w14:paraId="644D1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599" w:type="dxa"/>
            <w:tcBorders>
              <w:top w:val="single" w:color="auto" w:sz="4" w:space="0"/>
              <w:left w:val="single" w:color="auto" w:sz="4" w:space="0"/>
              <w:bottom w:val="single" w:color="auto" w:sz="4" w:space="0"/>
              <w:right w:val="single" w:color="auto" w:sz="4" w:space="0"/>
            </w:tcBorders>
            <w:noWrap w:val="0"/>
            <w:vAlign w:val="center"/>
          </w:tcPr>
          <w:p w14:paraId="6289A32C">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9</w:t>
            </w:r>
          </w:p>
        </w:tc>
        <w:tc>
          <w:tcPr>
            <w:tcW w:w="1649" w:type="dxa"/>
            <w:tcBorders>
              <w:top w:val="single" w:color="auto" w:sz="4" w:space="0"/>
              <w:left w:val="nil"/>
              <w:bottom w:val="single" w:color="auto" w:sz="4" w:space="0"/>
              <w:right w:val="single" w:color="auto" w:sz="4" w:space="0"/>
            </w:tcBorders>
            <w:noWrap w:val="0"/>
            <w:vAlign w:val="center"/>
          </w:tcPr>
          <w:p w14:paraId="4E53AFE3">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智联矩阵</w:t>
            </w:r>
          </w:p>
        </w:tc>
        <w:tc>
          <w:tcPr>
            <w:tcW w:w="795" w:type="dxa"/>
            <w:tcBorders>
              <w:top w:val="single" w:color="auto" w:sz="4" w:space="0"/>
              <w:left w:val="nil"/>
              <w:bottom w:val="single" w:color="auto" w:sz="4" w:space="0"/>
              <w:right w:val="single" w:color="auto" w:sz="4" w:space="0"/>
            </w:tcBorders>
            <w:noWrap w:val="0"/>
            <w:vAlign w:val="center"/>
          </w:tcPr>
          <w:p w14:paraId="4419A54E">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45</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55B5CA29">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台</w:t>
            </w:r>
          </w:p>
        </w:tc>
        <w:tc>
          <w:tcPr>
            <w:tcW w:w="1035" w:type="dxa"/>
            <w:tcBorders>
              <w:top w:val="single" w:color="auto" w:sz="4" w:space="0"/>
              <w:left w:val="nil"/>
              <w:bottom w:val="single" w:color="auto" w:sz="4" w:space="0"/>
              <w:right w:val="single" w:color="auto" w:sz="4" w:space="0"/>
            </w:tcBorders>
            <w:noWrap w:val="0"/>
            <w:vAlign w:val="center"/>
          </w:tcPr>
          <w:p w14:paraId="2204D3EB">
            <w:pPr>
              <w:spacing w:line="360" w:lineRule="auto"/>
              <w:jc w:val="center"/>
              <w:rPr>
                <w:rFonts w:hint="eastAsia" w:ascii="宋体" w:hAnsi="宋体" w:cs="宋体"/>
                <w:color w:val="auto"/>
                <w:sz w:val="28"/>
                <w:szCs w:val="28"/>
                <w:highlight w:val="none"/>
              </w:rPr>
            </w:pPr>
          </w:p>
        </w:tc>
        <w:tc>
          <w:tcPr>
            <w:tcW w:w="1166" w:type="dxa"/>
            <w:tcBorders>
              <w:top w:val="single" w:color="auto" w:sz="4" w:space="0"/>
              <w:left w:val="nil"/>
              <w:bottom w:val="single" w:color="auto" w:sz="4" w:space="0"/>
              <w:right w:val="single" w:color="auto" w:sz="4" w:space="0"/>
            </w:tcBorders>
            <w:noWrap w:val="0"/>
            <w:vAlign w:val="center"/>
          </w:tcPr>
          <w:p w14:paraId="5B2D3C1A">
            <w:pPr>
              <w:spacing w:line="360" w:lineRule="auto"/>
              <w:jc w:val="center"/>
              <w:rPr>
                <w:rFonts w:hint="eastAsia" w:ascii="宋体" w:hAnsi="宋体" w:cs="宋体"/>
                <w:color w:val="auto"/>
                <w:sz w:val="28"/>
                <w:szCs w:val="28"/>
                <w:highlight w:val="none"/>
              </w:rPr>
            </w:pPr>
          </w:p>
        </w:tc>
        <w:tc>
          <w:tcPr>
            <w:tcW w:w="1093" w:type="dxa"/>
            <w:tcBorders>
              <w:top w:val="single" w:color="auto" w:sz="4" w:space="0"/>
              <w:left w:val="nil"/>
              <w:bottom w:val="single" w:color="auto" w:sz="4" w:space="0"/>
              <w:right w:val="single" w:color="auto" w:sz="4" w:space="0"/>
            </w:tcBorders>
            <w:noWrap w:val="0"/>
            <w:vAlign w:val="center"/>
          </w:tcPr>
          <w:p w14:paraId="042C5A1F">
            <w:pPr>
              <w:spacing w:line="360" w:lineRule="auto"/>
              <w:jc w:val="center"/>
              <w:rPr>
                <w:rFonts w:hint="eastAsia" w:ascii="宋体" w:hAnsi="宋体" w:cs="宋体"/>
                <w:color w:val="auto"/>
                <w:sz w:val="28"/>
                <w:szCs w:val="28"/>
                <w:highlight w:val="none"/>
              </w:rPr>
            </w:pPr>
          </w:p>
        </w:tc>
        <w:tc>
          <w:tcPr>
            <w:tcW w:w="1108" w:type="dxa"/>
            <w:tcBorders>
              <w:top w:val="single" w:color="auto" w:sz="4" w:space="0"/>
              <w:left w:val="nil"/>
              <w:bottom w:val="single" w:color="auto" w:sz="4" w:space="0"/>
              <w:right w:val="single" w:color="auto" w:sz="4" w:space="0"/>
            </w:tcBorders>
            <w:noWrap w:val="0"/>
            <w:vAlign w:val="center"/>
          </w:tcPr>
          <w:p w14:paraId="3BCEAAF9">
            <w:pPr>
              <w:spacing w:line="360" w:lineRule="auto"/>
              <w:jc w:val="center"/>
              <w:rPr>
                <w:rFonts w:hint="eastAsia" w:ascii="宋体" w:hAnsi="宋体" w:cs="宋体"/>
                <w:color w:val="auto"/>
                <w:sz w:val="28"/>
                <w:szCs w:val="28"/>
                <w:highlight w:val="none"/>
              </w:rPr>
            </w:pPr>
          </w:p>
        </w:tc>
        <w:tc>
          <w:tcPr>
            <w:tcW w:w="1297" w:type="dxa"/>
            <w:tcBorders>
              <w:top w:val="single" w:color="auto" w:sz="4" w:space="0"/>
              <w:left w:val="nil"/>
              <w:bottom w:val="single" w:color="auto" w:sz="4" w:space="0"/>
              <w:right w:val="single" w:color="auto" w:sz="4" w:space="0"/>
            </w:tcBorders>
            <w:noWrap w:val="0"/>
            <w:vAlign w:val="center"/>
          </w:tcPr>
          <w:p w14:paraId="0E756E9A">
            <w:pPr>
              <w:spacing w:line="360" w:lineRule="auto"/>
              <w:jc w:val="center"/>
              <w:rPr>
                <w:rFonts w:hint="eastAsia" w:ascii="宋体" w:hAnsi="宋体" w:cs="宋体"/>
                <w:color w:val="auto"/>
                <w:sz w:val="28"/>
                <w:szCs w:val="28"/>
                <w:highlight w:val="none"/>
              </w:rPr>
            </w:pPr>
          </w:p>
        </w:tc>
      </w:tr>
      <w:tr w14:paraId="0A449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599" w:type="dxa"/>
            <w:tcBorders>
              <w:top w:val="single" w:color="auto" w:sz="4" w:space="0"/>
              <w:left w:val="single" w:color="auto" w:sz="4" w:space="0"/>
              <w:bottom w:val="single" w:color="auto" w:sz="4" w:space="0"/>
              <w:right w:val="single" w:color="auto" w:sz="4" w:space="0"/>
            </w:tcBorders>
            <w:noWrap w:val="0"/>
            <w:vAlign w:val="center"/>
          </w:tcPr>
          <w:p w14:paraId="695BC37A">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10</w:t>
            </w:r>
          </w:p>
        </w:tc>
        <w:tc>
          <w:tcPr>
            <w:tcW w:w="1649" w:type="dxa"/>
            <w:tcBorders>
              <w:top w:val="single" w:color="auto" w:sz="4" w:space="0"/>
              <w:left w:val="nil"/>
              <w:bottom w:val="single" w:color="auto" w:sz="4" w:space="0"/>
              <w:right w:val="single" w:color="auto" w:sz="4" w:space="0"/>
            </w:tcBorders>
            <w:noWrap w:val="0"/>
            <w:vAlign w:val="center"/>
          </w:tcPr>
          <w:p w14:paraId="7CF53481">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中控管理平台</w:t>
            </w:r>
          </w:p>
        </w:tc>
        <w:tc>
          <w:tcPr>
            <w:tcW w:w="795" w:type="dxa"/>
            <w:tcBorders>
              <w:top w:val="single" w:color="auto" w:sz="4" w:space="0"/>
              <w:left w:val="nil"/>
              <w:bottom w:val="single" w:color="auto" w:sz="4" w:space="0"/>
              <w:right w:val="single" w:color="auto" w:sz="4" w:space="0"/>
            </w:tcBorders>
            <w:noWrap w:val="0"/>
            <w:vAlign w:val="center"/>
          </w:tcPr>
          <w:p w14:paraId="5B198B24">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1</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48E6CAA0">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套</w:t>
            </w:r>
          </w:p>
        </w:tc>
        <w:tc>
          <w:tcPr>
            <w:tcW w:w="1035" w:type="dxa"/>
            <w:tcBorders>
              <w:top w:val="single" w:color="auto" w:sz="4" w:space="0"/>
              <w:left w:val="nil"/>
              <w:bottom w:val="single" w:color="auto" w:sz="4" w:space="0"/>
              <w:right w:val="single" w:color="auto" w:sz="4" w:space="0"/>
            </w:tcBorders>
            <w:noWrap w:val="0"/>
            <w:vAlign w:val="center"/>
          </w:tcPr>
          <w:p w14:paraId="59292813">
            <w:pPr>
              <w:spacing w:line="360" w:lineRule="auto"/>
              <w:jc w:val="center"/>
              <w:rPr>
                <w:rFonts w:hint="eastAsia" w:ascii="宋体" w:hAnsi="宋体" w:cs="宋体"/>
                <w:color w:val="auto"/>
                <w:sz w:val="28"/>
                <w:szCs w:val="28"/>
                <w:highlight w:val="none"/>
              </w:rPr>
            </w:pPr>
          </w:p>
        </w:tc>
        <w:tc>
          <w:tcPr>
            <w:tcW w:w="1166" w:type="dxa"/>
            <w:tcBorders>
              <w:top w:val="single" w:color="auto" w:sz="4" w:space="0"/>
              <w:left w:val="nil"/>
              <w:bottom w:val="single" w:color="auto" w:sz="4" w:space="0"/>
              <w:right w:val="single" w:color="auto" w:sz="4" w:space="0"/>
            </w:tcBorders>
            <w:noWrap w:val="0"/>
            <w:vAlign w:val="center"/>
          </w:tcPr>
          <w:p w14:paraId="0F083068">
            <w:pPr>
              <w:spacing w:line="360" w:lineRule="auto"/>
              <w:jc w:val="center"/>
              <w:rPr>
                <w:rFonts w:hint="eastAsia" w:ascii="宋体" w:hAnsi="宋体" w:cs="宋体"/>
                <w:color w:val="auto"/>
                <w:sz w:val="28"/>
                <w:szCs w:val="28"/>
                <w:highlight w:val="none"/>
              </w:rPr>
            </w:pPr>
          </w:p>
        </w:tc>
        <w:tc>
          <w:tcPr>
            <w:tcW w:w="1093" w:type="dxa"/>
            <w:tcBorders>
              <w:top w:val="single" w:color="auto" w:sz="4" w:space="0"/>
              <w:left w:val="nil"/>
              <w:bottom w:val="single" w:color="auto" w:sz="4" w:space="0"/>
              <w:right w:val="single" w:color="auto" w:sz="4" w:space="0"/>
            </w:tcBorders>
            <w:noWrap w:val="0"/>
            <w:vAlign w:val="center"/>
          </w:tcPr>
          <w:p w14:paraId="11F2719E">
            <w:pPr>
              <w:spacing w:line="360" w:lineRule="auto"/>
              <w:jc w:val="center"/>
              <w:rPr>
                <w:rFonts w:hint="eastAsia" w:ascii="宋体" w:hAnsi="宋体" w:cs="宋体"/>
                <w:color w:val="auto"/>
                <w:sz w:val="28"/>
                <w:szCs w:val="28"/>
                <w:highlight w:val="none"/>
              </w:rPr>
            </w:pPr>
          </w:p>
        </w:tc>
        <w:tc>
          <w:tcPr>
            <w:tcW w:w="1108" w:type="dxa"/>
            <w:tcBorders>
              <w:top w:val="single" w:color="auto" w:sz="4" w:space="0"/>
              <w:left w:val="nil"/>
              <w:bottom w:val="single" w:color="auto" w:sz="4" w:space="0"/>
              <w:right w:val="single" w:color="auto" w:sz="4" w:space="0"/>
            </w:tcBorders>
            <w:noWrap w:val="0"/>
            <w:vAlign w:val="center"/>
          </w:tcPr>
          <w:p w14:paraId="54020BB6">
            <w:pPr>
              <w:spacing w:line="360" w:lineRule="auto"/>
              <w:jc w:val="center"/>
              <w:rPr>
                <w:rFonts w:hint="eastAsia" w:ascii="宋体" w:hAnsi="宋体" w:cs="宋体"/>
                <w:color w:val="auto"/>
                <w:sz w:val="28"/>
                <w:szCs w:val="28"/>
                <w:highlight w:val="none"/>
              </w:rPr>
            </w:pPr>
          </w:p>
        </w:tc>
        <w:tc>
          <w:tcPr>
            <w:tcW w:w="1297" w:type="dxa"/>
            <w:tcBorders>
              <w:top w:val="single" w:color="auto" w:sz="4" w:space="0"/>
              <w:left w:val="nil"/>
              <w:bottom w:val="single" w:color="auto" w:sz="4" w:space="0"/>
              <w:right w:val="single" w:color="auto" w:sz="4" w:space="0"/>
            </w:tcBorders>
            <w:noWrap w:val="0"/>
            <w:vAlign w:val="center"/>
          </w:tcPr>
          <w:p w14:paraId="2B7279B1">
            <w:pPr>
              <w:spacing w:line="360" w:lineRule="auto"/>
              <w:jc w:val="center"/>
              <w:rPr>
                <w:rFonts w:hint="eastAsia" w:ascii="宋体" w:hAnsi="宋体" w:cs="宋体"/>
                <w:color w:val="auto"/>
                <w:sz w:val="28"/>
                <w:szCs w:val="28"/>
                <w:highlight w:val="none"/>
              </w:rPr>
            </w:pPr>
          </w:p>
        </w:tc>
      </w:tr>
      <w:tr w14:paraId="109AC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599" w:type="dxa"/>
            <w:tcBorders>
              <w:top w:val="single" w:color="auto" w:sz="4" w:space="0"/>
              <w:left w:val="single" w:color="auto" w:sz="4" w:space="0"/>
              <w:bottom w:val="single" w:color="auto" w:sz="4" w:space="0"/>
              <w:right w:val="single" w:color="auto" w:sz="4" w:space="0"/>
            </w:tcBorders>
            <w:noWrap w:val="0"/>
            <w:vAlign w:val="center"/>
          </w:tcPr>
          <w:p w14:paraId="0274B3F7">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11</w:t>
            </w:r>
          </w:p>
        </w:tc>
        <w:tc>
          <w:tcPr>
            <w:tcW w:w="1649" w:type="dxa"/>
            <w:tcBorders>
              <w:top w:val="single" w:color="auto" w:sz="4" w:space="0"/>
              <w:left w:val="nil"/>
              <w:bottom w:val="single" w:color="auto" w:sz="4" w:space="0"/>
              <w:right w:val="single" w:color="auto" w:sz="4" w:space="0"/>
            </w:tcBorders>
            <w:noWrap w:val="0"/>
            <w:vAlign w:val="center"/>
          </w:tcPr>
          <w:p w14:paraId="07CD7125">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智能音频主机</w:t>
            </w:r>
          </w:p>
        </w:tc>
        <w:tc>
          <w:tcPr>
            <w:tcW w:w="795" w:type="dxa"/>
            <w:tcBorders>
              <w:top w:val="single" w:color="auto" w:sz="4" w:space="0"/>
              <w:left w:val="nil"/>
              <w:bottom w:val="single" w:color="auto" w:sz="4" w:space="0"/>
              <w:right w:val="single" w:color="auto" w:sz="4" w:space="0"/>
            </w:tcBorders>
            <w:noWrap w:val="0"/>
            <w:vAlign w:val="center"/>
          </w:tcPr>
          <w:p w14:paraId="510C5118">
            <w:pPr>
              <w:widowControl/>
              <w:jc w:val="center"/>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bidi="ar"/>
              </w:rPr>
              <w:t>45</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5E200EB7">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台</w:t>
            </w:r>
          </w:p>
        </w:tc>
        <w:tc>
          <w:tcPr>
            <w:tcW w:w="1035" w:type="dxa"/>
            <w:tcBorders>
              <w:top w:val="single" w:color="auto" w:sz="4" w:space="0"/>
              <w:left w:val="nil"/>
              <w:bottom w:val="single" w:color="auto" w:sz="4" w:space="0"/>
              <w:right w:val="single" w:color="auto" w:sz="4" w:space="0"/>
            </w:tcBorders>
            <w:noWrap w:val="0"/>
            <w:vAlign w:val="center"/>
          </w:tcPr>
          <w:p w14:paraId="4AB46983">
            <w:pPr>
              <w:spacing w:line="360" w:lineRule="auto"/>
              <w:jc w:val="center"/>
              <w:rPr>
                <w:rFonts w:hint="eastAsia" w:ascii="宋体" w:hAnsi="宋体" w:cs="宋体"/>
                <w:color w:val="auto"/>
                <w:sz w:val="28"/>
                <w:szCs w:val="28"/>
                <w:highlight w:val="none"/>
              </w:rPr>
            </w:pPr>
          </w:p>
        </w:tc>
        <w:tc>
          <w:tcPr>
            <w:tcW w:w="1166" w:type="dxa"/>
            <w:tcBorders>
              <w:top w:val="single" w:color="auto" w:sz="4" w:space="0"/>
              <w:left w:val="nil"/>
              <w:bottom w:val="single" w:color="auto" w:sz="4" w:space="0"/>
              <w:right w:val="single" w:color="auto" w:sz="4" w:space="0"/>
            </w:tcBorders>
            <w:noWrap w:val="0"/>
            <w:vAlign w:val="center"/>
          </w:tcPr>
          <w:p w14:paraId="31FFCF6E">
            <w:pPr>
              <w:spacing w:line="360" w:lineRule="auto"/>
              <w:jc w:val="center"/>
              <w:rPr>
                <w:rFonts w:hint="eastAsia" w:ascii="宋体" w:hAnsi="宋体" w:cs="宋体"/>
                <w:color w:val="auto"/>
                <w:sz w:val="28"/>
                <w:szCs w:val="28"/>
                <w:highlight w:val="none"/>
              </w:rPr>
            </w:pPr>
          </w:p>
        </w:tc>
        <w:tc>
          <w:tcPr>
            <w:tcW w:w="1093" w:type="dxa"/>
            <w:tcBorders>
              <w:top w:val="single" w:color="auto" w:sz="4" w:space="0"/>
              <w:left w:val="nil"/>
              <w:bottom w:val="single" w:color="auto" w:sz="4" w:space="0"/>
              <w:right w:val="single" w:color="auto" w:sz="4" w:space="0"/>
            </w:tcBorders>
            <w:noWrap w:val="0"/>
            <w:vAlign w:val="center"/>
          </w:tcPr>
          <w:p w14:paraId="171556B0">
            <w:pPr>
              <w:spacing w:line="360" w:lineRule="auto"/>
              <w:jc w:val="center"/>
              <w:rPr>
                <w:rFonts w:hint="eastAsia" w:ascii="宋体" w:hAnsi="宋体" w:cs="宋体"/>
                <w:color w:val="auto"/>
                <w:sz w:val="28"/>
                <w:szCs w:val="28"/>
                <w:highlight w:val="none"/>
              </w:rPr>
            </w:pPr>
          </w:p>
        </w:tc>
        <w:tc>
          <w:tcPr>
            <w:tcW w:w="1108" w:type="dxa"/>
            <w:tcBorders>
              <w:top w:val="single" w:color="auto" w:sz="4" w:space="0"/>
              <w:left w:val="nil"/>
              <w:bottom w:val="single" w:color="auto" w:sz="4" w:space="0"/>
              <w:right w:val="single" w:color="auto" w:sz="4" w:space="0"/>
            </w:tcBorders>
            <w:noWrap w:val="0"/>
            <w:vAlign w:val="center"/>
          </w:tcPr>
          <w:p w14:paraId="352EB9D8">
            <w:pPr>
              <w:spacing w:line="360" w:lineRule="auto"/>
              <w:jc w:val="center"/>
              <w:rPr>
                <w:rFonts w:hint="eastAsia" w:ascii="宋体" w:hAnsi="宋体" w:cs="宋体"/>
                <w:color w:val="auto"/>
                <w:sz w:val="28"/>
                <w:szCs w:val="28"/>
                <w:highlight w:val="none"/>
              </w:rPr>
            </w:pPr>
          </w:p>
        </w:tc>
        <w:tc>
          <w:tcPr>
            <w:tcW w:w="1297" w:type="dxa"/>
            <w:tcBorders>
              <w:top w:val="single" w:color="auto" w:sz="4" w:space="0"/>
              <w:left w:val="nil"/>
              <w:bottom w:val="single" w:color="auto" w:sz="4" w:space="0"/>
              <w:right w:val="single" w:color="auto" w:sz="4" w:space="0"/>
            </w:tcBorders>
            <w:noWrap w:val="0"/>
            <w:vAlign w:val="center"/>
          </w:tcPr>
          <w:p w14:paraId="19A2FE8D">
            <w:pPr>
              <w:spacing w:line="360" w:lineRule="auto"/>
              <w:jc w:val="center"/>
              <w:rPr>
                <w:rFonts w:hint="eastAsia" w:ascii="宋体" w:hAnsi="宋体" w:cs="宋体"/>
                <w:color w:val="auto"/>
                <w:sz w:val="28"/>
                <w:szCs w:val="28"/>
                <w:highlight w:val="none"/>
              </w:rPr>
            </w:pPr>
          </w:p>
        </w:tc>
      </w:tr>
      <w:tr w14:paraId="67D89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99" w:type="dxa"/>
            <w:tcBorders>
              <w:top w:val="single" w:color="auto" w:sz="4" w:space="0"/>
              <w:left w:val="single" w:color="auto" w:sz="4" w:space="0"/>
              <w:bottom w:val="single" w:color="auto" w:sz="4" w:space="0"/>
              <w:right w:val="single" w:color="auto" w:sz="4" w:space="0"/>
            </w:tcBorders>
            <w:noWrap w:val="0"/>
            <w:vAlign w:val="center"/>
          </w:tcPr>
          <w:p w14:paraId="4EC58983">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12</w:t>
            </w:r>
          </w:p>
        </w:tc>
        <w:tc>
          <w:tcPr>
            <w:tcW w:w="1649" w:type="dxa"/>
            <w:tcBorders>
              <w:top w:val="single" w:color="auto" w:sz="4" w:space="0"/>
              <w:left w:val="nil"/>
              <w:bottom w:val="single" w:color="auto" w:sz="4" w:space="0"/>
              <w:right w:val="single" w:color="auto" w:sz="4" w:space="0"/>
            </w:tcBorders>
            <w:noWrap w:val="0"/>
            <w:vAlign w:val="center"/>
          </w:tcPr>
          <w:p w14:paraId="40C0AA34">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扩声音箱</w:t>
            </w:r>
          </w:p>
        </w:tc>
        <w:tc>
          <w:tcPr>
            <w:tcW w:w="795" w:type="dxa"/>
            <w:tcBorders>
              <w:top w:val="single" w:color="auto" w:sz="4" w:space="0"/>
              <w:left w:val="nil"/>
              <w:bottom w:val="single" w:color="auto" w:sz="4" w:space="0"/>
              <w:right w:val="single" w:color="auto" w:sz="4" w:space="0"/>
            </w:tcBorders>
            <w:noWrap w:val="0"/>
            <w:vAlign w:val="center"/>
          </w:tcPr>
          <w:p w14:paraId="52DAAA62">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58</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6AED5CEA">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对</w:t>
            </w:r>
          </w:p>
        </w:tc>
        <w:tc>
          <w:tcPr>
            <w:tcW w:w="1035" w:type="dxa"/>
            <w:tcBorders>
              <w:top w:val="single" w:color="auto" w:sz="4" w:space="0"/>
              <w:left w:val="nil"/>
              <w:bottom w:val="single" w:color="auto" w:sz="4" w:space="0"/>
              <w:right w:val="single" w:color="auto" w:sz="4" w:space="0"/>
            </w:tcBorders>
            <w:noWrap w:val="0"/>
            <w:vAlign w:val="center"/>
          </w:tcPr>
          <w:p w14:paraId="4E8AAFDA">
            <w:pPr>
              <w:spacing w:line="360" w:lineRule="auto"/>
              <w:jc w:val="center"/>
              <w:rPr>
                <w:rFonts w:hint="eastAsia" w:ascii="宋体" w:hAnsi="宋体" w:cs="宋体"/>
                <w:color w:val="auto"/>
                <w:sz w:val="28"/>
                <w:szCs w:val="28"/>
                <w:highlight w:val="none"/>
              </w:rPr>
            </w:pPr>
          </w:p>
        </w:tc>
        <w:tc>
          <w:tcPr>
            <w:tcW w:w="1166" w:type="dxa"/>
            <w:tcBorders>
              <w:top w:val="single" w:color="auto" w:sz="4" w:space="0"/>
              <w:left w:val="nil"/>
              <w:bottom w:val="single" w:color="auto" w:sz="4" w:space="0"/>
              <w:right w:val="single" w:color="auto" w:sz="4" w:space="0"/>
            </w:tcBorders>
            <w:noWrap w:val="0"/>
            <w:vAlign w:val="center"/>
          </w:tcPr>
          <w:p w14:paraId="6B79CB82">
            <w:pPr>
              <w:spacing w:line="360" w:lineRule="auto"/>
              <w:jc w:val="center"/>
              <w:rPr>
                <w:rFonts w:hint="eastAsia" w:ascii="宋体" w:hAnsi="宋体" w:cs="宋体"/>
                <w:color w:val="auto"/>
                <w:sz w:val="28"/>
                <w:szCs w:val="28"/>
                <w:highlight w:val="none"/>
              </w:rPr>
            </w:pPr>
          </w:p>
        </w:tc>
        <w:tc>
          <w:tcPr>
            <w:tcW w:w="1093" w:type="dxa"/>
            <w:tcBorders>
              <w:top w:val="single" w:color="auto" w:sz="4" w:space="0"/>
              <w:left w:val="nil"/>
              <w:bottom w:val="single" w:color="auto" w:sz="4" w:space="0"/>
              <w:right w:val="single" w:color="auto" w:sz="4" w:space="0"/>
            </w:tcBorders>
            <w:noWrap w:val="0"/>
            <w:vAlign w:val="center"/>
          </w:tcPr>
          <w:p w14:paraId="562DAB65">
            <w:pPr>
              <w:spacing w:line="360" w:lineRule="auto"/>
              <w:jc w:val="center"/>
              <w:rPr>
                <w:rFonts w:hint="eastAsia" w:ascii="宋体" w:hAnsi="宋体" w:cs="宋体"/>
                <w:color w:val="auto"/>
                <w:sz w:val="28"/>
                <w:szCs w:val="28"/>
                <w:highlight w:val="none"/>
              </w:rPr>
            </w:pPr>
          </w:p>
        </w:tc>
        <w:tc>
          <w:tcPr>
            <w:tcW w:w="1108" w:type="dxa"/>
            <w:tcBorders>
              <w:top w:val="single" w:color="auto" w:sz="4" w:space="0"/>
              <w:left w:val="nil"/>
              <w:bottom w:val="single" w:color="auto" w:sz="4" w:space="0"/>
              <w:right w:val="single" w:color="auto" w:sz="4" w:space="0"/>
            </w:tcBorders>
            <w:noWrap w:val="0"/>
            <w:vAlign w:val="center"/>
          </w:tcPr>
          <w:p w14:paraId="7F14441B">
            <w:pPr>
              <w:spacing w:line="360" w:lineRule="auto"/>
              <w:jc w:val="center"/>
              <w:rPr>
                <w:rFonts w:hint="eastAsia" w:ascii="宋体" w:hAnsi="宋体" w:cs="宋体"/>
                <w:color w:val="auto"/>
                <w:sz w:val="28"/>
                <w:szCs w:val="28"/>
                <w:highlight w:val="none"/>
              </w:rPr>
            </w:pPr>
          </w:p>
        </w:tc>
        <w:tc>
          <w:tcPr>
            <w:tcW w:w="1297" w:type="dxa"/>
            <w:tcBorders>
              <w:top w:val="single" w:color="auto" w:sz="4" w:space="0"/>
              <w:left w:val="nil"/>
              <w:bottom w:val="single" w:color="auto" w:sz="4" w:space="0"/>
              <w:right w:val="single" w:color="auto" w:sz="4" w:space="0"/>
            </w:tcBorders>
            <w:noWrap w:val="0"/>
            <w:vAlign w:val="center"/>
          </w:tcPr>
          <w:p w14:paraId="1F3FD31D">
            <w:pPr>
              <w:spacing w:line="360" w:lineRule="auto"/>
              <w:jc w:val="center"/>
              <w:rPr>
                <w:rFonts w:hint="eastAsia" w:ascii="宋体" w:hAnsi="宋体" w:cs="宋体"/>
                <w:color w:val="auto"/>
                <w:sz w:val="28"/>
                <w:szCs w:val="28"/>
                <w:highlight w:val="none"/>
              </w:rPr>
            </w:pPr>
          </w:p>
        </w:tc>
      </w:tr>
      <w:tr w14:paraId="0D161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599" w:type="dxa"/>
            <w:tcBorders>
              <w:top w:val="single" w:color="auto" w:sz="4" w:space="0"/>
              <w:left w:val="single" w:color="auto" w:sz="4" w:space="0"/>
              <w:bottom w:val="single" w:color="auto" w:sz="4" w:space="0"/>
              <w:right w:val="single" w:color="auto" w:sz="4" w:space="0"/>
            </w:tcBorders>
            <w:noWrap w:val="0"/>
            <w:vAlign w:val="center"/>
          </w:tcPr>
          <w:p w14:paraId="7E9040A6">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13</w:t>
            </w:r>
          </w:p>
        </w:tc>
        <w:tc>
          <w:tcPr>
            <w:tcW w:w="1649" w:type="dxa"/>
            <w:tcBorders>
              <w:top w:val="single" w:color="auto" w:sz="4" w:space="0"/>
              <w:left w:val="nil"/>
              <w:bottom w:val="single" w:color="auto" w:sz="4" w:space="0"/>
              <w:right w:val="single" w:color="auto" w:sz="4" w:space="0"/>
            </w:tcBorders>
            <w:noWrap w:val="0"/>
            <w:vAlign w:val="center"/>
          </w:tcPr>
          <w:p w14:paraId="412A3A6A">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拾音麦克风</w:t>
            </w:r>
          </w:p>
        </w:tc>
        <w:tc>
          <w:tcPr>
            <w:tcW w:w="795" w:type="dxa"/>
            <w:tcBorders>
              <w:top w:val="single" w:color="auto" w:sz="4" w:space="0"/>
              <w:left w:val="nil"/>
              <w:bottom w:val="single" w:color="auto" w:sz="4" w:space="0"/>
              <w:right w:val="single" w:color="auto" w:sz="4" w:space="0"/>
            </w:tcBorders>
            <w:noWrap w:val="0"/>
            <w:vAlign w:val="center"/>
          </w:tcPr>
          <w:p w14:paraId="314A59BC">
            <w:pPr>
              <w:widowControl/>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4</w:t>
            </w:r>
            <w:r>
              <w:rPr>
                <w:rFonts w:hint="eastAsia" w:ascii="宋体" w:hAnsi="宋体" w:cs="宋体"/>
                <w:color w:val="auto"/>
                <w:sz w:val="28"/>
                <w:szCs w:val="28"/>
                <w:highlight w:val="none"/>
                <w:lang w:val="en-US" w:eastAsia="zh-CN"/>
              </w:rPr>
              <w:t>8</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36CE9B19">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只</w:t>
            </w:r>
          </w:p>
        </w:tc>
        <w:tc>
          <w:tcPr>
            <w:tcW w:w="1035" w:type="dxa"/>
            <w:tcBorders>
              <w:top w:val="single" w:color="auto" w:sz="4" w:space="0"/>
              <w:left w:val="nil"/>
              <w:bottom w:val="single" w:color="auto" w:sz="4" w:space="0"/>
              <w:right w:val="single" w:color="auto" w:sz="4" w:space="0"/>
            </w:tcBorders>
            <w:noWrap w:val="0"/>
            <w:vAlign w:val="center"/>
          </w:tcPr>
          <w:p w14:paraId="06A2B7D7">
            <w:pPr>
              <w:spacing w:line="360" w:lineRule="auto"/>
              <w:jc w:val="center"/>
              <w:rPr>
                <w:rFonts w:hint="eastAsia" w:ascii="宋体" w:hAnsi="宋体" w:cs="宋体"/>
                <w:color w:val="auto"/>
                <w:sz w:val="28"/>
                <w:szCs w:val="28"/>
                <w:highlight w:val="none"/>
              </w:rPr>
            </w:pPr>
          </w:p>
        </w:tc>
        <w:tc>
          <w:tcPr>
            <w:tcW w:w="1166" w:type="dxa"/>
            <w:tcBorders>
              <w:top w:val="single" w:color="auto" w:sz="4" w:space="0"/>
              <w:left w:val="nil"/>
              <w:bottom w:val="single" w:color="auto" w:sz="4" w:space="0"/>
              <w:right w:val="single" w:color="auto" w:sz="4" w:space="0"/>
            </w:tcBorders>
            <w:noWrap w:val="0"/>
            <w:vAlign w:val="center"/>
          </w:tcPr>
          <w:p w14:paraId="7ABB7423">
            <w:pPr>
              <w:spacing w:line="360" w:lineRule="auto"/>
              <w:jc w:val="center"/>
              <w:rPr>
                <w:rFonts w:hint="eastAsia" w:ascii="宋体" w:hAnsi="宋体" w:cs="宋体"/>
                <w:color w:val="auto"/>
                <w:sz w:val="28"/>
                <w:szCs w:val="28"/>
                <w:highlight w:val="none"/>
              </w:rPr>
            </w:pPr>
          </w:p>
        </w:tc>
        <w:tc>
          <w:tcPr>
            <w:tcW w:w="1093" w:type="dxa"/>
            <w:tcBorders>
              <w:top w:val="single" w:color="auto" w:sz="4" w:space="0"/>
              <w:left w:val="nil"/>
              <w:bottom w:val="single" w:color="auto" w:sz="4" w:space="0"/>
              <w:right w:val="single" w:color="auto" w:sz="4" w:space="0"/>
            </w:tcBorders>
            <w:noWrap w:val="0"/>
            <w:vAlign w:val="center"/>
          </w:tcPr>
          <w:p w14:paraId="7545A921">
            <w:pPr>
              <w:spacing w:line="360" w:lineRule="auto"/>
              <w:jc w:val="center"/>
              <w:rPr>
                <w:rFonts w:hint="eastAsia" w:ascii="宋体" w:hAnsi="宋体" w:cs="宋体"/>
                <w:color w:val="auto"/>
                <w:sz w:val="28"/>
                <w:szCs w:val="28"/>
                <w:highlight w:val="none"/>
              </w:rPr>
            </w:pPr>
          </w:p>
        </w:tc>
        <w:tc>
          <w:tcPr>
            <w:tcW w:w="1108" w:type="dxa"/>
            <w:tcBorders>
              <w:top w:val="single" w:color="auto" w:sz="4" w:space="0"/>
              <w:left w:val="nil"/>
              <w:bottom w:val="single" w:color="auto" w:sz="4" w:space="0"/>
              <w:right w:val="single" w:color="auto" w:sz="4" w:space="0"/>
            </w:tcBorders>
            <w:noWrap w:val="0"/>
            <w:vAlign w:val="center"/>
          </w:tcPr>
          <w:p w14:paraId="6FBD28F4">
            <w:pPr>
              <w:spacing w:line="360" w:lineRule="auto"/>
              <w:jc w:val="center"/>
              <w:rPr>
                <w:rFonts w:hint="eastAsia" w:ascii="宋体" w:hAnsi="宋体" w:cs="宋体"/>
                <w:color w:val="auto"/>
                <w:sz w:val="28"/>
                <w:szCs w:val="28"/>
                <w:highlight w:val="none"/>
              </w:rPr>
            </w:pPr>
          </w:p>
        </w:tc>
        <w:tc>
          <w:tcPr>
            <w:tcW w:w="1297" w:type="dxa"/>
            <w:tcBorders>
              <w:top w:val="single" w:color="auto" w:sz="4" w:space="0"/>
              <w:left w:val="nil"/>
              <w:bottom w:val="single" w:color="auto" w:sz="4" w:space="0"/>
              <w:right w:val="single" w:color="auto" w:sz="4" w:space="0"/>
            </w:tcBorders>
            <w:noWrap w:val="0"/>
            <w:vAlign w:val="center"/>
          </w:tcPr>
          <w:p w14:paraId="7D397853">
            <w:pPr>
              <w:spacing w:line="360" w:lineRule="auto"/>
              <w:jc w:val="center"/>
              <w:rPr>
                <w:rFonts w:hint="eastAsia" w:ascii="宋体" w:hAnsi="宋体" w:cs="宋体"/>
                <w:color w:val="auto"/>
                <w:sz w:val="28"/>
                <w:szCs w:val="28"/>
                <w:highlight w:val="none"/>
              </w:rPr>
            </w:pPr>
          </w:p>
        </w:tc>
      </w:tr>
      <w:tr w14:paraId="136A4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599" w:type="dxa"/>
            <w:tcBorders>
              <w:top w:val="single" w:color="auto" w:sz="4" w:space="0"/>
              <w:left w:val="single" w:color="auto" w:sz="4" w:space="0"/>
              <w:bottom w:val="single" w:color="auto" w:sz="4" w:space="0"/>
              <w:right w:val="single" w:color="auto" w:sz="4" w:space="0"/>
            </w:tcBorders>
            <w:noWrap w:val="0"/>
            <w:vAlign w:val="center"/>
          </w:tcPr>
          <w:p w14:paraId="659010AB">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14</w:t>
            </w:r>
          </w:p>
        </w:tc>
        <w:tc>
          <w:tcPr>
            <w:tcW w:w="1649" w:type="dxa"/>
            <w:tcBorders>
              <w:top w:val="single" w:color="auto" w:sz="4" w:space="0"/>
              <w:left w:val="nil"/>
              <w:bottom w:val="single" w:color="auto" w:sz="4" w:space="0"/>
              <w:right w:val="single" w:color="auto" w:sz="4" w:space="0"/>
            </w:tcBorders>
            <w:noWrap w:val="0"/>
            <w:vAlign w:val="center"/>
          </w:tcPr>
          <w:p w14:paraId="526AE3C5">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多功能无线麦克风套装</w:t>
            </w:r>
          </w:p>
        </w:tc>
        <w:tc>
          <w:tcPr>
            <w:tcW w:w="795" w:type="dxa"/>
            <w:tcBorders>
              <w:top w:val="single" w:color="auto" w:sz="4" w:space="0"/>
              <w:left w:val="nil"/>
              <w:bottom w:val="single" w:color="auto" w:sz="4" w:space="0"/>
              <w:right w:val="single" w:color="auto" w:sz="4" w:space="0"/>
            </w:tcBorders>
            <w:noWrap w:val="0"/>
            <w:vAlign w:val="center"/>
          </w:tcPr>
          <w:p w14:paraId="151D4D02">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45</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499F5DD3">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套</w:t>
            </w:r>
          </w:p>
        </w:tc>
        <w:tc>
          <w:tcPr>
            <w:tcW w:w="1035" w:type="dxa"/>
            <w:tcBorders>
              <w:top w:val="single" w:color="auto" w:sz="4" w:space="0"/>
              <w:left w:val="nil"/>
              <w:bottom w:val="single" w:color="auto" w:sz="4" w:space="0"/>
              <w:right w:val="single" w:color="auto" w:sz="4" w:space="0"/>
            </w:tcBorders>
            <w:noWrap w:val="0"/>
            <w:vAlign w:val="center"/>
          </w:tcPr>
          <w:p w14:paraId="770FA19C">
            <w:pPr>
              <w:spacing w:line="360" w:lineRule="auto"/>
              <w:jc w:val="center"/>
              <w:rPr>
                <w:rFonts w:hint="eastAsia" w:ascii="宋体" w:hAnsi="宋体" w:cs="宋体"/>
                <w:color w:val="auto"/>
                <w:sz w:val="28"/>
                <w:szCs w:val="28"/>
                <w:highlight w:val="none"/>
              </w:rPr>
            </w:pPr>
          </w:p>
        </w:tc>
        <w:tc>
          <w:tcPr>
            <w:tcW w:w="1166" w:type="dxa"/>
            <w:tcBorders>
              <w:top w:val="single" w:color="auto" w:sz="4" w:space="0"/>
              <w:left w:val="nil"/>
              <w:bottom w:val="single" w:color="auto" w:sz="4" w:space="0"/>
              <w:right w:val="single" w:color="auto" w:sz="4" w:space="0"/>
            </w:tcBorders>
            <w:noWrap w:val="0"/>
            <w:vAlign w:val="center"/>
          </w:tcPr>
          <w:p w14:paraId="38383D44">
            <w:pPr>
              <w:spacing w:line="360" w:lineRule="auto"/>
              <w:jc w:val="center"/>
              <w:rPr>
                <w:rFonts w:hint="eastAsia" w:ascii="宋体" w:hAnsi="宋体" w:cs="宋体"/>
                <w:color w:val="auto"/>
                <w:sz w:val="28"/>
                <w:szCs w:val="28"/>
                <w:highlight w:val="none"/>
              </w:rPr>
            </w:pPr>
          </w:p>
        </w:tc>
        <w:tc>
          <w:tcPr>
            <w:tcW w:w="1093" w:type="dxa"/>
            <w:tcBorders>
              <w:top w:val="single" w:color="auto" w:sz="4" w:space="0"/>
              <w:left w:val="nil"/>
              <w:bottom w:val="single" w:color="auto" w:sz="4" w:space="0"/>
              <w:right w:val="single" w:color="auto" w:sz="4" w:space="0"/>
            </w:tcBorders>
            <w:noWrap w:val="0"/>
            <w:vAlign w:val="center"/>
          </w:tcPr>
          <w:p w14:paraId="359530FF">
            <w:pPr>
              <w:spacing w:line="360" w:lineRule="auto"/>
              <w:jc w:val="center"/>
              <w:rPr>
                <w:rFonts w:hint="eastAsia" w:ascii="宋体" w:hAnsi="宋体" w:cs="宋体"/>
                <w:color w:val="auto"/>
                <w:sz w:val="28"/>
                <w:szCs w:val="28"/>
                <w:highlight w:val="none"/>
              </w:rPr>
            </w:pPr>
          </w:p>
        </w:tc>
        <w:tc>
          <w:tcPr>
            <w:tcW w:w="1108" w:type="dxa"/>
            <w:tcBorders>
              <w:top w:val="single" w:color="auto" w:sz="4" w:space="0"/>
              <w:left w:val="nil"/>
              <w:bottom w:val="single" w:color="auto" w:sz="4" w:space="0"/>
              <w:right w:val="single" w:color="auto" w:sz="4" w:space="0"/>
            </w:tcBorders>
            <w:noWrap w:val="0"/>
            <w:vAlign w:val="center"/>
          </w:tcPr>
          <w:p w14:paraId="05E2CA45">
            <w:pPr>
              <w:spacing w:line="360" w:lineRule="auto"/>
              <w:jc w:val="center"/>
              <w:rPr>
                <w:rFonts w:hint="eastAsia" w:ascii="宋体" w:hAnsi="宋体" w:cs="宋体"/>
                <w:color w:val="auto"/>
                <w:sz w:val="28"/>
                <w:szCs w:val="28"/>
                <w:highlight w:val="none"/>
              </w:rPr>
            </w:pPr>
          </w:p>
        </w:tc>
        <w:tc>
          <w:tcPr>
            <w:tcW w:w="1297" w:type="dxa"/>
            <w:tcBorders>
              <w:top w:val="single" w:color="auto" w:sz="4" w:space="0"/>
              <w:left w:val="nil"/>
              <w:bottom w:val="single" w:color="auto" w:sz="4" w:space="0"/>
              <w:right w:val="single" w:color="auto" w:sz="4" w:space="0"/>
            </w:tcBorders>
            <w:noWrap w:val="0"/>
            <w:vAlign w:val="center"/>
          </w:tcPr>
          <w:p w14:paraId="6CB7094D">
            <w:pPr>
              <w:spacing w:line="360" w:lineRule="auto"/>
              <w:jc w:val="center"/>
              <w:rPr>
                <w:rFonts w:hint="eastAsia" w:ascii="宋体" w:hAnsi="宋体" w:cs="宋体"/>
                <w:color w:val="auto"/>
                <w:sz w:val="28"/>
                <w:szCs w:val="28"/>
                <w:highlight w:val="none"/>
              </w:rPr>
            </w:pPr>
          </w:p>
        </w:tc>
      </w:tr>
      <w:tr w14:paraId="12A33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jc w:val="center"/>
        </w:trPr>
        <w:tc>
          <w:tcPr>
            <w:tcW w:w="599" w:type="dxa"/>
            <w:tcBorders>
              <w:top w:val="single" w:color="auto" w:sz="4" w:space="0"/>
              <w:left w:val="single" w:color="auto" w:sz="4" w:space="0"/>
              <w:bottom w:val="single" w:color="auto" w:sz="4" w:space="0"/>
              <w:right w:val="single" w:color="auto" w:sz="4" w:space="0"/>
            </w:tcBorders>
            <w:noWrap w:val="0"/>
            <w:vAlign w:val="center"/>
          </w:tcPr>
          <w:p w14:paraId="14AE1E50">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15</w:t>
            </w:r>
          </w:p>
        </w:tc>
        <w:tc>
          <w:tcPr>
            <w:tcW w:w="1649" w:type="dxa"/>
            <w:tcBorders>
              <w:top w:val="single" w:color="auto" w:sz="4" w:space="0"/>
              <w:left w:val="nil"/>
              <w:bottom w:val="single" w:color="auto" w:sz="4" w:space="0"/>
              <w:right w:val="single" w:color="auto" w:sz="4" w:space="0"/>
            </w:tcBorders>
            <w:noWrap w:val="0"/>
            <w:vAlign w:val="center"/>
          </w:tcPr>
          <w:p w14:paraId="5EDA235C">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AI分析智能主机</w:t>
            </w:r>
          </w:p>
        </w:tc>
        <w:tc>
          <w:tcPr>
            <w:tcW w:w="795" w:type="dxa"/>
            <w:tcBorders>
              <w:top w:val="single" w:color="auto" w:sz="4" w:space="0"/>
              <w:left w:val="nil"/>
              <w:bottom w:val="single" w:color="auto" w:sz="4" w:space="0"/>
              <w:right w:val="single" w:color="auto" w:sz="4" w:space="0"/>
            </w:tcBorders>
            <w:noWrap w:val="0"/>
            <w:vAlign w:val="center"/>
          </w:tcPr>
          <w:p w14:paraId="20D963C3">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45</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53CE9066">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台</w:t>
            </w:r>
          </w:p>
        </w:tc>
        <w:tc>
          <w:tcPr>
            <w:tcW w:w="1035" w:type="dxa"/>
            <w:tcBorders>
              <w:top w:val="single" w:color="auto" w:sz="4" w:space="0"/>
              <w:left w:val="nil"/>
              <w:bottom w:val="single" w:color="auto" w:sz="4" w:space="0"/>
              <w:right w:val="single" w:color="auto" w:sz="4" w:space="0"/>
            </w:tcBorders>
            <w:noWrap w:val="0"/>
            <w:vAlign w:val="center"/>
          </w:tcPr>
          <w:p w14:paraId="01C2D4DC">
            <w:pPr>
              <w:spacing w:line="360" w:lineRule="auto"/>
              <w:jc w:val="center"/>
              <w:rPr>
                <w:rFonts w:hint="eastAsia" w:ascii="宋体" w:hAnsi="宋体" w:cs="宋体"/>
                <w:color w:val="auto"/>
                <w:sz w:val="28"/>
                <w:szCs w:val="28"/>
                <w:highlight w:val="none"/>
              </w:rPr>
            </w:pPr>
          </w:p>
        </w:tc>
        <w:tc>
          <w:tcPr>
            <w:tcW w:w="1166" w:type="dxa"/>
            <w:tcBorders>
              <w:top w:val="single" w:color="auto" w:sz="4" w:space="0"/>
              <w:left w:val="nil"/>
              <w:bottom w:val="single" w:color="auto" w:sz="4" w:space="0"/>
              <w:right w:val="single" w:color="auto" w:sz="4" w:space="0"/>
            </w:tcBorders>
            <w:noWrap w:val="0"/>
            <w:vAlign w:val="center"/>
          </w:tcPr>
          <w:p w14:paraId="0B4D5C71">
            <w:pPr>
              <w:spacing w:line="360" w:lineRule="auto"/>
              <w:jc w:val="center"/>
              <w:rPr>
                <w:rFonts w:hint="eastAsia" w:ascii="宋体" w:hAnsi="宋体" w:cs="宋体"/>
                <w:color w:val="auto"/>
                <w:sz w:val="28"/>
                <w:szCs w:val="28"/>
                <w:highlight w:val="none"/>
              </w:rPr>
            </w:pPr>
          </w:p>
        </w:tc>
        <w:tc>
          <w:tcPr>
            <w:tcW w:w="1093" w:type="dxa"/>
            <w:tcBorders>
              <w:top w:val="single" w:color="auto" w:sz="4" w:space="0"/>
              <w:left w:val="nil"/>
              <w:bottom w:val="single" w:color="auto" w:sz="4" w:space="0"/>
              <w:right w:val="single" w:color="auto" w:sz="4" w:space="0"/>
            </w:tcBorders>
            <w:noWrap w:val="0"/>
            <w:vAlign w:val="center"/>
          </w:tcPr>
          <w:p w14:paraId="116FA847">
            <w:pPr>
              <w:spacing w:line="360" w:lineRule="auto"/>
              <w:jc w:val="center"/>
              <w:rPr>
                <w:rFonts w:hint="eastAsia" w:ascii="宋体" w:hAnsi="宋体" w:cs="宋体"/>
                <w:color w:val="auto"/>
                <w:sz w:val="28"/>
                <w:szCs w:val="28"/>
                <w:highlight w:val="none"/>
              </w:rPr>
            </w:pPr>
          </w:p>
        </w:tc>
        <w:tc>
          <w:tcPr>
            <w:tcW w:w="1108" w:type="dxa"/>
            <w:tcBorders>
              <w:top w:val="single" w:color="auto" w:sz="4" w:space="0"/>
              <w:left w:val="nil"/>
              <w:bottom w:val="single" w:color="auto" w:sz="4" w:space="0"/>
              <w:right w:val="single" w:color="auto" w:sz="4" w:space="0"/>
            </w:tcBorders>
            <w:noWrap w:val="0"/>
            <w:vAlign w:val="center"/>
          </w:tcPr>
          <w:p w14:paraId="60862338">
            <w:pPr>
              <w:spacing w:line="360" w:lineRule="auto"/>
              <w:jc w:val="center"/>
              <w:rPr>
                <w:rFonts w:hint="eastAsia" w:ascii="宋体" w:hAnsi="宋体" w:cs="宋体"/>
                <w:color w:val="auto"/>
                <w:sz w:val="28"/>
                <w:szCs w:val="28"/>
                <w:highlight w:val="none"/>
              </w:rPr>
            </w:pPr>
          </w:p>
        </w:tc>
        <w:tc>
          <w:tcPr>
            <w:tcW w:w="1297" w:type="dxa"/>
            <w:tcBorders>
              <w:top w:val="single" w:color="auto" w:sz="4" w:space="0"/>
              <w:left w:val="nil"/>
              <w:bottom w:val="single" w:color="auto" w:sz="4" w:space="0"/>
              <w:right w:val="single" w:color="auto" w:sz="4" w:space="0"/>
            </w:tcBorders>
            <w:noWrap w:val="0"/>
            <w:vAlign w:val="center"/>
          </w:tcPr>
          <w:p w14:paraId="454FA99A">
            <w:pPr>
              <w:spacing w:line="360" w:lineRule="auto"/>
              <w:jc w:val="center"/>
              <w:rPr>
                <w:rFonts w:hint="eastAsia" w:ascii="宋体" w:hAnsi="宋体" w:cs="宋体"/>
                <w:color w:val="auto"/>
                <w:sz w:val="28"/>
                <w:szCs w:val="28"/>
                <w:highlight w:val="none"/>
              </w:rPr>
            </w:pPr>
          </w:p>
        </w:tc>
      </w:tr>
      <w:tr w14:paraId="6DCF3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599" w:type="dxa"/>
            <w:tcBorders>
              <w:top w:val="single" w:color="auto" w:sz="4" w:space="0"/>
              <w:left w:val="single" w:color="auto" w:sz="4" w:space="0"/>
              <w:bottom w:val="single" w:color="auto" w:sz="4" w:space="0"/>
              <w:right w:val="single" w:color="auto" w:sz="4" w:space="0"/>
            </w:tcBorders>
            <w:noWrap w:val="0"/>
            <w:vAlign w:val="center"/>
          </w:tcPr>
          <w:p w14:paraId="2E597AF4">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16</w:t>
            </w:r>
          </w:p>
        </w:tc>
        <w:tc>
          <w:tcPr>
            <w:tcW w:w="1649" w:type="dxa"/>
            <w:tcBorders>
              <w:top w:val="single" w:color="auto" w:sz="4" w:space="0"/>
              <w:left w:val="nil"/>
              <w:bottom w:val="single" w:color="auto" w:sz="4" w:space="0"/>
              <w:right w:val="single" w:color="auto" w:sz="4" w:space="0"/>
            </w:tcBorders>
            <w:noWrap w:val="0"/>
            <w:vAlign w:val="center"/>
          </w:tcPr>
          <w:p w14:paraId="767A6215">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导播互动系统</w:t>
            </w:r>
          </w:p>
        </w:tc>
        <w:tc>
          <w:tcPr>
            <w:tcW w:w="795" w:type="dxa"/>
            <w:tcBorders>
              <w:top w:val="single" w:color="auto" w:sz="4" w:space="0"/>
              <w:left w:val="nil"/>
              <w:bottom w:val="single" w:color="auto" w:sz="4" w:space="0"/>
              <w:right w:val="single" w:color="auto" w:sz="4" w:space="0"/>
            </w:tcBorders>
            <w:noWrap w:val="0"/>
            <w:vAlign w:val="center"/>
          </w:tcPr>
          <w:p w14:paraId="205BA9A7">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45</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51D4517B">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套</w:t>
            </w:r>
          </w:p>
        </w:tc>
        <w:tc>
          <w:tcPr>
            <w:tcW w:w="1035" w:type="dxa"/>
            <w:tcBorders>
              <w:top w:val="single" w:color="auto" w:sz="4" w:space="0"/>
              <w:left w:val="nil"/>
              <w:bottom w:val="single" w:color="auto" w:sz="4" w:space="0"/>
              <w:right w:val="single" w:color="auto" w:sz="4" w:space="0"/>
            </w:tcBorders>
            <w:noWrap w:val="0"/>
            <w:vAlign w:val="center"/>
          </w:tcPr>
          <w:p w14:paraId="4DABEBA2">
            <w:pPr>
              <w:spacing w:line="360" w:lineRule="auto"/>
              <w:jc w:val="center"/>
              <w:rPr>
                <w:rFonts w:hint="eastAsia" w:ascii="宋体" w:hAnsi="宋体" w:cs="宋体"/>
                <w:color w:val="auto"/>
                <w:sz w:val="28"/>
                <w:szCs w:val="28"/>
                <w:highlight w:val="none"/>
              </w:rPr>
            </w:pPr>
          </w:p>
        </w:tc>
        <w:tc>
          <w:tcPr>
            <w:tcW w:w="1166" w:type="dxa"/>
            <w:tcBorders>
              <w:top w:val="single" w:color="auto" w:sz="4" w:space="0"/>
              <w:left w:val="nil"/>
              <w:bottom w:val="single" w:color="auto" w:sz="4" w:space="0"/>
              <w:right w:val="single" w:color="auto" w:sz="4" w:space="0"/>
            </w:tcBorders>
            <w:noWrap w:val="0"/>
            <w:vAlign w:val="center"/>
          </w:tcPr>
          <w:p w14:paraId="77ADDA61">
            <w:pPr>
              <w:spacing w:line="360" w:lineRule="auto"/>
              <w:jc w:val="center"/>
              <w:rPr>
                <w:rFonts w:hint="eastAsia" w:ascii="宋体" w:hAnsi="宋体" w:cs="宋体"/>
                <w:color w:val="auto"/>
                <w:sz w:val="28"/>
                <w:szCs w:val="28"/>
                <w:highlight w:val="none"/>
              </w:rPr>
            </w:pPr>
          </w:p>
        </w:tc>
        <w:tc>
          <w:tcPr>
            <w:tcW w:w="1093" w:type="dxa"/>
            <w:tcBorders>
              <w:top w:val="single" w:color="auto" w:sz="4" w:space="0"/>
              <w:left w:val="nil"/>
              <w:bottom w:val="single" w:color="auto" w:sz="4" w:space="0"/>
              <w:right w:val="single" w:color="auto" w:sz="4" w:space="0"/>
            </w:tcBorders>
            <w:noWrap w:val="0"/>
            <w:vAlign w:val="center"/>
          </w:tcPr>
          <w:p w14:paraId="57826304">
            <w:pPr>
              <w:spacing w:line="360" w:lineRule="auto"/>
              <w:jc w:val="center"/>
              <w:rPr>
                <w:rFonts w:hint="eastAsia" w:ascii="宋体" w:hAnsi="宋体" w:cs="宋体"/>
                <w:color w:val="auto"/>
                <w:sz w:val="28"/>
                <w:szCs w:val="28"/>
                <w:highlight w:val="none"/>
              </w:rPr>
            </w:pPr>
          </w:p>
        </w:tc>
        <w:tc>
          <w:tcPr>
            <w:tcW w:w="1108" w:type="dxa"/>
            <w:tcBorders>
              <w:top w:val="single" w:color="auto" w:sz="4" w:space="0"/>
              <w:left w:val="nil"/>
              <w:bottom w:val="single" w:color="auto" w:sz="4" w:space="0"/>
              <w:right w:val="single" w:color="auto" w:sz="4" w:space="0"/>
            </w:tcBorders>
            <w:noWrap w:val="0"/>
            <w:vAlign w:val="center"/>
          </w:tcPr>
          <w:p w14:paraId="0947BB11">
            <w:pPr>
              <w:spacing w:line="360" w:lineRule="auto"/>
              <w:jc w:val="center"/>
              <w:rPr>
                <w:rFonts w:hint="eastAsia" w:ascii="宋体" w:hAnsi="宋体" w:cs="宋体"/>
                <w:color w:val="auto"/>
                <w:sz w:val="28"/>
                <w:szCs w:val="28"/>
                <w:highlight w:val="none"/>
              </w:rPr>
            </w:pPr>
          </w:p>
        </w:tc>
        <w:tc>
          <w:tcPr>
            <w:tcW w:w="1297" w:type="dxa"/>
            <w:tcBorders>
              <w:top w:val="single" w:color="auto" w:sz="4" w:space="0"/>
              <w:left w:val="nil"/>
              <w:bottom w:val="single" w:color="auto" w:sz="4" w:space="0"/>
              <w:right w:val="single" w:color="auto" w:sz="4" w:space="0"/>
            </w:tcBorders>
            <w:noWrap w:val="0"/>
            <w:vAlign w:val="center"/>
          </w:tcPr>
          <w:p w14:paraId="4FCC3A18">
            <w:pPr>
              <w:spacing w:line="360" w:lineRule="auto"/>
              <w:jc w:val="center"/>
              <w:rPr>
                <w:rFonts w:hint="eastAsia" w:ascii="宋体" w:hAnsi="宋体" w:cs="宋体"/>
                <w:color w:val="auto"/>
                <w:sz w:val="28"/>
                <w:szCs w:val="28"/>
                <w:highlight w:val="none"/>
              </w:rPr>
            </w:pPr>
          </w:p>
        </w:tc>
      </w:tr>
      <w:tr w14:paraId="56113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jc w:val="center"/>
        </w:trPr>
        <w:tc>
          <w:tcPr>
            <w:tcW w:w="599" w:type="dxa"/>
            <w:tcBorders>
              <w:top w:val="single" w:color="auto" w:sz="4" w:space="0"/>
              <w:left w:val="single" w:color="auto" w:sz="4" w:space="0"/>
              <w:bottom w:val="single" w:color="auto" w:sz="4" w:space="0"/>
              <w:right w:val="single" w:color="auto" w:sz="4" w:space="0"/>
            </w:tcBorders>
            <w:noWrap w:val="0"/>
            <w:vAlign w:val="center"/>
          </w:tcPr>
          <w:p w14:paraId="49148715">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17</w:t>
            </w:r>
          </w:p>
        </w:tc>
        <w:tc>
          <w:tcPr>
            <w:tcW w:w="1649" w:type="dxa"/>
            <w:tcBorders>
              <w:top w:val="single" w:color="auto" w:sz="4" w:space="0"/>
              <w:left w:val="nil"/>
              <w:bottom w:val="single" w:color="auto" w:sz="4" w:space="0"/>
              <w:right w:val="single" w:color="auto" w:sz="4" w:space="0"/>
            </w:tcBorders>
            <w:noWrap w:val="0"/>
            <w:vAlign w:val="center"/>
          </w:tcPr>
          <w:p w14:paraId="72682631">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AI分析教师端视频处理系统</w:t>
            </w:r>
          </w:p>
        </w:tc>
        <w:tc>
          <w:tcPr>
            <w:tcW w:w="795" w:type="dxa"/>
            <w:tcBorders>
              <w:top w:val="single" w:color="auto" w:sz="4" w:space="0"/>
              <w:left w:val="nil"/>
              <w:bottom w:val="single" w:color="auto" w:sz="4" w:space="0"/>
              <w:right w:val="single" w:color="auto" w:sz="4" w:space="0"/>
            </w:tcBorders>
            <w:noWrap w:val="0"/>
            <w:vAlign w:val="center"/>
          </w:tcPr>
          <w:p w14:paraId="7EAB1131">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45</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2CCF09AE">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套</w:t>
            </w:r>
          </w:p>
        </w:tc>
        <w:tc>
          <w:tcPr>
            <w:tcW w:w="1035" w:type="dxa"/>
            <w:tcBorders>
              <w:top w:val="single" w:color="auto" w:sz="4" w:space="0"/>
              <w:left w:val="nil"/>
              <w:bottom w:val="single" w:color="auto" w:sz="4" w:space="0"/>
              <w:right w:val="single" w:color="auto" w:sz="4" w:space="0"/>
            </w:tcBorders>
            <w:noWrap w:val="0"/>
            <w:vAlign w:val="center"/>
          </w:tcPr>
          <w:p w14:paraId="726828B7">
            <w:pPr>
              <w:spacing w:line="360" w:lineRule="auto"/>
              <w:jc w:val="center"/>
              <w:rPr>
                <w:rFonts w:hint="eastAsia" w:ascii="宋体" w:hAnsi="宋体" w:cs="宋体"/>
                <w:color w:val="auto"/>
                <w:sz w:val="28"/>
                <w:szCs w:val="28"/>
                <w:highlight w:val="none"/>
              </w:rPr>
            </w:pPr>
          </w:p>
        </w:tc>
        <w:tc>
          <w:tcPr>
            <w:tcW w:w="1166" w:type="dxa"/>
            <w:tcBorders>
              <w:top w:val="single" w:color="auto" w:sz="4" w:space="0"/>
              <w:left w:val="nil"/>
              <w:bottom w:val="single" w:color="auto" w:sz="4" w:space="0"/>
              <w:right w:val="single" w:color="auto" w:sz="4" w:space="0"/>
            </w:tcBorders>
            <w:noWrap w:val="0"/>
            <w:vAlign w:val="center"/>
          </w:tcPr>
          <w:p w14:paraId="5FC6BDF1">
            <w:pPr>
              <w:spacing w:line="360" w:lineRule="auto"/>
              <w:jc w:val="center"/>
              <w:rPr>
                <w:rFonts w:hint="eastAsia" w:ascii="宋体" w:hAnsi="宋体" w:cs="宋体"/>
                <w:color w:val="auto"/>
                <w:sz w:val="28"/>
                <w:szCs w:val="28"/>
                <w:highlight w:val="none"/>
              </w:rPr>
            </w:pPr>
          </w:p>
        </w:tc>
        <w:tc>
          <w:tcPr>
            <w:tcW w:w="1093" w:type="dxa"/>
            <w:tcBorders>
              <w:top w:val="single" w:color="auto" w:sz="4" w:space="0"/>
              <w:left w:val="nil"/>
              <w:bottom w:val="single" w:color="auto" w:sz="4" w:space="0"/>
              <w:right w:val="single" w:color="auto" w:sz="4" w:space="0"/>
            </w:tcBorders>
            <w:noWrap w:val="0"/>
            <w:vAlign w:val="center"/>
          </w:tcPr>
          <w:p w14:paraId="519FAAF9">
            <w:pPr>
              <w:spacing w:line="360" w:lineRule="auto"/>
              <w:jc w:val="center"/>
              <w:rPr>
                <w:rFonts w:hint="eastAsia" w:ascii="宋体" w:hAnsi="宋体" w:cs="宋体"/>
                <w:color w:val="auto"/>
                <w:sz w:val="28"/>
                <w:szCs w:val="28"/>
                <w:highlight w:val="none"/>
              </w:rPr>
            </w:pPr>
          </w:p>
        </w:tc>
        <w:tc>
          <w:tcPr>
            <w:tcW w:w="1108" w:type="dxa"/>
            <w:tcBorders>
              <w:top w:val="single" w:color="auto" w:sz="4" w:space="0"/>
              <w:left w:val="nil"/>
              <w:bottom w:val="single" w:color="auto" w:sz="4" w:space="0"/>
              <w:right w:val="single" w:color="auto" w:sz="4" w:space="0"/>
            </w:tcBorders>
            <w:noWrap w:val="0"/>
            <w:vAlign w:val="center"/>
          </w:tcPr>
          <w:p w14:paraId="67C2FC3A">
            <w:pPr>
              <w:spacing w:line="360" w:lineRule="auto"/>
              <w:jc w:val="center"/>
              <w:rPr>
                <w:rFonts w:hint="eastAsia" w:ascii="宋体" w:hAnsi="宋体" w:cs="宋体"/>
                <w:color w:val="auto"/>
                <w:sz w:val="28"/>
                <w:szCs w:val="28"/>
                <w:highlight w:val="none"/>
              </w:rPr>
            </w:pPr>
          </w:p>
        </w:tc>
        <w:tc>
          <w:tcPr>
            <w:tcW w:w="1297" w:type="dxa"/>
            <w:tcBorders>
              <w:top w:val="single" w:color="auto" w:sz="4" w:space="0"/>
              <w:left w:val="nil"/>
              <w:bottom w:val="single" w:color="auto" w:sz="4" w:space="0"/>
              <w:right w:val="single" w:color="auto" w:sz="4" w:space="0"/>
            </w:tcBorders>
            <w:noWrap w:val="0"/>
            <w:vAlign w:val="center"/>
          </w:tcPr>
          <w:p w14:paraId="24577BFD">
            <w:pPr>
              <w:spacing w:line="360" w:lineRule="auto"/>
              <w:jc w:val="center"/>
              <w:rPr>
                <w:rFonts w:hint="eastAsia" w:ascii="宋体" w:hAnsi="宋体" w:cs="宋体"/>
                <w:color w:val="auto"/>
                <w:sz w:val="28"/>
                <w:szCs w:val="28"/>
                <w:highlight w:val="none"/>
              </w:rPr>
            </w:pPr>
          </w:p>
        </w:tc>
      </w:tr>
      <w:tr w14:paraId="19AE9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jc w:val="center"/>
        </w:trPr>
        <w:tc>
          <w:tcPr>
            <w:tcW w:w="599" w:type="dxa"/>
            <w:tcBorders>
              <w:top w:val="single" w:color="auto" w:sz="4" w:space="0"/>
              <w:left w:val="single" w:color="auto" w:sz="4" w:space="0"/>
              <w:bottom w:val="single" w:color="auto" w:sz="4" w:space="0"/>
              <w:right w:val="single" w:color="auto" w:sz="4" w:space="0"/>
            </w:tcBorders>
            <w:noWrap w:val="0"/>
            <w:vAlign w:val="center"/>
          </w:tcPr>
          <w:p w14:paraId="253BC997">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18</w:t>
            </w:r>
          </w:p>
        </w:tc>
        <w:tc>
          <w:tcPr>
            <w:tcW w:w="1649" w:type="dxa"/>
            <w:tcBorders>
              <w:top w:val="single" w:color="auto" w:sz="4" w:space="0"/>
              <w:left w:val="nil"/>
              <w:bottom w:val="single" w:color="auto" w:sz="4" w:space="0"/>
              <w:right w:val="single" w:color="auto" w:sz="4" w:space="0"/>
            </w:tcBorders>
            <w:noWrap w:val="0"/>
            <w:vAlign w:val="center"/>
          </w:tcPr>
          <w:p w14:paraId="78EC8A6F">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AI分析学生端视频处理系统</w:t>
            </w:r>
          </w:p>
        </w:tc>
        <w:tc>
          <w:tcPr>
            <w:tcW w:w="795" w:type="dxa"/>
            <w:tcBorders>
              <w:top w:val="single" w:color="auto" w:sz="4" w:space="0"/>
              <w:left w:val="nil"/>
              <w:bottom w:val="single" w:color="auto" w:sz="4" w:space="0"/>
              <w:right w:val="single" w:color="auto" w:sz="4" w:space="0"/>
            </w:tcBorders>
            <w:noWrap w:val="0"/>
            <w:vAlign w:val="center"/>
          </w:tcPr>
          <w:p w14:paraId="1FCD7061">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45</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6DF0085B">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套</w:t>
            </w:r>
          </w:p>
        </w:tc>
        <w:tc>
          <w:tcPr>
            <w:tcW w:w="1035" w:type="dxa"/>
            <w:tcBorders>
              <w:top w:val="single" w:color="auto" w:sz="4" w:space="0"/>
              <w:left w:val="nil"/>
              <w:bottom w:val="single" w:color="auto" w:sz="4" w:space="0"/>
              <w:right w:val="single" w:color="auto" w:sz="4" w:space="0"/>
            </w:tcBorders>
            <w:noWrap w:val="0"/>
            <w:vAlign w:val="center"/>
          </w:tcPr>
          <w:p w14:paraId="20118177">
            <w:pPr>
              <w:spacing w:line="360" w:lineRule="auto"/>
              <w:jc w:val="center"/>
              <w:rPr>
                <w:rFonts w:hint="eastAsia" w:ascii="宋体" w:hAnsi="宋体" w:cs="宋体"/>
                <w:color w:val="auto"/>
                <w:sz w:val="28"/>
                <w:szCs w:val="28"/>
                <w:highlight w:val="none"/>
              </w:rPr>
            </w:pPr>
          </w:p>
        </w:tc>
        <w:tc>
          <w:tcPr>
            <w:tcW w:w="1166" w:type="dxa"/>
            <w:tcBorders>
              <w:top w:val="single" w:color="auto" w:sz="4" w:space="0"/>
              <w:left w:val="nil"/>
              <w:bottom w:val="single" w:color="auto" w:sz="4" w:space="0"/>
              <w:right w:val="single" w:color="auto" w:sz="4" w:space="0"/>
            </w:tcBorders>
            <w:noWrap w:val="0"/>
            <w:vAlign w:val="center"/>
          </w:tcPr>
          <w:p w14:paraId="7B40061F">
            <w:pPr>
              <w:spacing w:line="360" w:lineRule="auto"/>
              <w:jc w:val="center"/>
              <w:rPr>
                <w:rFonts w:hint="eastAsia" w:ascii="宋体" w:hAnsi="宋体" w:cs="宋体"/>
                <w:color w:val="auto"/>
                <w:sz w:val="28"/>
                <w:szCs w:val="28"/>
                <w:highlight w:val="none"/>
              </w:rPr>
            </w:pPr>
          </w:p>
        </w:tc>
        <w:tc>
          <w:tcPr>
            <w:tcW w:w="1093" w:type="dxa"/>
            <w:tcBorders>
              <w:top w:val="single" w:color="auto" w:sz="4" w:space="0"/>
              <w:left w:val="nil"/>
              <w:bottom w:val="single" w:color="auto" w:sz="4" w:space="0"/>
              <w:right w:val="single" w:color="auto" w:sz="4" w:space="0"/>
            </w:tcBorders>
            <w:noWrap w:val="0"/>
            <w:vAlign w:val="center"/>
          </w:tcPr>
          <w:p w14:paraId="17A2E5E4">
            <w:pPr>
              <w:spacing w:line="360" w:lineRule="auto"/>
              <w:jc w:val="center"/>
              <w:rPr>
                <w:rFonts w:hint="eastAsia" w:ascii="宋体" w:hAnsi="宋体" w:cs="宋体"/>
                <w:color w:val="auto"/>
                <w:sz w:val="28"/>
                <w:szCs w:val="28"/>
                <w:highlight w:val="none"/>
              </w:rPr>
            </w:pPr>
          </w:p>
        </w:tc>
        <w:tc>
          <w:tcPr>
            <w:tcW w:w="1108" w:type="dxa"/>
            <w:tcBorders>
              <w:top w:val="single" w:color="auto" w:sz="4" w:space="0"/>
              <w:left w:val="nil"/>
              <w:bottom w:val="single" w:color="auto" w:sz="4" w:space="0"/>
              <w:right w:val="single" w:color="auto" w:sz="4" w:space="0"/>
            </w:tcBorders>
            <w:noWrap w:val="0"/>
            <w:vAlign w:val="center"/>
          </w:tcPr>
          <w:p w14:paraId="263BBBC4">
            <w:pPr>
              <w:spacing w:line="360" w:lineRule="auto"/>
              <w:jc w:val="center"/>
              <w:rPr>
                <w:rFonts w:hint="eastAsia" w:ascii="宋体" w:hAnsi="宋体" w:cs="宋体"/>
                <w:color w:val="auto"/>
                <w:sz w:val="28"/>
                <w:szCs w:val="28"/>
                <w:highlight w:val="none"/>
              </w:rPr>
            </w:pPr>
          </w:p>
        </w:tc>
        <w:tc>
          <w:tcPr>
            <w:tcW w:w="1297" w:type="dxa"/>
            <w:tcBorders>
              <w:top w:val="single" w:color="auto" w:sz="4" w:space="0"/>
              <w:left w:val="nil"/>
              <w:bottom w:val="single" w:color="auto" w:sz="4" w:space="0"/>
              <w:right w:val="single" w:color="auto" w:sz="4" w:space="0"/>
            </w:tcBorders>
            <w:noWrap w:val="0"/>
            <w:vAlign w:val="center"/>
          </w:tcPr>
          <w:p w14:paraId="7D5611D4">
            <w:pPr>
              <w:spacing w:line="360" w:lineRule="auto"/>
              <w:jc w:val="center"/>
              <w:rPr>
                <w:rFonts w:hint="eastAsia" w:ascii="宋体" w:hAnsi="宋体" w:cs="宋体"/>
                <w:color w:val="auto"/>
                <w:sz w:val="28"/>
                <w:szCs w:val="28"/>
                <w:highlight w:val="none"/>
              </w:rPr>
            </w:pPr>
          </w:p>
        </w:tc>
      </w:tr>
      <w:tr w14:paraId="550A8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599" w:type="dxa"/>
            <w:tcBorders>
              <w:top w:val="single" w:color="auto" w:sz="4" w:space="0"/>
              <w:left w:val="single" w:color="auto" w:sz="4" w:space="0"/>
              <w:bottom w:val="single" w:color="auto" w:sz="4" w:space="0"/>
              <w:right w:val="single" w:color="auto" w:sz="4" w:space="0"/>
            </w:tcBorders>
            <w:noWrap w:val="0"/>
            <w:vAlign w:val="center"/>
          </w:tcPr>
          <w:p w14:paraId="5FB64ED5">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19</w:t>
            </w:r>
          </w:p>
        </w:tc>
        <w:tc>
          <w:tcPr>
            <w:tcW w:w="1649" w:type="dxa"/>
            <w:tcBorders>
              <w:top w:val="single" w:color="auto" w:sz="4" w:space="0"/>
              <w:left w:val="nil"/>
              <w:bottom w:val="single" w:color="auto" w:sz="4" w:space="0"/>
              <w:right w:val="single" w:color="auto" w:sz="4" w:space="0"/>
            </w:tcBorders>
            <w:noWrap w:val="0"/>
            <w:vAlign w:val="center"/>
          </w:tcPr>
          <w:p w14:paraId="1A7B4F4B">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AI分析声音采集前端处理系统</w:t>
            </w:r>
          </w:p>
        </w:tc>
        <w:tc>
          <w:tcPr>
            <w:tcW w:w="795" w:type="dxa"/>
            <w:tcBorders>
              <w:top w:val="single" w:color="auto" w:sz="4" w:space="0"/>
              <w:left w:val="nil"/>
              <w:bottom w:val="single" w:color="auto" w:sz="4" w:space="0"/>
              <w:right w:val="single" w:color="auto" w:sz="4" w:space="0"/>
            </w:tcBorders>
            <w:noWrap w:val="0"/>
            <w:vAlign w:val="center"/>
          </w:tcPr>
          <w:p w14:paraId="4BD1C2F8">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58</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4163C0B3">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套</w:t>
            </w:r>
          </w:p>
        </w:tc>
        <w:tc>
          <w:tcPr>
            <w:tcW w:w="1035" w:type="dxa"/>
            <w:tcBorders>
              <w:top w:val="single" w:color="auto" w:sz="4" w:space="0"/>
              <w:left w:val="nil"/>
              <w:bottom w:val="single" w:color="auto" w:sz="4" w:space="0"/>
              <w:right w:val="single" w:color="auto" w:sz="4" w:space="0"/>
            </w:tcBorders>
            <w:noWrap w:val="0"/>
            <w:vAlign w:val="center"/>
          </w:tcPr>
          <w:p w14:paraId="4B4AEBDA">
            <w:pPr>
              <w:spacing w:line="360" w:lineRule="auto"/>
              <w:jc w:val="center"/>
              <w:rPr>
                <w:rFonts w:hint="eastAsia" w:ascii="宋体" w:hAnsi="宋体" w:cs="宋体"/>
                <w:color w:val="auto"/>
                <w:sz w:val="28"/>
                <w:szCs w:val="28"/>
                <w:highlight w:val="none"/>
              </w:rPr>
            </w:pPr>
          </w:p>
        </w:tc>
        <w:tc>
          <w:tcPr>
            <w:tcW w:w="1166" w:type="dxa"/>
            <w:tcBorders>
              <w:top w:val="single" w:color="auto" w:sz="4" w:space="0"/>
              <w:left w:val="nil"/>
              <w:bottom w:val="single" w:color="auto" w:sz="4" w:space="0"/>
              <w:right w:val="single" w:color="auto" w:sz="4" w:space="0"/>
            </w:tcBorders>
            <w:noWrap w:val="0"/>
            <w:vAlign w:val="center"/>
          </w:tcPr>
          <w:p w14:paraId="57EF0AD7">
            <w:pPr>
              <w:spacing w:line="360" w:lineRule="auto"/>
              <w:jc w:val="center"/>
              <w:rPr>
                <w:rFonts w:hint="eastAsia" w:ascii="宋体" w:hAnsi="宋体" w:cs="宋体"/>
                <w:color w:val="auto"/>
                <w:sz w:val="28"/>
                <w:szCs w:val="28"/>
                <w:highlight w:val="none"/>
              </w:rPr>
            </w:pPr>
          </w:p>
        </w:tc>
        <w:tc>
          <w:tcPr>
            <w:tcW w:w="1093" w:type="dxa"/>
            <w:tcBorders>
              <w:top w:val="single" w:color="auto" w:sz="4" w:space="0"/>
              <w:left w:val="nil"/>
              <w:bottom w:val="single" w:color="auto" w:sz="4" w:space="0"/>
              <w:right w:val="single" w:color="auto" w:sz="4" w:space="0"/>
            </w:tcBorders>
            <w:noWrap w:val="0"/>
            <w:vAlign w:val="center"/>
          </w:tcPr>
          <w:p w14:paraId="12BE0DFF">
            <w:pPr>
              <w:spacing w:line="360" w:lineRule="auto"/>
              <w:jc w:val="center"/>
              <w:rPr>
                <w:rFonts w:hint="eastAsia" w:ascii="宋体" w:hAnsi="宋体" w:cs="宋体"/>
                <w:color w:val="auto"/>
                <w:sz w:val="28"/>
                <w:szCs w:val="28"/>
                <w:highlight w:val="none"/>
              </w:rPr>
            </w:pPr>
          </w:p>
        </w:tc>
        <w:tc>
          <w:tcPr>
            <w:tcW w:w="1108" w:type="dxa"/>
            <w:tcBorders>
              <w:top w:val="single" w:color="auto" w:sz="4" w:space="0"/>
              <w:left w:val="nil"/>
              <w:bottom w:val="single" w:color="auto" w:sz="4" w:space="0"/>
              <w:right w:val="single" w:color="auto" w:sz="4" w:space="0"/>
            </w:tcBorders>
            <w:noWrap w:val="0"/>
            <w:vAlign w:val="center"/>
          </w:tcPr>
          <w:p w14:paraId="580A9585">
            <w:pPr>
              <w:spacing w:line="360" w:lineRule="auto"/>
              <w:jc w:val="center"/>
              <w:rPr>
                <w:rFonts w:hint="eastAsia" w:ascii="宋体" w:hAnsi="宋体" w:cs="宋体"/>
                <w:color w:val="auto"/>
                <w:sz w:val="28"/>
                <w:szCs w:val="28"/>
                <w:highlight w:val="none"/>
              </w:rPr>
            </w:pPr>
          </w:p>
        </w:tc>
        <w:tc>
          <w:tcPr>
            <w:tcW w:w="1297" w:type="dxa"/>
            <w:tcBorders>
              <w:top w:val="single" w:color="auto" w:sz="4" w:space="0"/>
              <w:left w:val="nil"/>
              <w:bottom w:val="single" w:color="auto" w:sz="4" w:space="0"/>
              <w:right w:val="single" w:color="auto" w:sz="4" w:space="0"/>
            </w:tcBorders>
            <w:noWrap w:val="0"/>
            <w:vAlign w:val="center"/>
          </w:tcPr>
          <w:p w14:paraId="2527FEA2">
            <w:pPr>
              <w:spacing w:line="360" w:lineRule="auto"/>
              <w:jc w:val="center"/>
              <w:rPr>
                <w:rFonts w:hint="eastAsia" w:ascii="宋体" w:hAnsi="宋体" w:cs="宋体"/>
                <w:color w:val="auto"/>
                <w:sz w:val="28"/>
                <w:szCs w:val="28"/>
                <w:highlight w:val="none"/>
              </w:rPr>
            </w:pPr>
          </w:p>
        </w:tc>
      </w:tr>
      <w:tr w14:paraId="1B2DD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599" w:type="dxa"/>
            <w:tcBorders>
              <w:top w:val="single" w:color="auto" w:sz="4" w:space="0"/>
              <w:left w:val="single" w:color="auto" w:sz="4" w:space="0"/>
              <w:bottom w:val="single" w:color="auto" w:sz="4" w:space="0"/>
              <w:right w:val="single" w:color="auto" w:sz="4" w:space="0"/>
            </w:tcBorders>
            <w:noWrap w:val="0"/>
            <w:vAlign w:val="center"/>
          </w:tcPr>
          <w:p w14:paraId="7F1201EF">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20</w:t>
            </w:r>
          </w:p>
        </w:tc>
        <w:tc>
          <w:tcPr>
            <w:tcW w:w="1649" w:type="dxa"/>
            <w:tcBorders>
              <w:top w:val="single" w:color="auto" w:sz="4" w:space="0"/>
              <w:left w:val="nil"/>
              <w:bottom w:val="single" w:color="auto" w:sz="4" w:space="0"/>
              <w:right w:val="single" w:color="auto" w:sz="4" w:space="0"/>
            </w:tcBorders>
            <w:noWrap w:val="0"/>
            <w:vAlign w:val="center"/>
          </w:tcPr>
          <w:p w14:paraId="78DAFD74">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教学质量管理平台</w:t>
            </w:r>
          </w:p>
        </w:tc>
        <w:tc>
          <w:tcPr>
            <w:tcW w:w="795" w:type="dxa"/>
            <w:tcBorders>
              <w:top w:val="single" w:color="auto" w:sz="4" w:space="0"/>
              <w:left w:val="nil"/>
              <w:bottom w:val="single" w:color="auto" w:sz="4" w:space="0"/>
              <w:right w:val="single" w:color="auto" w:sz="4" w:space="0"/>
            </w:tcBorders>
            <w:noWrap w:val="0"/>
            <w:vAlign w:val="center"/>
          </w:tcPr>
          <w:p w14:paraId="37A1EF0F">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1</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78AD94F4">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套</w:t>
            </w:r>
          </w:p>
        </w:tc>
        <w:tc>
          <w:tcPr>
            <w:tcW w:w="1035" w:type="dxa"/>
            <w:tcBorders>
              <w:top w:val="single" w:color="auto" w:sz="4" w:space="0"/>
              <w:left w:val="nil"/>
              <w:bottom w:val="single" w:color="auto" w:sz="4" w:space="0"/>
              <w:right w:val="single" w:color="auto" w:sz="4" w:space="0"/>
            </w:tcBorders>
            <w:noWrap w:val="0"/>
            <w:vAlign w:val="center"/>
          </w:tcPr>
          <w:p w14:paraId="1FCB85CB">
            <w:pPr>
              <w:spacing w:line="360" w:lineRule="auto"/>
              <w:jc w:val="center"/>
              <w:rPr>
                <w:rFonts w:hint="eastAsia" w:ascii="宋体" w:hAnsi="宋体" w:cs="宋体"/>
                <w:color w:val="auto"/>
                <w:sz w:val="28"/>
                <w:szCs w:val="28"/>
                <w:highlight w:val="none"/>
              </w:rPr>
            </w:pPr>
          </w:p>
        </w:tc>
        <w:tc>
          <w:tcPr>
            <w:tcW w:w="1166" w:type="dxa"/>
            <w:tcBorders>
              <w:top w:val="single" w:color="auto" w:sz="4" w:space="0"/>
              <w:left w:val="nil"/>
              <w:bottom w:val="single" w:color="auto" w:sz="4" w:space="0"/>
              <w:right w:val="single" w:color="auto" w:sz="4" w:space="0"/>
            </w:tcBorders>
            <w:noWrap w:val="0"/>
            <w:vAlign w:val="center"/>
          </w:tcPr>
          <w:p w14:paraId="354E87EA">
            <w:pPr>
              <w:spacing w:line="360" w:lineRule="auto"/>
              <w:jc w:val="center"/>
              <w:rPr>
                <w:rFonts w:hint="eastAsia" w:ascii="宋体" w:hAnsi="宋体" w:cs="宋体"/>
                <w:color w:val="auto"/>
                <w:sz w:val="28"/>
                <w:szCs w:val="28"/>
                <w:highlight w:val="none"/>
              </w:rPr>
            </w:pPr>
          </w:p>
        </w:tc>
        <w:tc>
          <w:tcPr>
            <w:tcW w:w="1093" w:type="dxa"/>
            <w:tcBorders>
              <w:top w:val="single" w:color="auto" w:sz="4" w:space="0"/>
              <w:left w:val="nil"/>
              <w:bottom w:val="single" w:color="auto" w:sz="4" w:space="0"/>
              <w:right w:val="single" w:color="auto" w:sz="4" w:space="0"/>
            </w:tcBorders>
            <w:noWrap w:val="0"/>
            <w:vAlign w:val="center"/>
          </w:tcPr>
          <w:p w14:paraId="55C9AE0F">
            <w:pPr>
              <w:spacing w:line="360" w:lineRule="auto"/>
              <w:jc w:val="center"/>
              <w:rPr>
                <w:rFonts w:hint="eastAsia" w:ascii="宋体" w:hAnsi="宋体" w:cs="宋体"/>
                <w:color w:val="auto"/>
                <w:sz w:val="28"/>
                <w:szCs w:val="28"/>
                <w:highlight w:val="none"/>
              </w:rPr>
            </w:pPr>
          </w:p>
        </w:tc>
        <w:tc>
          <w:tcPr>
            <w:tcW w:w="1108" w:type="dxa"/>
            <w:tcBorders>
              <w:top w:val="single" w:color="auto" w:sz="4" w:space="0"/>
              <w:left w:val="nil"/>
              <w:bottom w:val="single" w:color="auto" w:sz="4" w:space="0"/>
              <w:right w:val="single" w:color="auto" w:sz="4" w:space="0"/>
            </w:tcBorders>
            <w:noWrap w:val="0"/>
            <w:vAlign w:val="center"/>
          </w:tcPr>
          <w:p w14:paraId="4F2AACB6">
            <w:pPr>
              <w:spacing w:line="360" w:lineRule="auto"/>
              <w:jc w:val="center"/>
              <w:rPr>
                <w:rFonts w:hint="eastAsia" w:ascii="宋体" w:hAnsi="宋体" w:cs="宋体"/>
                <w:color w:val="auto"/>
                <w:sz w:val="28"/>
                <w:szCs w:val="28"/>
                <w:highlight w:val="none"/>
              </w:rPr>
            </w:pPr>
          </w:p>
        </w:tc>
        <w:tc>
          <w:tcPr>
            <w:tcW w:w="1297" w:type="dxa"/>
            <w:tcBorders>
              <w:top w:val="single" w:color="auto" w:sz="4" w:space="0"/>
              <w:left w:val="nil"/>
              <w:bottom w:val="single" w:color="auto" w:sz="4" w:space="0"/>
              <w:right w:val="single" w:color="auto" w:sz="4" w:space="0"/>
            </w:tcBorders>
            <w:noWrap w:val="0"/>
            <w:vAlign w:val="center"/>
          </w:tcPr>
          <w:p w14:paraId="72074615">
            <w:pPr>
              <w:spacing w:line="360" w:lineRule="auto"/>
              <w:jc w:val="center"/>
              <w:rPr>
                <w:rFonts w:hint="eastAsia" w:ascii="宋体" w:hAnsi="宋体" w:cs="宋体"/>
                <w:color w:val="auto"/>
                <w:sz w:val="28"/>
                <w:szCs w:val="28"/>
                <w:highlight w:val="none"/>
              </w:rPr>
            </w:pPr>
          </w:p>
        </w:tc>
      </w:tr>
      <w:tr w14:paraId="133AD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jc w:val="center"/>
        </w:trPr>
        <w:tc>
          <w:tcPr>
            <w:tcW w:w="599" w:type="dxa"/>
            <w:tcBorders>
              <w:top w:val="single" w:color="auto" w:sz="4" w:space="0"/>
              <w:left w:val="single" w:color="auto" w:sz="4" w:space="0"/>
              <w:bottom w:val="single" w:color="auto" w:sz="4" w:space="0"/>
              <w:right w:val="single" w:color="auto" w:sz="4" w:space="0"/>
            </w:tcBorders>
            <w:noWrap w:val="0"/>
            <w:vAlign w:val="center"/>
          </w:tcPr>
          <w:p w14:paraId="58B9859B">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21</w:t>
            </w:r>
          </w:p>
        </w:tc>
        <w:tc>
          <w:tcPr>
            <w:tcW w:w="1649" w:type="dxa"/>
            <w:tcBorders>
              <w:top w:val="single" w:color="auto" w:sz="4" w:space="0"/>
              <w:left w:val="nil"/>
              <w:bottom w:val="single" w:color="auto" w:sz="4" w:space="0"/>
              <w:right w:val="single" w:color="auto" w:sz="4" w:space="0"/>
            </w:tcBorders>
            <w:noWrap w:val="0"/>
            <w:vAlign w:val="center"/>
          </w:tcPr>
          <w:p w14:paraId="252F7109">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AI教学评价系统</w:t>
            </w:r>
          </w:p>
        </w:tc>
        <w:tc>
          <w:tcPr>
            <w:tcW w:w="795" w:type="dxa"/>
            <w:tcBorders>
              <w:top w:val="single" w:color="auto" w:sz="4" w:space="0"/>
              <w:left w:val="nil"/>
              <w:bottom w:val="single" w:color="auto" w:sz="4" w:space="0"/>
              <w:right w:val="single" w:color="auto" w:sz="4" w:space="0"/>
            </w:tcBorders>
            <w:noWrap w:val="0"/>
            <w:vAlign w:val="center"/>
          </w:tcPr>
          <w:p w14:paraId="0B35874B">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1</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6D1FB6D9">
            <w:pPr>
              <w:widowControl/>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套</w:t>
            </w:r>
          </w:p>
        </w:tc>
        <w:tc>
          <w:tcPr>
            <w:tcW w:w="1035" w:type="dxa"/>
            <w:tcBorders>
              <w:top w:val="single" w:color="auto" w:sz="4" w:space="0"/>
              <w:left w:val="nil"/>
              <w:bottom w:val="single" w:color="auto" w:sz="4" w:space="0"/>
              <w:right w:val="single" w:color="auto" w:sz="4" w:space="0"/>
            </w:tcBorders>
            <w:noWrap w:val="0"/>
            <w:vAlign w:val="center"/>
          </w:tcPr>
          <w:p w14:paraId="0445FD10">
            <w:pPr>
              <w:spacing w:line="360" w:lineRule="auto"/>
              <w:jc w:val="center"/>
              <w:rPr>
                <w:rFonts w:hint="eastAsia" w:ascii="宋体" w:hAnsi="宋体" w:cs="宋体"/>
                <w:color w:val="auto"/>
                <w:sz w:val="28"/>
                <w:szCs w:val="28"/>
                <w:highlight w:val="none"/>
              </w:rPr>
            </w:pPr>
          </w:p>
        </w:tc>
        <w:tc>
          <w:tcPr>
            <w:tcW w:w="1166" w:type="dxa"/>
            <w:tcBorders>
              <w:top w:val="single" w:color="auto" w:sz="4" w:space="0"/>
              <w:left w:val="nil"/>
              <w:bottom w:val="single" w:color="auto" w:sz="4" w:space="0"/>
              <w:right w:val="single" w:color="auto" w:sz="4" w:space="0"/>
            </w:tcBorders>
            <w:noWrap w:val="0"/>
            <w:vAlign w:val="center"/>
          </w:tcPr>
          <w:p w14:paraId="767EF835">
            <w:pPr>
              <w:spacing w:line="360" w:lineRule="auto"/>
              <w:jc w:val="center"/>
              <w:rPr>
                <w:rFonts w:hint="eastAsia" w:ascii="宋体" w:hAnsi="宋体" w:cs="宋体"/>
                <w:color w:val="auto"/>
                <w:sz w:val="28"/>
                <w:szCs w:val="28"/>
                <w:highlight w:val="none"/>
              </w:rPr>
            </w:pPr>
          </w:p>
        </w:tc>
        <w:tc>
          <w:tcPr>
            <w:tcW w:w="1093" w:type="dxa"/>
            <w:tcBorders>
              <w:top w:val="single" w:color="auto" w:sz="4" w:space="0"/>
              <w:left w:val="nil"/>
              <w:bottom w:val="single" w:color="auto" w:sz="4" w:space="0"/>
              <w:right w:val="single" w:color="auto" w:sz="4" w:space="0"/>
            </w:tcBorders>
            <w:noWrap w:val="0"/>
            <w:vAlign w:val="center"/>
          </w:tcPr>
          <w:p w14:paraId="2E1AB9F0">
            <w:pPr>
              <w:spacing w:line="360" w:lineRule="auto"/>
              <w:jc w:val="center"/>
              <w:rPr>
                <w:rFonts w:hint="eastAsia" w:ascii="宋体" w:hAnsi="宋体" w:cs="宋体"/>
                <w:color w:val="auto"/>
                <w:sz w:val="28"/>
                <w:szCs w:val="28"/>
                <w:highlight w:val="none"/>
              </w:rPr>
            </w:pPr>
          </w:p>
        </w:tc>
        <w:tc>
          <w:tcPr>
            <w:tcW w:w="1108" w:type="dxa"/>
            <w:tcBorders>
              <w:top w:val="single" w:color="auto" w:sz="4" w:space="0"/>
              <w:left w:val="nil"/>
              <w:bottom w:val="single" w:color="auto" w:sz="4" w:space="0"/>
              <w:right w:val="single" w:color="auto" w:sz="4" w:space="0"/>
            </w:tcBorders>
            <w:noWrap w:val="0"/>
            <w:vAlign w:val="center"/>
          </w:tcPr>
          <w:p w14:paraId="653913DB">
            <w:pPr>
              <w:spacing w:line="360" w:lineRule="auto"/>
              <w:jc w:val="center"/>
              <w:rPr>
                <w:rFonts w:hint="eastAsia" w:ascii="宋体" w:hAnsi="宋体" w:cs="宋体"/>
                <w:color w:val="auto"/>
                <w:sz w:val="28"/>
                <w:szCs w:val="28"/>
                <w:highlight w:val="none"/>
              </w:rPr>
            </w:pPr>
          </w:p>
        </w:tc>
        <w:tc>
          <w:tcPr>
            <w:tcW w:w="1297" w:type="dxa"/>
            <w:tcBorders>
              <w:top w:val="single" w:color="auto" w:sz="4" w:space="0"/>
              <w:left w:val="nil"/>
              <w:bottom w:val="single" w:color="auto" w:sz="4" w:space="0"/>
              <w:right w:val="single" w:color="auto" w:sz="4" w:space="0"/>
            </w:tcBorders>
            <w:noWrap w:val="0"/>
            <w:vAlign w:val="center"/>
          </w:tcPr>
          <w:p w14:paraId="13D5A4E7">
            <w:pPr>
              <w:spacing w:line="360" w:lineRule="auto"/>
              <w:jc w:val="center"/>
              <w:rPr>
                <w:rFonts w:hint="eastAsia" w:ascii="宋体" w:hAnsi="宋体" w:cs="宋体"/>
                <w:color w:val="auto"/>
                <w:sz w:val="28"/>
                <w:szCs w:val="28"/>
                <w:highlight w:val="none"/>
              </w:rPr>
            </w:pPr>
          </w:p>
        </w:tc>
      </w:tr>
      <w:tr w14:paraId="390E2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599" w:type="dxa"/>
            <w:tcBorders>
              <w:top w:val="single" w:color="auto" w:sz="4" w:space="0"/>
              <w:left w:val="single" w:color="auto" w:sz="4" w:space="0"/>
              <w:bottom w:val="single" w:color="auto" w:sz="4" w:space="0"/>
              <w:right w:val="single" w:color="auto" w:sz="4" w:space="0"/>
            </w:tcBorders>
            <w:noWrap w:val="0"/>
            <w:vAlign w:val="center"/>
          </w:tcPr>
          <w:p w14:paraId="7897A68A">
            <w:pPr>
              <w:widowControl/>
              <w:jc w:val="center"/>
              <w:rPr>
                <w:rFonts w:hint="default"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22</w:t>
            </w:r>
          </w:p>
        </w:tc>
        <w:tc>
          <w:tcPr>
            <w:tcW w:w="1649" w:type="dxa"/>
            <w:tcBorders>
              <w:top w:val="single" w:color="auto" w:sz="4" w:space="0"/>
              <w:left w:val="nil"/>
              <w:bottom w:val="single" w:color="auto" w:sz="4" w:space="0"/>
              <w:right w:val="single" w:color="auto" w:sz="4" w:space="0"/>
            </w:tcBorders>
            <w:noWrap w:val="0"/>
            <w:vAlign w:val="center"/>
          </w:tcPr>
          <w:p w14:paraId="24043677">
            <w:pPr>
              <w:widowControl/>
              <w:jc w:val="center"/>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系统集成对接服务</w:t>
            </w:r>
          </w:p>
        </w:tc>
        <w:tc>
          <w:tcPr>
            <w:tcW w:w="795" w:type="dxa"/>
            <w:tcBorders>
              <w:top w:val="single" w:color="auto" w:sz="4" w:space="0"/>
              <w:left w:val="nil"/>
              <w:bottom w:val="single" w:color="auto" w:sz="4" w:space="0"/>
              <w:right w:val="single" w:color="auto" w:sz="4" w:space="0"/>
            </w:tcBorders>
            <w:noWrap w:val="0"/>
            <w:vAlign w:val="center"/>
          </w:tcPr>
          <w:p w14:paraId="0739E171">
            <w:pPr>
              <w:widowControl/>
              <w:jc w:val="center"/>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1</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15EA90A4">
            <w:pPr>
              <w:widowControl/>
              <w:jc w:val="center"/>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套</w:t>
            </w:r>
          </w:p>
        </w:tc>
        <w:tc>
          <w:tcPr>
            <w:tcW w:w="1035" w:type="dxa"/>
            <w:tcBorders>
              <w:top w:val="single" w:color="auto" w:sz="4" w:space="0"/>
              <w:left w:val="nil"/>
              <w:bottom w:val="single" w:color="auto" w:sz="4" w:space="0"/>
              <w:right w:val="single" w:color="auto" w:sz="4" w:space="0"/>
            </w:tcBorders>
            <w:noWrap w:val="0"/>
            <w:vAlign w:val="center"/>
          </w:tcPr>
          <w:p w14:paraId="2936A401">
            <w:pPr>
              <w:spacing w:line="360" w:lineRule="auto"/>
              <w:jc w:val="center"/>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w:t>
            </w:r>
          </w:p>
        </w:tc>
        <w:tc>
          <w:tcPr>
            <w:tcW w:w="1166" w:type="dxa"/>
            <w:tcBorders>
              <w:top w:val="single" w:color="auto" w:sz="4" w:space="0"/>
              <w:left w:val="nil"/>
              <w:bottom w:val="single" w:color="auto" w:sz="4" w:space="0"/>
              <w:right w:val="single" w:color="auto" w:sz="4" w:space="0"/>
            </w:tcBorders>
            <w:noWrap w:val="0"/>
            <w:vAlign w:val="center"/>
          </w:tcPr>
          <w:p w14:paraId="5734F181">
            <w:pPr>
              <w:spacing w:line="360" w:lineRule="auto"/>
              <w:jc w:val="center"/>
              <w:rPr>
                <w:rFonts w:hint="eastAsia" w:ascii="宋体" w:hAnsi="宋体" w:cs="宋体"/>
                <w:color w:val="auto"/>
                <w:sz w:val="28"/>
                <w:szCs w:val="28"/>
                <w:highlight w:val="none"/>
              </w:rPr>
            </w:pPr>
          </w:p>
        </w:tc>
        <w:tc>
          <w:tcPr>
            <w:tcW w:w="1093" w:type="dxa"/>
            <w:tcBorders>
              <w:top w:val="single" w:color="auto" w:sz="4" w:space="0"/>
              <w:left w:val="nil"/>
              <w:bottom w:val="single" w:color="auto" w:sz="4" w:space="0"/>
              <w:right w:val="single" w:color="auto" w:sz="4" w:space="0"/>
            </w:tcBorders>
            <w:noWrap w:val="0"/>
            <w:vAlign w:val="center"/>
          </w:tcPr>
          <w:p w14:paraId="2D7D354D">
            <w:pPr>
              <w:spacing w:line="360" w:lineRule="auto"/>
              <w:jc w:val="center"/>
              <w:rPr>
                <w:rFonts w:hint="eastAsia" w:ascii="宋体" w:hAnsi="宋体" w:cs="宋体"/>
                <w:color w:val="auto"/>
                <w:sz w:val="28"/>
                <w:szCs w:val="28"/>
                <w:highlight w:val="none"/>
              </w:rPr>
            </w:pPr>
          </w:p>
        </w:tc>
        <w:tc>
          <w:tcPr>
            <w:tcW w:w="1108" w:type="dxa"/>
            <w:tcBorders>
              <w:top w:val="single" w:color="auto" w:sz="4" w:space="0"/>
              <w:left w:val="nil"/>
              <w:bottom w:val="single" w:color="auto" w:sz="4" w:space="0"/>
              <w:right w:val="single" w:color="auto" w:sz="4" w:space="0"/>
            </w:tcBorders>
            <w:noWrap w:val="0"/>
            <w:vAlign w:val="center"/>
          </w:tcPr>
          <w:p w14:paraId="51F0AEAB">
            <w:pPr>
              <w:spacing w:line="360" w:lineRule="auto"/>
              <w:jc w:val="center"/>
              <w:rPr>
                <w:rFonts w:hint="eastAsia" w:ascii="宋体" w:hAnsi="宋体" w:cs="宋体"/>
                <w:color w:val="auto"/>
                <w:sz w:val="28"/>
                <w:szCs w:val="28"/>
                <w:highlight w:val="none"/>
              </w:rPr>
            </w:pPr>
          </w:p>
        </w:tc>
        <w:tc>
          <w:tcPr>
            <w:tcW w:w="1297" w:type="dxa"/>
            <w:tcBorders>
              <w:top w:val="single" w:color="auto" w:sz="4" w:space="0"/>
              <w:left w:val="nil"/>
              <w:bottom w:val="single" w:color="auto" w:sz="4" w:space="0"/>
              <w:right w:val="single" w:color="auto" w:sz="4" w:space="0"/>
            </w:tcBorders>
            <w:noWrap w:val="0"/>
            <w:vAlign w:val="center"/>
          </w:tcPr>
          <w:p w14:paraId="7C8BF686">
            <w:pPr>
              <w:spacing w:line="360" w:lineRule="auto"/>
              <w:jc w:val="center"/>
              <w:rPr>
                <w:rFonts w:hint="eastAsia" w:ascii="宋体" w:hAnsi="宋体" w:cs="宋体"/>
                <w:color w:val="auto"/>
                <w:sz w:val="28"/>
                <w:szCs w:val="28"/>
                <w:highlight w:val="none"/>
              </w:rPr>
            </w:pPr>
          </w:p>
        </w:tc>
      </w:tr>
      <w:tr w14:paraId="6720A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599" w:type="dxa"/>
            <w:tcBorders>
              <w:top w:val="single" w:color="auto" w:sz="4" w:space="0"/>
              <w:left w:val="single" w:color="auto" w:sz="4" w:space="0"/>
              <w:bottom w:val="single" w:color="auto" w:sz="4" w:space="0"/>
              <w:right w:val="single" w:color="auto" w:sz="4" w:space="0"/>
            </w:tcBorders>
            <w:noWrap w:val="0"/>
            <w:vAlign w:val="center"/>
          </w:tcPr>
          <w:p w14:paraId="6F8C3222">
            <w:pPr>
              <w:widowControl/>
              <w:jc w:val="center"/>
              <w:rPr>
                <w:rFonts w:hint="default"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23</w:t>
            </w:r>
          </w:p>
        </w:tc>
        <w:tc>
          <w:tcPr>
            <w:tcW w:w="1649" w:type="dxa"/>
            <w:tcBorders>
              <w:top w:val="single" w:color="auto" w:sz="4" w:space="0"/>
              <w:left w:val="nil"/>
              <w:bottom w:val="single" w:color="auto" w:sz="4" w:space="0"/>
              <w:right w:val="single" w:color="auto" w:sz="4" w:space="0"/>
            </w:tcBorders>
            <w:noWrap w:val="0"/>
            <w:vAlign w:val="center"/>
          </w:tcPr>
          <w:p w14:paraId="33D5C914">
            <w:pPr>
              <w:widowControl/>
              <w:jc w:val="center"/>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施工及辅材</w:t>
            </w:r>
          </w:p>
        </w:tc>
        <w:tc>
          <w:tcPr>
            <w:tcW w:w="795" w:type="dxa"/>
            <w:tcBorders>
              <w:top w:val="single" w:color="auto" w:sz="4" w:space="0"/>
              <w:left w:val="nil"/>
              <w:bottom w:val="single" w:color="auto" w:sz="4" w:space="0"/>
              <w:right w:val="single" w:color="auto" w:sz="4" w:space="0"/>
            </w:tcBorders>
            <w:noWrap w:val="0"/>
            <w:vAlign w:val="center"/>
          </w:tcPr>
          <w:p w14:paraId="541E3C58">
            <w:pPr>
              <w:widowControl/>
              <w:jc w:val="center"/>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1</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5537491B">
            <w:pPr>
              <w:widowControl/>
              <w:jc w:val="center"/>
              <w:rPr>
                <w:rFonts w:hint="eastAsia" w:ascii="宋体" w:hAnsi="宋体" w:eastAsia="宋体" w:cs="宋体"/>
                <w:color w:val="auto"/>
                <w:sz w:val="28"/>
                <w:szCs w:val="28"/>
                <w:highlight w:val="none"/>
                <w:lang w:eastAsia="zh-CN" w:bidi="ar"/>
              </w:rPr>
            </w:pPr>
            <w:r>
              <w:rPr>
                <w:rFonts w:hint="eastAsia" w:ascii="宋体" w:hAnsi="宋体" w:cs="宋体"/>
                <w:color w:val="auto"/>
                <w:sz w:val="28"/>
                <w:szCs w:val="28"/>
                <w:highlight w:val="none"/>
                <w:lang w:val="en-US" w:eastAsia="zh-CN" w:bidi="ar"/>
              </w:rPr>
              <w:t>项</w:t>
            </w:r>
          </w:p>
        </w:tc>
        <w:tc>
          <w:tcPr>
            <w:tcW w:w="1035" w:type="dxa"/>
            <w:tcBorders>
              <w:top w:val="single" w:color="auto" w:sz="4" w:space="0"/>
              <w:left w:val="nil"/>
              <w:bottom w:val="single" w:color="auto" w:sz="4" w:space="0"/>
              <w:right w:val="single" w:color="auto" w:sz="4" w:space="0"/>
            </w:tcBorders>
            <w:noWrap w:val="0"/>
            <w:vAlign w:val="center"/>
          </w:tcPr>
          <w:p w14:paraId="1A36BA9F">
            <w:pPr>
              <w:spacing w:line="360" w:lineRule="auto"/>
              <w:jc w:val="center"/>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w:t>
            </w:r>
          </w:p>
        </w:tc>
        <w:tc>
          <w:tcPr>
            <w:tcW w:w="1166" w:type="dxa"/>
            <w:tcBorders>
              <w:top w:val="single" w:color="auto" w:sz="4" w:space="0"/>
              <w:left w:val="nil"/>
              <w:bottom w:val="single" w:color="auto" w:sz="4" w:space="0"/>
              <w:right w:val="single" w:color="auto" w:sz="4" w:space="0"/>
            </w:tcBorders>
            <w:noWrap w:val="0"/>
            <w:vAlign w:val="center"/>
          </w:tcPr>
          <w:p w14:paraId="78738316">
            <w:pPr>
              <w:spacing w:line="360" w:lineRule="auto"/>
              <w:jc w:val="center"/>
              <w:rPr>
                <w:rFonts w:hint="eastAsia" w:ascii="宋体" w:hAnsi="宋体" w:cs="宋体"/>
                <w:color w:val="auto"/>
                <w:sz w:val="28"/>
                <w:szCs w:val="28"/>
                <w:highlight w:val="none"/>
              </w:rPr>
            </w:pPr>
          </w:p>
        </w:tc>
        <w:tc>
          <w:tcPr>
            <w:tcW w:w="1093" w:type="dxa"/>
            <w:tcBorders>
              <w:top w:val="single" w:color="auto" w:sz="4" w:space="0"/>
              <w:left w:val="nil"/>
              <w:bottom w:val="single" w:color="auto" w:sz="4" w:space="0"/>
              <w:right w:val="single" w:color="auto" w:sz="4" w:space="0"/>
            </w:tcBorders>
            <w:noWrap w:val="0"/>
            <w:vAlign w:val="center"/>
          </w:tcPr>
          <w:p w14:paraId="6B260EB3">
            <w:pPr>
              <w:spacing w:line="360" w:lineRule="auto"/>
              <w:jc w:val="center"/>
              <w:rPr>
                <w:rFonts w:hint="eastAsia" w:ascii="宋体" w:hAnsi="宋体" w:cs="宋体"/>
                <w:color w:val="auto"/>
                <w:sz w:val="28"/>
                <w:szCs w:val="28"/>
                <w:highlight w:val="none"/>
              </w:rPr>
            </w:pPr>
          </w:p>
        </w:tc>
        <w:tc>
          <w:tcPr>
            <w:tcW w:w="1108" w:type="dxa"/>
            <w:tcBorders>
              <w:top w:val="single" w:color="auto" w:sz="4" w:space="0"/>
              <w:left w:val="nil"/>
              <w:bottom w:val="single" w:color="auto" w:sz="4" w:space="0"/>
              <w:right w:val="single" w:color="auto" w:sz="4" w:space="0"/>
            </w:tcBorders>
            <w:noWrap w:val="0"/>
            <w:vAlign w:val="center"/>
          </w:tcPr>
          <w:p w14:paraId="41B97DF5">
            <w:pPr>
              <w:spacing w:line="360" w:lineRule="auto"/>
              <w:jc w:val="center"/>
              <w:rPr>
                <w:rFonts w:hint="eastAsia" w:ascii="宋体" w:hAnsi="宋体" w:cs="宋体"/>
                <w:color w:val="auto"/>
                <w:sz w:val="28"/>
                <w:szCs w:val="28"/>
                <w:highlight w:val="none"/>
              </w:rPr>
            </w:pPr>
          </w:p>
        </w:tc>
        <w:tc>
          <w:tcPr>
            <w:tcW w:w="1297" w:type="dxa"/>
            <w:tcBorders>
              <w:top w:val="single" w:color="auto" w:sz="4" w:space="0"/>
              <w:left w:val="nil"/>
              <w:bottom w:val="single" w:color="auto" w:sz="4" w:space="0"/>
              <w:right w:val="single" w:color="auto" w:sz="4" w:space="0"/>
            </w:tcBorders>
            <w:noWrap w:val="0"/>
            <w:vAlign w:val="center"/>
          </w:tcPr>
          <w:p w14:paraId="690A3819">
            <w:pPr>
              <w:spacing w:line="360" w:lineRule="auto"/>
              <w:jc w:val="center"/>
              <w:rPr>
                <w:rFonts w:hint="eastAsia" w:ascii="宋体" w:hAnsi="宋体" w:cs="宋体"/>
                <w:color w:val="auto"/>
                <w:sz w:val="28"/>
                <w:szCs w:val="28"/>
                <w:highlight w:val="none"/>
              </w:rPr>
            </w:pPr>
          </w:p>
        </w:tc>
      </w:tr>
      <w:tr w14:paraId="245E6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599" w:type="dxa"/>
            <w:tcBorders>
              <w:top w:val="single" w:color="auto" w:sz="4" w:space="0"/>
              <w:left w:val="single" w:color="auto" w:sz="4" w:space="0"/>
              <w:bottom w:val="single" w:color="auto" w:sz="4" w:space="0"/>
              <w:right w:val="single" w:color="auto" w:sz="4" w:space="0"/>
            </w:tcBorders>
            <w:noWrap w:val="0"/>
            <w:vAlign w:val="center"/>
          </w:tcPr>
          <w:p w14:paraId="09DA6EBA">
            <w:pPr>
              <w:keepNext w:val="0"/>
              <w:keepLines w:val="0"/>
              <w:pageBreakBefore w:val="0"/>
              <w:widowControl w:val="0"/>
              <w:spacing w:line="240" w:lineRule="auto"/>
              <w:jc w:val="both"/>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24</w:t>
            </w:r>
          </w:p>
        </w:tc>
        <w:tc>
          <w:tcPr>
            <w:tcW w:w="6556" w:type="dxa"/>
            <w:gridSpan w:val="6"/>
            <w:tcBorders>
              <w:top w:val="single" w:color="auto" w:sz="4" w:space="0"/>
              <w:left w:val="nil"/>
              <w:bottom w:val="single" w:color="auto" w:sz="4" w:space="0"/>
              <w:right w:val="single" w:color="auto" w:sz="4" w:space="0"/>
            </w:tcBorders>
            <w:noWrap w:val="0"/>
            <w:vAlign w:val="center"/>
          </w:tcPr>
          <w:p w14:paraId="7EEE116D">
            <w:pPr>
              <w:keepNext w:val="0"/>
              <w:keepLines w:val="0"/>
              <w:pageBreakBefore w:val="0"/>
              <w:widowControl w:val="0"/>
              <w:spacing w:line="240" w:lineRule="auto"/>
              <w:jc w:val="both"/>
              <w:rPr>
                <w:rFonts w:hint="eastAsia" w:ascii="宋体" w:hAnsi="宋体" w:cs="宋体"/>
                <w:color w:val="auto"/>
                <w:sz w:val="28"/>
                <w:szCs w:val="28"/>
                <w:highlight w:val="none"/>
              </w:rPr>
            </w:pPr>
            <w:r>
              <w:rPr>
                <w:rFonts w:hint="eastAsia" w:ascii="宋体" w:hAnsi="宋体" w:cs="宋体"/>
                <w:color w:val="auto"/>
                <w:sz w:val="28"/>
                <w:szCs w:val="28"/>
                <w:highlight w:val="none"/>
              </w:rPr>
              <w:t>合计（元）</w:t>
            </w:r>
          </w:p>
        </w:tc>
        <w:tc>
          <w:tcPr>
            <w:tcW w:w="1108" w:type="dxa"/>
            <w:tcBorders>
              <w:top w:val="single" w:color="auto" w:sz="4" w:space="0"/>
              <w:left w:val="nil"/>
              <w:bottom w:val="single" w:color="auto" w:sz="4" w:space="0"/>
              <w:right w:val="single" w:color="auto" w:sz="4" w:space="0"/>
            </w:tcBorders>
            <w:noWrap w:val="0"/>
            <w:vAlign w:val="center"/>
          </w:tcPr>
          <w:p w14:paraId="1584DBB9">
            <w:pPr>
              <w:keepNext w:val="0"/>
              <w:keepLines w:val="0"/>
              <w:pageBreakBefore w:val="0"/>
              <w:widowControl w:val="0"/>
              <w:spacing w:line="240" w:lineRule="auto"/>
              <w:jc w:val="both"/>
              <w:rPr>
                <w:rFonts w:hint="eastAsia" w:ascii="宋体" w:hAnsi="宋体" w:cs="宋体"/>
                <w:color w:val="auto"/>
                <w:sz w:val="28"/>
                <w:szCs w:val="28"/>
                <w:highlight w:val="none"/>
              </w:rPr>
            </w:pPr>
          </w:p>
        </w:tc>
        <w:tc>
          <w:tcPr>
            <w:tcW w:w="1297" w:type="dxa"/>
            <w:tcBorders>
              <w:top w:val="single" w:color="auto" w:sz="4" w:space="0"/>
              <w:left w:val="nil"/>
              <w:bottom w:val="single" w:color="auto" w:sz="4" w:space="0"/>
              <w:right w:val="single" w:color="auto" w:sz="4" w:space="0"/>
            </w:tcBorders>
            <w:noWrap w:val="0"/>
            <w:vAlign w:val="center"/>
          </w:tcPr>
          <w:p w14:paraId="0CE765B3">
            <w:pPr>
              <w:keepNext w:val="0"/>
              <w:keepLines w:val="0"/>
              <w:pageBreakBefore w:val="0"/>
              <w:widowControl w:val="0"/>
              <w:spacing w:line="240" w:lineRule="auto"/>
              <w:jc w:val="both"/>
              <w:rPr>
                <w:rFonts w:hint="eastAsia" w:ascii="宋体" w:hAnsi="宋体" w:cs="宋体"/>
                <w:color w:val="auto"/>
                <w:sz w:val="28"/>
                <w:szCs w:val="28"/>
                <w:highlight w:val="none"/>
              </w:rPr>
            </w:pPr>
          </w:p>
        </w:tc>
      </w:tr>
      <w:tr w14:paraId="05236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599" w:type="dxa"/>
            <w:tcBorders>
              <w:top w:val="single" w:color="auto" w:sz="4" w:space="0"/>
              <w:left w:val="single" w:color="auto" w:sz="4" w:space="0"/>
              <w:bottom w:val="single" w:color="auto" w:sz="4" w:space="0"/>
              <w:right w:val="single" w:color="auto" w:sz="4" w:space="0"/>
            </w:tcBorders>
            <w:noWrap w:val="0"/>
            <w:vAlign w:val="center"/>
          </w:tcPr>
          <w:p w14:paraId="0BA614F3">
            <w:pPr>
              <w:keepNext w:val="0"/>
              <w:keepLines w:val="0"/>
              <w:pageBreakBefore w:val="0"/>
              <w:widowControl w:val="0"/>
              <w:spacing w:line="240" w:lineRule="auto"/>
              <w:jc w:val="both"/>
              <w:rPr>
                <w:rFonts w:hint="eastAsia" w:ascii="宋体" w:hAnsi="宋体" w:cs="宋体"/>
                <w:color w:val="auto"/>
                <w:sz w:val="28"/>
                <w:szCs w:val="28"/>
                <w:highlight w:val="none"/>
              </w:rPr>
            </w:pPr>
          </w:p>
        </w:tc>
        <w:tc>
          <w:tcPr>
            <w:tcW w:w="8961" w:type="dxa"/>
            <w:gridSpan w:val="8"/>
            <w:tcBorders>
              <w:top w:val="single" w:color="auto" w:sz="4" w:space="0"/>
              <w:left w:val="single" w:color="auto" w:sz="4" w:space="0"/>
              <w:bottom w:val="single" w:color="auto" w:sz="4" w:space="0"/>
              <w:right w:val="single" w:color="auto" w:sz="4" w:space="0"/>
            </w:tcBorders>
            <w:noWrap w:val="0"/>
            <w:vAlign w:val="center"/>
          </w:tcPr>
          <w:p w14:paraId="260EFE26">
            <w:pPr>
              <w:keepNext w:val="0"/>
              <w:keepLines w:val="0"/>
              <w:pageBreakBefore w:val="0"/>
              <w:widowControl w:val="0"/>
              <w:spacing w:line="240" w:lineRule="auto"/>
              <w:jc w:val="both"/>
              <w:rPr>
                <w:rFonts w:hint="eastAsia" w:ascii="宋体" w:hAnsi="宋体" w:cs="宋体"/>
                <w:color w:val="auto"/>
                <w:sz w:val="28"/>
                <w:szCs w:val="28"/>
                <w:highlight w:val="none"/>
              </w:rPr>
            </w:pPr>
            <w:r>
              <w:rPr>
                <w:rFonts w:hint="eastAsia" w:ascii="宋体" w:hAnsi="宋体" w:cs="宋体"/>
                <w:color w:val="auto"/>
                <w:sz w:val="28"/>
                <w:szCs w:val="28"/>
                <w:highlight w:val="none"/>
              </w:rPr>
              <w:t>本采购包中提供的符合本国产品标准的产品成本之和占该采购包提供的全部产品成本之和的比例为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p>
          <w:p w14:paraId="55698A97">
            <w:pPr>
              <w:pStyle w:val="19"/>
              <w:ind w:firstLine="562"/>
              <w:rPr>
                <w:rFonts w:hint="eastAsia"/>
                <w:color w:val="auto"/>
                <w:highlight w:val="none"/>
              </w:rPr>
            </w:pPr>
            <w:r>
              <w:rPr>
                <w:rFonts w:hint="eastAsia" w:ascii="宋体" w:hAnsi="宋体" w:cs="宋体"/>
                <w:b/>
                <w:bCs/>
                <w:color w:val="auto"/>
                <w:sz w:val="28"/>
                <w:szCs w:val="28"/>
                <w:highlight w:val="none"/>
                <w:lang w:val="en-US" w:eastAsia="zh-CN"/>
              </w:rPr>
              <w:t>注：</w:t>
            </w:r>
            <w:r>
              <w:rPr>
                <w:rFonts w:hint="eastAsia" w:ascii="宋体" w:hAnsi="宋体" w:cs="宋体"/>
                <w:b/>
                <w:bCs/>
                <w:color w:val="auto"/>
                <w:sz w:val="28"/>
                <w:szCs w:val="28"/>
                <w:highlight w:val="none"/>
              </w:rPr>
              <w:t>成本比例计算仅包含硬件设备采购成本，系统集成、施工辅材、人工服务不计入产品成本核算基数</w:t>
            </w:r>
            <w:r>
              <w:rPr>
                <w:rFonts w:hint="eastAsia" w:ascii="宋体" w:hAnsi="宋体" w:cs="宋体"/>
                <w:b/>
                <w:bCs/>
                <w:color w:val="auto"/>
                <w:sz w:val="28"/>
                <w:szCs w:val="28"/>
                <w:highlight w:val="none"/>
                <w:lang w:eastAsia="zh-CN"/>
              </w:rPr>
              <w:t>。</w:t>
            </w:r>
          </w:p>
        </w:tc>
      </w:tr>
    </w:tbl>
    <w:p w14:paraId="19AC12BC">
      <w:pPr>
        <w:pStyle w:val="321"/>
        <w:ind w:left="0" w:firstLine="0"/>
        <w:rPr>
          <w:rFonts w:hint="eastAsia" w:ascii="宋体" w:hAnsi="宋体" w:eastAsia="宋体" w:cs="宋体"/>
          <w:b/>
          <w:color w:val="auto"/>
          <w:szCs w:val="28"/>
          <w:highlight w:val="none"/>
        </w:rPr>
      </w:pPr>
    </w:p>
    <w:p w14:paraId="504343D2">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备注：</w:t>
      </w:r>
    </w:p>
    <w:p w14:paraId="25E01B4C">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1.投标报价采用总承包方式，“投标总报价”应包括</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需求的货物价格、质量保证费用、培训费用等，项目在指定地点、环境交付、安装、调试、验收所需费用和所有相关税金费用及为完成整个项目所产生的</w:t>
      </w:r>
      <w:r>
        <w:rPr>
          <w:rFonts w:hint="eastAsia" w:ascii="宋体" w:hAnsi="宋体" w:cs="宋体"/>
          <w:color w:val="auto"/>
          <w:sz w:val="28"/>
          <w:szCs w:val="28"/>
          <w:highlight w:val="none"/>
          <w:lang w:eastAsia="zh-CN"/>
        </w:rPr>
        <w:t>其他所有</w:t>
      </w:r>
      <w:r>
        <w:rPr>
          <w:rFonts w:hint="eastAsia" w:ascii="宋体" w:hAnsi="宋体" w:cs="宋体"/>
          <w:color w:val="auto"/>
          <w:sz w:val="28"/>
          <w:szCs w:val="28"/>
          <w:highlight w:val="none"/>
        </w:rPr>
        <w:t>费用，招标文件另有规定的除外。</w:t>
      </w:r>
    </w:p>
    <w:p w14:paraId="22B71DBD">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2.“投标分项报价表”中“投标总报价”数额应当与“开标一览表”中“投标总报价”数额一致。</w:t>
      </w:r>
    </w:p>
    <w:p w14:paraId="4156BBF0">
      <w:pPr>
        <w:spacing w:line="480" w:lineRule="exact"/>
        <w:rPr>
          <w:rFonts w:hint="eastAsia" w:ascii="宋体" w:hAnsi="宋体" w:cs="宋体"/>
          <w:color w:val="auto"/>
          <w:sz w:val="32"/>
          <w:szCs w:val="32"/>
          <w:highlight w:val="none"/>
          <w:lang w:val="zh-CN"/>
        </w:rPr>
      </w:pPr>
      <w:r>
        <w:rPr>
          <w:rFonts w:hint="eastAsia" w:ascii="宋体" w:hAnsi="宋体" w:cs="宋体"/>
          <w:color w:val="auto"/>
          <w:sz w:val="28"/>
          <w:szCs w:val="28"/>
          <w:highlight w:val="none"/>
        </w:rPr>
        <w:t>3.投标人需认真填写本报价表，尤其注意规格型号的准确填写。</w:t>
      </w:r>
    </w:p>
    <w:p w14:paraId="1A14E40B">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4.本采购包中含有多种产品时，供应商未填写本采购包中提供的符合本国产品标准的产品成本之和占该采购包提供的全部产品成本之和的比例数值的，或比例数值未达到80%的，将不享受本国产品价格评审优惠。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45CA0D37">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p>
    <w:p w14:paraId="710D8DB8">
      <w:pPr>
        <w:spacing w:line="30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附件2</w:t>
      </w:r>
    </w:p>
    <w:p w14:paraId="6C1FD20D">
      <w:pPr>
        <w:spacing w:before="50" w:line="360" w:lineRule="auto"/>
        <w:ind w:left="100"/>
        <w:jc w:val="center"/>
        <w:outlineLvl w:val="2"/>
        <w:rPr>
          <w:rFonts w:hint="eastAsia" w:hAnsi="宋体" w:cs="方正魏碑_GBK"/>
          <w:b/>
          <w:bCs/>
          <w:color w:val="auto"/>
          <w:sz w:val="28"/>
          <w:szCs w:val="28"/>
          <w:highlight w:val="none"/>
        </w:rPr>
      </w:pPr>
      <w:r>
        <w:rPr>
          <w:rFonts w:hint="eastAsia" w:hAnsi="宋体"/>
          <w:b/>
          <w:bCs/>
          <w:color w:val="auto"/>
          <w:sz w:val="28"/>
          <w:szCs w:val="28"/>
          <w:highlight w:val="none"/>
        </w:rPr>
        <w:t>关于符合本国产品标准的声明函</w:t>
      </w:r>
    </w:p>
    <w:p w14:paraId="6CC830D5">
      <w:pPr>
        <w:spacing w:line="360" w:lineRule="auto"/>
        <w:ind w:firstLine="420"/>
        <w:rPr>
          <w:rFonts w:hint="eastAsia" w:hAnsi="宋体" w:cs="方正魏碑_GBK"/>
          <w:color w:val="auto"/>
          <w:sz w:val="24"/>
          <w:highlight w:val="none"/>
        </w:rPr>
      </w:pPr>
      <w:r>
        <w:rPr>
          <w:rFonts w:hint="eastAsia" w:hAnsi="宋体" w:cs="方正魏碑_GBK"/>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70C691CA">
      <w:pPr>
        <w:spacing w:before="30" w:after="30" w:line="360" w:lineRule="auto"/>
        <w:ind w:firstLine="420"/>
        <w:rPr>
          <w:rFonts w:hint="eastAsia" w:hAnsi="宋体" w:cs="方正魏碑_GBK"/>
          <w:color w:val="auto"/>
          <w:sz w:val="24"/>
          <w:highlight w:val="none"/>
        </w:rPr>
      </w:pPr>
      <w:r>
        <w:rPr>
          <w:rFonts w:hint="eastAsia" w:hAnsi="宋体" w:cs="方正魏碑_GBK"/>
          <w:color w:val="auto"/>
          <w:sz w:val="24"/>
          <w:highlight w:val="none"/>
          <w:shd w:val="clear" w:color="auto" w:fill="FFFFFF"/>
        </w:rPr>
        <w:t>1.</w:t>
      </w:r>
      <w:r>
        <w:rPr>
          <w:rFonts w:hint="eastAsia" w:hAnsi="宋体" w:cs="方正魏碑_GBK"/>
          <w:color w:val="auto"/>
          <w:sz w:val="24"/>
          <w:highlight w:val="none"/>
          <w:u w:val="single"/>
          <w:shd w:val="clear" w:color="auto" w:fill="FFFFFF"/>
        </w:rPr>
        <w:t>（产品名称1）</w:t>
      </w:r>
      <w:r>
        <w:rPr>
          <w:rFonts w:hint="eastAsia" w:hAnsi="宋体" w:cs="方正魏碑_GBK"/>
          <w:color w:val="auto"/>
          <w:sz w:val="24"/>
          <w:highlight w:val="none"/>
          <w:shd w:val="clear" w:color="auto" w:fill="FFFFFF"/>
          <w:vertAlign w:val="superscript"/>
        </w:rPr>
        <w:t>1</w:t>
      </w:r>
      <w:r>
        <w:rPr>
          <w:rFonts w:hint="eastAsia" w:hAnsi="宋体" w:cs="方正魏碑_GBK"/>
          <w:color w:val="auto"/>
          <w:sz w:val="24"/>
          <w:highlight w:val="none"/>
          <w:shd w:val="clear" w:color="auto" w:fill="FFFFFF"/>
        </w:rPr>
        <w:t>，生产厂为</w:t>
      </w:r>
      <w:r>
        <w:rPr>
          <w:rFonts w:hint="eastAsia" w:hAnsi="宋体" w:cs="方正魏碑_GBK"/>
          <w:color w:val="auto"/>
          <w:sz w:val="24"/>
          <w:highlight w:val="none"/>
          <w:u w:val="single"/>
          <w:shd w:val="clear" w:color="auto" w:fill="FFFFFF"/>
        </w:rPr>
        <w:t>（厂名）</w:t>
      </w:r>
      <w:r>
        <w:rPr>
          <w:rFonts w:hint="eastAsia" w:hAnsi="宋体" w:cs="方正魏碑_GBK"/>
          <w:color w:val="auto"/>
          <w:sz w:val="24"/>
          <w:highlight w:val="none"/>
          <w:shd w:val="clear" w:color="auto" w:fill="FFFFFF"/>
          <w:vertAlign w:val="superscript"/>
        </w:rPr>
        <w:t>2</w:t>
      </w:r>
      <w:r>
        <w:rPr>
          <w:rFonts w:hint="eastAsia" w:hAnsi="宋体" w:cs="方正魏碑_GBK"/>
          <w:color w:val="auto"/>
          <w:sz w:val="24"/>
          <w:highlight w:val="none"/>
          <w:shd w:val="clear" w:color="auto" w:fill="FFFFFF"/>
        </w:rPr>
        <w:t>，厂址为</w:t>
      </w:r>
      <w:r>
        <w:rPr>
          <w:rFonts w:hint="eastAsia" w:hAnsi="宋体" w:cs="方正魏碑_GBK"/>
          <w:color w:val="auto"/>
          <w:sz w:val="24"/>
          <w:highlight w:val="none"/>
          <w:u w:val="single"/>
          <w:shd w:val="clear" w:color="auto" w:fill="FFFFFF"/>
        </w:rPr>
        <w:t>（生产厂址）</w:t>
      </w:r>
      <w:r>
        <w:rPr>
          <w:rFonts w:hint="eastAsia" w:hAnsi="宋体" w:cs="方正魏碑_GBK"/>
          <w:color w:val="auto"/>
          <w:sz w:val="24"/>
          <w:highlight w:val="none"/>
          <w:shd w:val="clear" w:color="auto" w:fill="FFFFFF"/>
        </w:rPr>
        <w:t>。</w:t>
      </w:r>
      <w:r>
        <w:rPr>
          <w:rFonts w:hint="eastAsia" w:hAnsi="宋体" w:cs="方正魏碑_GBK"/>
          <w:color w:val="auto"/>
          <w:sz w:val="24"/>
          <w:highlight w:val="none"/>
          <w:u w:val="single"/>
          <w:shd w:val="clear" w:color="auto" w:fill="FFFFFF"/>
        </w:rPr>
        <w:t xml:space="preserve"> （产品名称1） </w:t>
      </w:r>
      <w:r>
        <w:rPr>
          <w:rFonts w:hint="eastAsia" w:hAnsi="宋体" w:cs="方正魏碑_GBK"/>
          <w:color w:val="auto"/>
          <w:sz w:val="24"/>
          <w:highlight w:val="none"/>
          <w:shd w:val="clear" w:color="auto" w:fill="FFFFFF"/>
        </w:rPr>
        <w:t>的中国境内生产的组件成本占比≥</w:t>
      </w:r>
      <w:r>
        <w:rPr>
          <w:rFonts w:hint="eastAsia" w:hAnsi="宋体" w:cs="方正魏碑_GBK"/>
          <w:color w:val="auto"/>
          <w:sz w:val="24"/>
          <w:highlight w:val="none"/>
          <w:u w:val="single"/>
          <w:shd w:val="clear" w:color="auto" w:fill="FFFFFF"/>
        </w:rPr>
        <w:t>（规定</w:t>
      </w:r>
      <w:r>
        <w:rPr>
          <w:rFonts w:hAnsi="宋体" w:cs="方正魏碑_GBK"/>
          <w:color w:val="auto"/>
          <w:sz w:val="24"/>
          <w:highlight w:val="none"/>
          <w:u w:val="single"/>
          <w:shd w:val="clear" w:color="auto" w:fill="FFFFFF"/>
        </w:rPr>
        <w:t>比例</w:t>
      </w:r>
      <w:r>
        <w:rPr>
          <w:rFonts w:hint="eastAsia" w:hAnsi="宋体" w:cs="方正魏碑_GBK"/>
          <w:color w:val="auto"/>
          <w:sz w:val="24"/>
          <w:highlight w:val="none"/>
          <w:u w:val="single"/>
          <w:shd w:val="clear" w:color="auto" w:fill="FFFFFF"/>
        </w:rPr>
        <w:t>）</w:t>
      </w:r>
      <w:r>
        <w:rPr>
          <w:rFonts w:hint="eastAsia" w:hAnsi="宋体" w:cs="方正魏碑_GBK"/>
          <w:color w:val="auto"/>
          <w:sz w:val="24"/>
          <w:highlight w:val="none"/>
          <w:shd w:val="clear" w:color="auto" w:fill="FFFFFF"/>
          <w:vertAlign w:val="superscript"/>
        </w:rPr>
        <w:t>3</w:t>
      </w:r>
      <w:r>
        <w:rPr>
          <w:rFonts w:hint="eastAsia" w:hAnsi="宋体" w:cs="方正魏碑_GBK"/>
          <w:color w:val="auto"/>
          <w:sz w:val="24"/>
          <w:highlight w:val="none"/>
          <w:shd w:val="clear" w:color="auto" w:fill="FFFFFF"/>
        </w:rPr>
        <w:t>。</w:t>
      </w:r>
      <w:r>
        <w:rPr>
          <w:rFonts w:hint="eastAsia" w:hAnsi="宋体" w:cs="方正魏碑_GBK"/>
          <w:color w:val="auto"/>
          <w:sz w:val="24"/>
          <w:highlight w:val="none"/>
          <w:u w:val="single"/>
          <w:shd w:val="clear" w:color="auto" w:fill="FFFFFF"/>
        </w:rPr>
        <w:t>（产品名称1）</w:t>
      </w:r>
      <w:r>
        <w:rPr>
          <w:rFonts w:hint="eastAsia" w:hAnsi="宋体" w:cs="方正魏碑_GBK"/>
          <w:color w:val="auto"/>
          <w:sz w:val="24"/>
          <w:highlight w:val="none"/>
          <w:shd w:val="clear" w:color="auto" w:fill="FFFFFF"/>
        </w:rPr>
        <w:t>的</w:t>
      </w:r>
      <w:r>
        <w:rPr>
          <w:rFonts w:hint="eastAsia" w:hAnsi="宋体" w:cs="方正魏碑_GBK"/>
          <w:color w:val="auto"/>
          <w:sz w:val="24"/>
          <w:highlight w:val="none"/>
          <w:u w:val="single"/>
          <w:shd w:val="clear" w:color="auto" w:fill="FFFFFF"/>
        </w:rPr>
        <w:t>（关键</w:t>
      </w:r>
      <w:r>
        <w:rPr>
          <w:rFonts w:hAnsi="宋体" w:cs="方正魏碑_GBK"/>
          <w:color w:val="auto"/>
          <w:sz w:val="24"/>
          <w:highlight w:val="none"/>
          <w:u w:val="single"/>
          <w:shd w:val="clear" w:color="auto" w:fill="FFFFFF"/>
        </w:rPr>
        <w:t>组件</w:t>
      </w:r>
      <w:r>
        <w:rPr>
          <w:rFonts w:hint="eastAsia" w:hAnsi="宋体" w:cs="方正魏碑_GBK"/>
          <w:color w:val="auto"/>
          <w:sz w:val="24"/>
          <w:highlight w:val="none"/>
          <w:u w:val="single"/>
          <w:shd w:val="clear" w:color="auto" w:fill="FFFFFF"/>
        </w:rPr>
        <w:t>）</w:t>
      </w:r>
      <w:r>
        <w:rPr>
          <w:rFonts w:hint="eastAsia" w:hAnsi="宋体" w:cs="方正魏碑_GBK"/>
          <w:color w:val="auto"/>
          <w:sz w:val="24"/>
          <w:highlight w:val="none"/>
          <w:shd w:val="clear" w:color="auto" w:fill="FFFFFF"/>
          <w:vertAlign w:val="superscript"/>
        </w:rPr>
        <w:t>4</w:t>
      </w:r>
      <w:r>
        <w:rPr>
          <w:rFonts w:hint="eastAsia" w:hAnsi="宋体" w:cs="方正魏碑_GBK"/>
          <w:color w:val="auto"/>
          <w:sz w:val="24"/>
          <w:highlight w:val="none"/>
          <w:shd w:val="clear" w:color="auto" w:fill="FFFFFF"/>
        </w:rPr>
        <w:t>在中国境内生产。</w:t>
      </w:r>
      <w:r>
        <w:rPr>
          <w:rFonts w:hint="eastAsia" w:hAnsi="宋体" w:cs="方正魏碑_GBK"/>
          <w:color w:val="auto"/>
          <w:sz w:val="24"/>
          <w:highlight w:val="none"/>
          <w:u w:val="single"/>
          <w:shd w:val="clear" w:color="auto" w:fill="FFFFFF"/>
        </w:rPr>
        <w:t>（产品名称1）</w:t>
      </w:r>
      <w:r>
        <w:rPr>
          <w:rFonts w:hint="eastAsia" w:hAnsi="宋体" w:cs="方正魏碑_GBK"/>
          <w:color w:val="auto"/>
          <w:sz w:val="24"/>
          <w:highlight w:val="none"/>
          <w:shd w:val="clear" w:color="auto" w:fill="FFFFFF"/>
        </w:rPr>
        <w:t>的</w:t>
      </w:r>
      <w:r>
        <w:rPr>
          <w:rFonts w:hint="eastAsia" w:hAnsi="宋体" w:cs="方正魏碑_GBK"/>
          <w:color w:val="auto"/>
          <w:sz w:val="24"/>
          <w:highlight w:val="none"/>
          <w:u w:val="single"/>
          <w:shd w:val="clear" w:color="auto" w:fill="FFFFFF"/>
        </w:rPr>
        <w:t>（关键工序）</w:t>
      </w:r>
      <w:r>
        <w:rPr>
          <w:rFonts w:hint="eastAsia" w:hAnsi="宋体" w:cs="方正魏碑_GBK"/>
          <w:color w:val="auto"/>
          <w:sz w:val="24"/>
          <w:highlight w:val="none"/>
          <w:shd w:val="clear" w:color="auto" w:fill="FFFFFF"/>
          <w:vertAlign w:val="superscript"/>
        </w:rPr>
        <w:t>5</w:t>
      </w:r>
      <w:r>
        <w:rPr>
          <w:rFonts w:hint="eastAsia" w:hAnsi="宋体" w:cs="方正魏碑_GBK"/>
          <w:color w:val="auto"/>
          <w:sz w:val="24"/>
          <w:highlight w:val="none"/>
          <w:shd w:val="clear" w:color="auto" w:fill="FFFFFF"/>
        </w:rPr>
        <w:t>在中国境内完成。</w:t>
      </w:r>
    </w:p>
    <w:p w14:paraId="6F0E0A8E">
      <w:pPr>
        <w:spacing w:before="30" w:after="30" w:line="360" w:lineRule="auto"/>
        <w:ind w:firstLine="420"/>
        <w:rPr>
          <w:rFonts w:hint="eastAsia" w:hAnsi="宋体" w:cs="方正魏碑_GBK"/>
          <w:color w:val="auto"/>
          <w:sz w:val="24"/>
          <w:highlight w:val="none"/>
        </w:rPr>
      </w:pPr>
      <w:r>
        <w:rPr>
          <w:rFonts w:hint="eastAsia" w:hAnsi="宋体" w:cs="方正魏碑_GBK"/>
          <w:color w:val="auto"/>
          <w:sz w:val="24"/>
          <w:highlight w:val="none"/>
          <w:shd w:val="clear" w:color="auto" w:fill="FFFFFF"/>
        </w:rPr>
        <w:t>2.</w:t>
      </w:r>
      <w:r>
        <w:rPr>
          <w:rFonts w:hint="eastAsia" w:hAnsi="宋体" w:cs="方正魏碑_GBK"/>
          <w:color w:val="auto"/>
          <w:sz w:val="24"/>
          <w:highlight w:val="none"/>
          <w:u w:val="single"/>
          <w:shd w:val="clear" w:color="auto" w:fill="FFFFFF"/>
        </w:rPr>
        <w:t>（产品名称2）</w:t>
      </w:r>
      <w:r>
        <w:rPr>
          <w:rFonts w:hint="eastAsia" w:hAnsi="宋体" w:cs="方正魏碑_GBK"/>
          <w:color w:val="auto"/>
          <w:sz w:val="24"/>
          <w:highlight w:val="none"/>
          <w:shd w:val="clear" w:color="auto" w:fill="FFFFFF"/>
        </w:rPr>
        <w:t>，生产厂为</w:t>
      </w:r>
      <w:r>
        <w:rPr>
          <w:rFonts w:hint="eastAsia" w:hAnsi="宋体" w:cs="方正魏碑_GBK"/>
          <w:color w:val="auto"/>
          <w:sz w:val="24"/>
          <w:highlight w:val="none"/>
          <w:u w:val="single"/>
          <w:shd w:val="clear" w:color="auto" w:fill="FFFFFF"/>
        </w:rPr>
        <w:t>（厂名）</w:t>
      </w:r>
      <w:r>
        <w:rPr>
          <w:rFonts w:hint="eastAsia" w:hAnsi="宋体" w:cs="方正魏碑_GBK"/>
          <w:color w:val="auto"/>
          <w:sz w:val="24"/>
          <w:highlight w:val="none"/>
          <w:shd w:val="clear" w:color="auto" w:fill="FFFFFF"/>
        </w:rPr>
        <w:t>，厂址为</w:t>
      </w:r>
      <w:r>
        <w:rPr>
          <w:rFonts w:hint="eastAsia" w:hAnsi="宋体" w:cs="方正魏碑_GBK"/>
          <w:color w:val="auto"/>
          <w:sz w:val="24"/>
          <w:highlight w:val="none"/>
          <w:u w:val="single"/>
          <w:shd w:val="clear" w:color="auto" w:fill="FFFFFF"/>
        </w:rPr>
        <w:t>（生产厂址）</w:t>
      </w:r>
      <w:r>
        <w:rPr>
          <w:rFonts w:hint="eastAsia" w:hAnsi="宋体" w:cs="方正魏碑_GBK"/>
          <w:color w:val="auto"/>
          <w:sz w:val="24"/>
          <w:highlight w:val="none"/>
          <w:shd w:val="clear" w:color="auto" w:fill="FFFFFF"/>
        </w:rPr>
        <w:t>。</w:t>
      </w:r>
      <w:r>
        <w:rPr>
          <w:rFonts w:hint="eastAsia" w:hAnsi="宋体" w:cs="方正魏碑_GBK"/>
          <w:color w:val="auto"/>
          <w:sz w:val="24"/>
          <w:highlight w:val="none"/>
          <w:u w:val="single"/>
          <w:shd w:val="clear" w:color="auto" w:fill="FFFFFF"/>
        </w:rPr>
        <w:t>（产品名称2）</w:t>
      </w:r>
      <w:r>
        <w:rPr>
          <w:rFonts w:hint="eastAsia" w:hAnsi="宋体" w:cs="方正魏碑_GBK"/>
          <w:color w:val="auto"/>
          <w:sz w:val="24"/>
          <w:highlight w:val="none"/>
          <w:shd w:val="clear" w:color="auto" w:fill="FFFFFF"/>
        </w:rPr>
        <w:t>的中国境内生产的组件成本占比≥</w:t>
      </w:r>
      <w:r>
        <w:rPr>
          <w:rFonts w:hint="eastAsia" w:hAnsi="宋体" w:cs="方正魏碑_GBK"/>
          <w:color w:val="auto"/>
          <w:sz w:val="24"/>
          <w:highlight w:val="none"/>
          <w:u w:val="single"/>
          <w:shd w:val="clear" w:color="auto" w:fill="FFFFFF"/>
        </w:rPr>
        <w:t>（规定</w:t>
      </w:r>
      <w:r>
        <w:rPr>
          <w:rFonts w:hAnsi="宋体" w:cs="方正魏碑_GBK"/>
          <w:color w:val="auto"/>
          <w:sz w:val="24"/>
          <w:highlight w:val="none"/>
          <w:u w:val="single"/>
          <w:shd w:val="clear" w:color="auto" w:fill="FFFFFF"/>
        </w:rPr>
        <w:t>比例</w:t>
      </w:r>
      <w:r>
        <w:rPr>
          <w:rFonts w:hint="eastAsia" w:hAnsi="宋体" w:cs="方正魏碑_GBK"/>
          <w:color w:val="auto"/>
          <w:sz w:val="24"/>
          <w:highlight w:val="none"/>
          <w:u w:val="single"/>
          <w:shd w:val="clear" w:color="auto" w:fill="FFFFFF"/>
        </w:rPr>
        <w:t>）</w:t>
      </w:r>
      <w:r>
        <w:rPr>
          <w:rFonts w:hint="eastAsia" w:hAnsi="宋体" w:cs="方正魏碑_GBK"/>
          <w:color w:val="auto"/>
          <w:sz w:val="24"/>
          <w:highlight w:val="none"/>
          <w:shd w:val="clear" w:color="auto" w:fill="FFFFFF"/>
        </w:rPr>
        <w:t>。</w:t>
      </w:r>
      <w:r>
        <w:rPr>
          <w:rFonts w:hint="eastAsia" w:hAnsi="宋体" w:cs="方正魏碑_GBK"/>
          <w:color w:val="auto"/>
          <w:sz w:val="24"/>
          <w:highlight w:val="none"/>
          <w:u w:val="single"/>
          <w:shd w:val="clear" w:color="auto" w:fill="FFFFFF"/>
        </w:rPr>
        <w:t>（产品名称2）</w:t>
      </w:r>
      <w:r>
        <w:rPr>
          <w:rFonts w:hint="eastAsia" w:hAnsi="宋体" w:cs="方正魏碑_GBK"/>
          <w:color w:val="auto"/>
          <w:sz w:val="24"/>
          <w:highlight w:val="none"/>
          <w:shd w:val="clear" w:color="auto" w:fill="FFFFFF"/>
        </w:rPr>
        <w:t>的</w:t>
      </w:r>
      <w:r>
        <w:rPr>
          <w:rFonts w:hint="eastAsia" w:hAnsi="宋体" w:cs="方正魏碑_GBK"/>
          <w:color w:val="auto"/>
          <w:sz w:val="24"/>
          <w:highlight w:val="none"/>
          <w:u w:val="single"/>
          <w:shd w:val="clear" w:color="auto" w:fill="FFFFFF"/>
        </w:rPr>
        <w:t>（关键</w:t>
      </w:r>
      <w:r>
        <w:rPr>
          <w:rFonts w:hAnsi="宋体" w:cs="方正魏碑_GBK"/>
          <w:color w:val="auto"/>
          <w:sz w:val="24"/>
          <w:highlight w:val="none"/>
          <w:u w:val="single"/>
          <w:shd w:val="clear" w:color="auto" w:fill="FFFFFF"/>
        </w:rPr>
        <w:t>组件</w:t>
      </w:r>
      <w:r>
        <w:rPr>
          <w:rFonts w:hint="eastAsia" w:hAnsi="宋体" w:cs="方正魏碑_GBK"/>
          <w:color w:val="auto"/>
          <w:sz w:val="24"/>
          <w:highlight w:val="none"/>
          <w:u w:val="single"/>
          <w:shd w:val="clear" w:color="auto" w:fill="FFFFFF"/>
        </w:rPr>
        <w:t>）</w:t>
      </w:r>
      <w:r>
        <w:rPr>
          <w:rFonts w:hint="eastAsia" w:hAnsi="宋体" w:cs="方正魏碑_GBK"/>
          <w:color w:val="auto"/>
          <w:sz w:val="24"/>
          <w:highlight w:val="none"/>
          <w:shd w:val="clear" w:color="auto" w:fill="FFFFFF"/>
        </w:rPr>
        <w:t>在中国境内生产。</w:t>
      </w:r>
      <w:r>
        <w:rPr>
          <w:rFonts w:hint="eastAsia" w:hAnsi="宋体" w:cs="方正魏碑_GBK"/>
          <w:color w:val="auto"/>
          <w:sz w:val="24"/>
          <w:highlight w:val="none"/>
          <w:u w:val="single"/>
          <w:shd w:val="clear" w:color="auto" w:fill="FFFFFF"/>
        </w:rPr>
        <w:t>（产品名称1）</w:t>
      </w:r>
      <w:r>
        <w:rPr>
          <w:rFonts w:hint="eastAsia" w:hAnsi="宋体" w:cs="方正魏碑_GBK"/>
          <w:color w:val="auto"/>
          <w:sz w:val="24"/>
          <w:highlight w:val="none"/>
          <w:shd w:val="clear" w:color="auto" w:fill="FFFFFF"/>
        </w:rPr>
        <w:t>的</w:t>
      </w:r>
      <w:r>
        <w:rPr>
          <w:rFonts w:hint="eastAsia" w:hAnsi="宋体" w:cs="方正魏碑_GBK"/>
          <w:color w:val="auto"/>
          <w:sz w:val="24"/>
          <w:highlight w:val="none"/>
          <w:u w:val="single"/>
          <w:shd w:val="clear" w:color="auto" w:fill="FFFFFF"/>
        </w:rPr>
        <w:t>（关键工序）</w:t>
      </w:r>
      <w:r>
        <w:rPr>
          <w:rFonts w:hint="eastAsia" w:hAnsi="宋体" w:cs="方正魏碑_GBK"/>
          <w:color w:val="auto"/>
          <w:sz w:val="24"/>
          <w:highlight w:val="none"/>
          <w:shd w:val="clear" w:color="auto" w:fill="FFFFFF"/>
        </w:rPr>
        <w:t>在中国境内完成。</w:t>
      </w:r>
    </w:p>
    <w:p w14:paraId="62E67835">
      <w:pPr>
        <w:spacing w:before="30" w:after="30" w:line="360" w:lineRule="auto"/>
        <w:ind w:firstLine="420"/>
        <w:rPr>
          <w:rFonts w:hint="eastAsia" w:hAnsi="宋体" w:cs="方正魏碑_GBK"/>
          <w:color w:val="auto"/>
          <w:sz w:val="24"/>
          <w:highlight w:val="none"/>
        </w:rPr>
      </w:pPr>
      <w:r>
        <w:rPr>
          <w:rFonts w:hint="eastAsia" w:hAnsi="宋体" w:cs="方正魏碑_GBK"/>
          <w:color w:val="auto"/>
          <w:sz w:val="24"/>
          <w:highlight w:val="none"/>
          <w:shd w:val="clear" w:color="auto" w:fill="FFFFFF"/>
        </w:rPr>
        <w:t>……</w:t>
      </w:r>
    </w:p>
    <w:p w14:paraId="21619CF5">
      <w:pPr>
        <w:spacing w:before="30" w:after="30" w:line="360" w:lineRule="auto"/>
        <w:ind w:firstLine="420"/>
        <w:rPr>
          <w:rFonts w:hint="eastAsia" w:hAnsi="宋体" w:cs="方正魏碑_GBK"/>
          <w:color w:val="auto"/>
          <w:sz w:val="24"/>
          <w:highlight w:val="none"/>
        </w:rPr>
      </w:pPr>
      <w:r>
        <w:rPr>
          <w:rFonts w:hint="eastAsia" w:hAnsi="宋体" w:cs="方正魏碑_GBK"/>
          <w:color w:val="auto"/>
          <w:sz w:val="24"/>
          <w:highlight w:val="none"/>
          <w:shd w:val="clear" w:color="auto" w:fill="FFFFFF"/>
        </w:rPr>
        <w:t>本公司（单位）对上述声明内容的真实性负责。如有虚假，愿承担相应法律责任。</w:t>
      </w:r>
    </w:p>
    <w:p w14:paraId="3F84E815">
      <w:pPr>
        <w:spacing w:before="30" w:after="30" w:line="360" w:lineRule="auto"/>
        <w:rPr>
          <w:rFonts w:hint="eastAsia" w:hAnsi="宋体" w:cs="方正魏碑_GBK"/>
          <w:color w:val="auto"/>
          <w:sz w:val="24"/>
          <w:highlight w:val="none"/>
        </w:rPr>
      </w:pPr>
    </w:p>
    <w:p w14:paraId="57E0E7B3">
      <w:pPr>
        <w:tabs>
          <w:tab w:val="left" w:pos="4860"/>
        </w:tabs>
        <w:spacing w:line="360" w:lineRule="auto"/>
        <w:ind w:right="1560" w:firstLine="444"/>
        <w:jc w:val="center"/>
        <w:rPr>
          <w:rFonts w:hint="eastAsia" w:hAnsi="宋体"/>
          <w:color w:val="auto"/>
          <w:sz w:val="24"/>
          <w:highlight w:val="none"/>
        </w:rPr>
      </w:pPr>
      <w:r>
        <w:rPr>
          <w:rFonts w:hint="eastAsia" w:hAnsi="宋体"/>
          <w:color w:val="auto"/>
          <w:spacing w:val="6"/>
          <w:sz w:val="24"/>
          <w:highlight w:val="none"/>
        </w:rPr>
        <w:t xml:space="preserve">           </w:t>
      </w:r>
      <w:r>
        <w:rPr>
          <w:rFonts w:hint="eastAsia" w:hAnsi="宋体"/>
          <w:color w:val="auto"/>
          <w:sz w:val="24"/>
          <w:highlight w:val="none"/>
        </w:rPr>
        <w:t xml:space="preserve">               投标人名称（盖章）：</w:t>
      </w:r>
    </w:p>
    <w:p w14:paraId="766B8CF9">
      <w:pPr>
        <w:tabs>
          <w:tab w:val="left" w:pos="4860"/>
        </w:tabs>
        <w:spacing w:line="360" w:lineRule="auto"/>
        <w:ind w:right="1560" w:firstLine="420"/>
        <w:jc w:val="center"/>
        <w:rPr>
          <w:rFonts w:hint="eastAsia" w:hAnsi="宋体" w:cs="方正魏碑_GBK"/>
          <w:color w:val="auto"/>
          <w:sz w:val="24"/>
          <w:highlight w:val="none"/>
        </w:rPr>
      </w:pPr>
      <w:r>
        <w:rPr>
          <w:rFonts w:hint="eastAsia" w:hAnsi="宋体"/>
          <w:color w:val="auto"/>
          <w:sz w:val="24"/>
          <w:highlight w:val="none"/>
        </w:rPr>
        <w:t xml:space="preserve">                              日  期：</w:t>
      </w:r>
      <w:r>
        <w:rPr>
          <w:rFonts w:hint="eastAsia" w:hAnsi="宋体" w:cs="方正魏碑_GBK"/>
          <w:color w:val="auto"/>
          <w:sz w:val="24"/>
          <w:highlight w:val="none"/>
          <w:shd w:val="clear" w:color="auto" w:fill="FFFFFF"/>
        </w:rPr>
        <w:t>   </w:t>
      </w:r>
    </w:p>
    <w:p w14:paraId="1F472A90">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__________________</w:t>
      </w:r>
    </w:p>
    <w:p w14:paraId="22B5C711">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1.产品如有型号，请在“产品名称”栏一并填写。</w:t>
      </w:r>
    </w:p>
    <w:p w14:paraId="24A591FD">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2.生产厂名与厂址应与生产厂营业执照载明的相关信息保持一致。</w:t>
      </w:r>
    </w:p>
    <w:p w14:paraId="25750BF5">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3.该产品的中国境内生产的组件成本占比相关要求实施前，“规定比例”栏可不填，下同。</w:t>
      </w:r>
    </w:p>
    <w:p w14:paraId="14CA880B">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4.该产品的关键组件要求实施前，“关键组件”栏可不填，下同。</w:t>
      </w:r>
    </w:p>
    <w:p w14:paraId="2B1C69C4">
      <w:pPr>
        <w:spacing w:before="30" w:after="30" w:line="360" w:lineRule="auto"/>
        <w:rPr>
          <w:rFonts w:hint="eastAsia" w:hAnsi="宋体" w:cs="方正魏碑_GBK"/>
          <w:color w:val="auto"/>
          <w:sz w:val="24"/>
          <w:highlight w:val="none"/>
          <w:shd w:val="clear" w:color="auto" w:fill="FFFFFF"/>
        </w:rPr>
      </w:pPr>
      <w:r>
        <w:rPr>
          <w:rFonts w:hint="eastAsia" w:hAnsi="宋体" w:cs="方正魏碑_GBK"/>
          <w:color w:val="auto"/>
          <w:sz w:val="24"/>
          <w:highlight w:val="none"/>
          <w:shd w:val="clear" w:color="auto" w:fill="FFFFFF"/>
        </w:rPr>
        <w:t>5.该产品的关键工序要求实施前，“关键工序”栏可不填，下同。</w:t>
      </w:r>
    </w:p>
    <w:p w14:paraId="39A671CB">
      <w:pPr>
        <w:spacing w:before="30" w:after="30" w:line="360" w:lineRule="auto"/>
        <w:rPr>
          <w:rFonts w:hint="eastAsia" w:hAnsi="宋体" w:cs="方正魏碑_GBK"/>
          <w:color w:val="auto"/>
          <w:sz w:val="24"/>
          <w:highlight w:val="none"/>
          <w:shd w:val="clear" w:color="auto" w:fill="FFFFFF"/>
          <w:lang w:val="en-US" w:eastAsia="zh-CN"/>
        </w:rPr>
        <w:sectPr>
          <w:footerReference r:id="rId6" w:type="default"/>
          <w:pgSz w:w="11907" w:h="16839"/>
          <w:pgMar w:top="1440" w:right="1800" w:bottom="1440" w:left="1800" w:header="720" w:footer="720" w:gutter="0"/>
          <w:cols w:space="720" w:num="1"/>
          <w:docGrid w:linePitch="360" w:charSpace="0"/>
        </w:sectPr>
      </w:pPr>
      <w:r>
        <w:rPr>
          <w:rFonts w:hint="eastAsia" w:hAnsi="宋体" w:cs="方正魏碑_GBK"/>
          <w:color w:val="auto"/>
          <w:sz w:val="24"/>
          <w:highlight w:val="none"/>
          <w:shd w:val="clear" w:color="auto" w:fill="FFFFFF"/>
          <w:lang w:val="en-US" w:eastAsia="zh-CN"/>
        </w:rPr>
        <w:t>6.</w:t>
      </w:r>
      <w:r>
        <w:rPr>
          <w:rFonts w:hint="eastAsia" w:hAnsi="宋体" w:cs="方正魏碑_GBK"/>
          <w:color w:val="auto"/>
          <w:sz w:val="24"/>
          <w:highlight w:val="none"/>
          <w:shd w:val="clear" w:color="auto" w:fill="FFFFFF"/>
        </w:rPr>
        <w:t>成本比例计算仅包含硬件设备采购成本，系统集成、施工辅材、人工服务不计入产品成本核算基数</w:t>
      </w:r>
      <w:r>
        <w:rPr>
          <w:rFonts w:hint="eastAsia" w:hAnsi="宋体" w:cs="方正魏碑_GBK"/>
          <w:color w:val="auto"/>
          <w:sz w:val="24"/>
          <w:highlight w:val="none"/>
          <w:shd w:val="clear" w:color="auto" w:fill="FFFFFF"/>
          <w:lang w:eastAsia="zh-CN"/>
        </w:rPr>
        <w:t>。</w:t>
      </w:r>
    </w:p>
    <w:p w14:paraId="21A6980C">
      <w:pPr>
        <w:spacing w:line="300" w:lineRule="auto"/>
        <w:rPr>
          <w:rFonts w:hint="eastAsia" w:ascii="宋体" w:hAnsi="宋体" w:cs="宋体"/>
          <w:color w:val="auto"/>
          <w:sz w:val="28"/>
          <w:szCs w:val="28"/>
          <w:highlight w:val="none"/>
        </w:rPr>
      </w:pPr>
      <w:r>
        <w:rPr>
          <w:rFonts w:hint="eastAsia" w:ascii="宋体" w:hAnsi="宋体" w:cs="宋体"/>
          <w:color w:val="auto"/>
          <w:sz w:val="32"/>
          <w:szCs w:val="32"/>
          <w:highlight w:val="none"/>
        </w:rPr>
        <w:t>附件3</w:t>
      </w:r>
    </w:p>
    <w:p w14:paraId="0690683B">
      <w:pPr>
        <w:tabs>
          <w:tab w:val="left" w:pos="1260"/>
        </w:tabs>
        <w:spacing w:line="300" w:lineRule="auto"/>
        <w:contextualSpacing/>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投标人情况一览表</w:t>
      </w:r>
    </w:p>
    <w:tbl>
      <w:tblPr>
        <w:tblStyle w:val="49"/>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595"/>
        <w:gridCol w:w="765"/>
        <w:gridCol w:w="283"/>
        <w:gridCol w:w="1050"/>
        <w:gridCol w:w="567"/>
        <w:gridCol w:w="946"/>
        <w:gridCol w:w="1263"/>
        <w:gridCol w:w="61"/>
        <w:gridCol w:w="1212"/>
        <w:gridCol w:w="168"/>
        <w:gridCol w:w="1438"/>
      </w:tblGrid>
      <w:tr w14:paraId="233BC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12" w:type="dxa"/>
            <w:gridSpan w:val="2"/>
            <w:tcBorders>
              <w:top w:val="single" w:color="auto" w:sz="4" w:space="0"/>
              <w:left w:val="single" w:color="auto" w:sz="4" w:space="0"/>
            </w:tcBorders>
            <w:noWrap w:val="0"/>
            <w:vAlign w:val="center"/>
          </w:tcPr>
          <w:p w14:paraId="5DA6BB7B">
            <w:pPr>
              <w:tabs>
                <w:tab w:val="left" w:pos="4320"/>
              </w:tabs>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单位名称</w:t>
            </w:r>
          </w:p>
        </w:tc>
        <w:tc>
          <w:tcPr>
            <w:tcW w:w="7753" w:type="dxa"/>
            <w:gridSpan w:val="10"/>
            <w:tcBorders>
              <w:top w:val="single" w:color="auto" w:sz="4" w:space="0"/>
              <w:right w:val="single" w:color="auto" w:sz="4" w:space="0"/>
            </w:tcBorders>
            <w:noWrap w:val="0"/>
            <w:vAlign w:val="center"/>
          </w:tcPr>
          <w:p w14:paraId="75987E0E">
            <w:pPr>
              <w:tabs>
                <w:tab w:val="left" w:pos="4320"/>
              </w:tabs>
              <w:rPr>
                <w:rFonts w:hint="eastAsia" w:ascii="宋体" w:hAnsi="宋体" w:cs="宋体"/>
                <w:color w:val="auto"/>
                <w:sz w:val="28"/>
                <w:szCs w:val="28"/>
                <w:highlight w:val="none"/>
              </w:rPr>
            </w:pPr>
          </w:p>
        </w:tc>
      </w:tr>
      <w:tr w14:paraId="7F0A8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177" w:type="dxa"/>
            <w:gridSpan w:val="3"/>
            <w:tcBorders>
              <w:left w:val="single" w:color="auto" w:sz="4" w:space="0"/>
              <w:right w:val="single" w:color="auto" w:sz="4" w:space="0"/>
            </w:tcBorders>
            <w:noWrap w:val="0"/>
            <w:vAlign w:val="center"/>
          </w:tcPr>
          <w:p w14:paraId="7DBDDF68">
            <w:pPr>
              <w:tabs>
                <w:tab w:val="left" w:pos="4320"/>
              </w:tabs>
              <w:rPr>
                <w:rFonts w:hint="eastAsia" w:ascii="宋体" w:hAnsi="宋体" w:cs="宋体"/>
                <w:color w:val="auto"/>
                <w:sz w:val="28"/>
                <w:szCs w:val="28"/>
                <w:highlight w:val="none"/>
              </w:rPr>
            </w:pPr>
            <w:r>
              <w:rPr>
                <w:rFonts w:hint="eastAsia" w:ascii="宋体" w:hAnsi="宋体" w:cs="宋体"/>
                <w:color w:val="auto"/>
                <w:sz w:val="28"/>
                <w:szCs w:val="28"/>
                <w:highlight w:val="none"/>
              </w:rPr>
              <w:t>单位优势及特长</w:t>
            </w:r>
          </w:p>
        </w:tc>
        <w:tc>
          <w:tcPr>
            <w:tcW w:w="6988" w:type="dxa"/>
            <w:gridSpan w:val="9"/>
            <w:tcBorders>
              <w:left w:val="single" w:color="auto" w:sz="4" w:space="0"/>
              <w:right w:val="single" w:color="auto" w:sz="4" w:space="0"/>
            </w:tcBorders>
            <w:noWrap w:val="0"/>
            <w:vAlign w:val="center"/>
          </w:tcPr>
          <w:p w14:paraId="7A40E457">
            <w:pPr>
              <w:tabs>
                <w:tab w:val="left" w:pos="4320"/>
              </w:tabs>
              <w:rPr>
                <w:rFonts w:hint="eastAsia" w:ascii="宋体" w:hAnsi="宋体" w:cs="宋体"/>
                <w:color w:val="auto"/>
                <w:sz w:val="28"/>
                <w:szCs w:val="28"/>
                <w:highlight w:val="none"/>
              </w:rPr>
            </w:pPr>
          </w:p>
        </w:tc>
      </w:tr>
      <w:tr w14:paraId="1A067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restart"/>
            <w:tcBorders>
              <w:left w:val="single" w:color="auto" w:sz="4" w:space="0"/>
            </w:tcBorders>
            <w:noWrap w:val="0"/>
            <w:vAlign w:val="center"/>
          </w:tcPr>
          <w:p w14:paraId="59614953">
            <w:pPr>
              <w:tabs>
                <w:tab w:val="left" w:pos="4320"/>
              </w:tabs>
              <w:ind w:left="311" w:hanging="310"/>
              <w:rPr>
                <w:rFonts w:hint="eastAsia" w:ascii="宋体" w:hAnsi="宋体" w:cs="宋体"/>
                <w:color w:val="auto"/>
                <w:sz w:val="28"/>
                <w:szCs w:val="28"/>
                <w:highlight w:val="none"/>
              </w:rPr>
            </w:pPr>
            <w:r>
              <w:rPr>
                <w:rFonts w:hint="eastAsia" w:ascii="宋体" w:hAnsi="宋体" w:cs="宋体"/>
                <w:color w:val="auto"/>
                <w:sz w:val="28"/>
                <w:szCs w:val="28"/>
                <w:highlight w:val="none"/>
              </w:rPr>
              <w:t>单位</w:t>
            </w:r>
          </w:p>
          <w:p w14:paraId="1BDB56FA">
            <w:pPr>
              <w:tabs>
                <w:tab w:val="left" w:pos="4320"/>
              </w:tabs>
              <w:ind w:left="311" w:hanging="310"/>
              <w:rPr>
                <w:rFonts w:hint="eastAsia" w:ascii="宋体" w:hAnsi="宋体" w:cs="宋体"/>
                <w:color w:val="auto"/>
                <w:sz w:val="28"/>
                <w:szCs w:val="28"/>
                <w:highlight w:val="none"/>
              </w:rPr>
            </w:pPr>
            <w:r>
              <w:rPr>
                <w:rFonts w:hint="eastAsia" w:ascii="宋体" w:hAnsi="宋体" w:cs="宋体"/>
                <w:color w:val="auto"/>
                <w:sz w:val="28"/>
                <w:szCs w:val="28"/>
                <w:highlight w:val="none"/>
              </w:rPr>
              <w:t>概况</w:t>
            </w:r>
          </w:p>
        </w:tc>
        <w:tc>
          <w:tcPr>
            <w:tcW w:w="1360" w:type="dxa"/>
            <w:gridSpan w:val="2"/>
            <w:noWrap w:val="0"/>
            <w:vAlign w:val="center"/>
          </w:tcPr>
          <w:p w14:paraId="7C57E385">
            <w:pPr>
              <w:tabs>
                <w:tab w:val="left" w:pos="4320"/>
              </w:tabs>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职工总数</w:t>
            </w:r>
          </w:p>
        </w:tc>
        <w:tc>
          <w:tcPr>
            <w:tcW w:w="1333" w:type="dxa"/>
            <w:gridSpan w:val="2"/>
            <w:noWrap w:val="0"/>
            <w:vAlign w:val="center"/>
          </w:tcPr>
          <w:p w14:paraId="1A87E771">
            <w:pPr>
              <w:tabs>
                <w:tab w:val="left" w:pos="4320"/>
              </w:tabs>
              <w:jc w:val="right"/>
              <w:rPr>
                <w:rFonts w:hint="eastAsia" w:ascii="宋体" w:hAnsi="宋体" w:cs="宋体"/>
                <w:color w:val="auto"/>
                <w:sz w:val="28"/>
                <w:szCs w:val="28"/>
                <w:highlight w:val="none"/>
              </w:rPr>
            </w:pPr>
            <w:r>
              <w:rPr>
                <w:rFonts w:hint="eastAsia" w:ascii="宋体" w:hAnsi="宋体" w:cs="宋体"/>
                <w:color w:val="auto"/>
                <w:sz w:val="28"/>
                <w:szCs w:val="28"/>
                <w:highlight w:val="none"/>
              </w:rPr>
              <w:t>人</w:t>
            </w:r>
          </w:p>
        </w:tc>
        <w:tc>
          <w:tcPr>
            <w:tcW w:w="567" w:type="dxa"/>
            <w:vMerge w:val="restart"/>
            <w:noWrap w:val="0"/>
            <w:vAlign w:val="center"/>
          </w:tcPr>
          <w:p w14:paraId="2D314509">
            <w:pPr>
              <w:tabs>
                <w:tab w:val="left" w:pos="4320"/>
              </w:tabs>
              <w:rPr>
                <w:rFonts w:hint="eastAsia" w:ascii="宋体" w:hAnsi="宋体" w:cs="宋体"/>
                <w:color w:val="auto"/>
                <w:sz w:val="28"/>
                <w:szCs w:val="28"/>
                <w:highlight w:val="none"/>
              </w:rPr>
            </w:pPr>
            <w:r>
              <w:rPr>
                <w:rFonts w:hint="eastAsia" w:ascii="宋体" w:hAnsi="宋体" w:cs="宋体"/>
                <w:color w:val="auto"/>
                <w:sz w:val="28"/>
                <w:szCs w:val="28"/>
                <w:highlight w:val="none"/>
              </w:rPr>
              <w:t>上一年主要经济指标</w:t>
            </w:r>
          </w:p>
        </w:tc>
        <w:tc>
          <w:tcPr>
            <w:tcW w:w="946" w:type="dxa"/>
            <w:noWrap w:val="0"/>
            <w:vAlign w:val="center"/>
          </w:tcPr>
          <w:p w14:paraId="03F8745C">
            <w:pPr>
              <w:tabs>
                <w:tab w:val="left" w:pos="4320"/>
              </w:tabs>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营业额</w:t>
            </w:r>
          </w:p>
        </w:tc>
        <w:tc>
          <w:tcPr>
            <w:tcW w:w="1324" w:type="dxa"/>
            <w:gridSpan w:val="2"/>
            <w:noWrap w:val="0"/>
            <w:vAlign w:val="center"/>
          </w:tcPr>
          <w:p w14:paraId="7FDC93B4">
            <w:pPr>
              <w:tabs>
                <w:tab w:val="left" w:pos="4320"/>
              </w:tabs>
              <w:rPr>
                <w:rFonts w:hint="eastAsia" w:ascii="宋体" w:hAnsi="宋体" w:cs="宋体"/>
                <w:color w:val="auto"/>
                <w:sz w:val="28"/>
                <w:szCs w:val="28"/>
                <w:highlight w:val="none"/>
              </w:rPr>
            </w:pPr>
          </w:p>
        </w:tc>
        <w:tc>
          <w:tcPr>
            <w:tcW w:w="1380" w:type="dxa"/>
            <w:gridSpan w:val="2"/>
            <w:noWrap w:val="0"/>
            <w:vAlign w:val="center"/>
          </w:tcPr>
          <w:p w14:paraId="6BAC2645">
            <w:pPr>
              <w:tabs>
                <w:tab w:val="left" w:pos="4320"/>
              </w:tabs>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实现利润</w:t>
            </w:r>
          </w:p>
        </w:tc>
        <w:tc>
          <w:tcPr>
            <w:tcW w:w="1438" w:type="dxa"/>
            <w:tcBorders>
              <w:right w:val="single" w:color="auto" w:sz="4" w:space="0"/>
            </w:tcBorders>
            <w:noWrap w:val="0"/>
            <w:vAlign w:val="center"/>
          </w:tcPr>
          <w:p w14:paraId="08090319">
            <w:pPr>
              <w:tabs>
                <w:tab w:val="left" w:pos="4320"/>
              </w:tabs>
              <w:rPr>
                <w:rFonts w:hint="eastAsia" w:ascii="宋体" w:hAnsi="宋体" w:cs="宋体"/>
                <w:color w:val="auto"/>
                <w:sz w:val="28"/>
                <w:szCs w:val="28"/>
                <w:highlight w:val="none"/>
              </w:rPr>
            </w:pPr>
          </w:p>
        </w:tc>
      </w:tr>
      <w:tr w14:paraId="549C4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single" w:color="auto" w:sz="4" w:space="0"/>
            </w:tcBorders>
            <w:noWrap w:val="0"/>
            <w:vAlign w:val="center"/>
          </w:tcPr>
          <w:p w14:paraId="7D553900">
            <w:pPr>
              <w:tabs>
                <w:tab w:val="left" w:pos="4320"/>
              </w:tabs>
              <w:ind w:left="311" w:hanging="310"/>
              <w:rPr>
                <w:rFonts w:hint="eastAsia" w:ascii="宋体" w:hAnsi="宋体" w:cs="宋体"/>
                <w:color w:val="auto"/>
                <w:sz w:val="28"/>
                <w:szCs w:val="28"/>
                <w:highlight w:val="none"/>
              </w:rPr>
            </w:pPr>
          </w:p>
        </w:tc>
        <w:tc>
          <w:tcPr>
            <w:tcW w:w="1360" w:type="dxa"/>
            <w:gridSpan w:val="2"/>
            <w:noWrap w:val="0"/>
            <w:vAlign w:val="center"/>
          </w:tcPr>
          <w:p w14:paraId="0C15859A">
            <w:pPr>
              <w:tabs>
                <w:tab w:val="left" w:pos="4320"/>
              </w:tabs>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流动资金</w:t>
            </w:r>
          </w:p>
        </w:tc>
        <w:tc>
          <w:tcPr>
            <w:tcW w:w="1333" w:type="dxa"/>
            <w:gridSpan w:val="2"/>
            <w:noWrap w:val="0"/>
            <w:vAlign w:val="center"/>
          </w:tcPr>
          <w:p w14:paraId="74DE4081">
            <w:pPr>
              <w:tabs>
                <w:tab w:val="left" w:pos="4320"/>
              </w:tabs>
              <w:jc w:val="right"/>
              <w:rPr>
                <w:rFonts w:hint="eastAsia" w:ascii="宋体" w:hAnsi="宋体" w:cs="宋体"/>
                <w:color w:val="auto"/>
                <w:sz w:val="28"/>
                <w:szCs w:val="28"/>
                <w:highlight w:val="none"/>
              </w:rPr>
            </w:pPr>
            <w:r>
              <w:rPr>
                <w:rFonts w:hint="eastAsia" w:ascii="宋体" w:hAnsi="宋体" w:cs="宋体"/>
                <w:color w:val="auto"/>
                <w:sz w:val="28"/>
                <w:szCs w:val="28"/>
                <w:highlight w:val="none"/>
              </w:rPr>
              <w:t>万元</w:t>
            </w:r>
          </w:p>
        </w:tc>
        <w:tc>
          <w:tcPr>
            <w:tcW w:w="567" w:type="dxa"/>
            <w:vMerge w:val="continue"/>
            <w:noWrap w:val="0"/>
            <w:vAlign w:val="center"/>
          </w:tcPr>
          <w:p w14:paraId="0753F2D6">
            <w:pPr>
              <w:tabs>
                <w:tab w:val="left" w:pos="4320"/>
              </w:tabs>
              <w:rPr>
                <w:rFonts w:hint="eastAsia" w:ascii="宋体" w:hAnsi="宋体" w:cs="宋体"/>
                <w:color w:val="auto"/>
                <w:sz w:val="28"/>
                <w:szCs w:val="28"/>
                <w:highlight w:val="none"/>
              </w:rPr>
            </w:pPr>
          </w:p>
        </w:tc>
        <w:tc>
          <w:tcPr>
            <w:tcW w:w="946" w:type="dxa"/>
            <w:vMerge w:val="restart"/>
            <w:noWrap w:val="0"/>
            <w:vAlign w:val="center"/>
          </w:tcPr>
          <w:p w14:paraId="1D03A146">
            <w:pPr>
              <w:tabs>
                <w:tab w:val="left" w:pos="4320"/>
              </w:tabs>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主要</w:t>
            </w:r>
          </w:p>
          <w:p w14:paraId="503FEFEA">
            <w:pPr>
              <w:tabs>
                <w:tab w:val="left" w:pos="4320"/>
              </w:tabs>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产品</w:t>
            </w:r>
          </w:p>
        </w:tc>
        <w:tc>
          <w:tcPr>
            <w:tcW w:w="4142" w:type="dxa"/>
            <w:gridSpan w:val="5"/>
            <w:tcBorders>
              <w:right w:val="single" w:color="auto" w:sz="4" w:space="0"/>
            </w:tcBorders>
            <w:noWrap w:val="0"/>
            <w:vAlign w:val="center"/>
          </w:tcPr>
          <w:p w14:paraId="6CE778F7">
            <w:pPr>
              <w:tabs>
                <w:tab w:val="left" w:pos="4320"/>
              </w:tabs>
              <w:spacing w:before="120" w:after="120"/>
              <w:rPr>
                <w:rFonts w:hint="eastAsia" w:ascii="宋体" w:hAnsi="宋体" w:cs="宋体"/>
                <w:color w:val="auto"/>
                <w:sz w:val="28"/>
                <w:szCs w:val="28"/>
                <w:highlight w:val="none"/>
              </w:rPr>
            </w:pPr>
            <w:r>
              <w:rPr>
                <w:rFonts w:hint="eastAsia" w:ascii="宋体" w:hAnsi="宋体" w:cs="宋体"/>
                <w:color w:val="auto"/>
                <w:sz w:val="28"/>
                <w:szCs w:val="28"/>
                <w:highlight w:val="none"/>
              </w:rPr>
              <w:t>1.</w:t>
            </w:r>
          </w:p>
        </w:tc>
      </w:tr>
      <w:tr w14:paraId="500CD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2" w:hRule="atLeast"/>
        </w:trPr>
        <w:tc>
          <w:tcPr>
            <w:tcW w:w="817" w:type="dxa"/>
            <w:vMerge w:val="continue"/>
            <w:tcBorders>
              <w:left w:val="single" w:color="auto" w:sz="4" w:space="0"/>
            </w:tcBorders>
            <w:noWrap w:val="0"/>
            <w:vAlign w:val="center"/>
          </w:tcPr>
          <w:p w14:paraId="5A70EC7A">
            <w:pPr>
              <w:tabs>
                <w:tab w:val="left" w:pos="4320"/>
              </w:tabs>
              <w:ind w:left="311" w:hanging="310"/>
              <w:rPr>
                <w:rFonts w:hint="eastAsia" w:ascii="宋体" w:hAnsi="宋体" w:cs="宋体"/>
                <w:color w:val="auto"/>
                <w:sz w:val="28"/>
                <w:szCs w:val="28"/>
                <w:highlight w:val="none"/>
              </w:rPr>
            </w:pPr>
          </w:p>
        </w:tc>
        <w:tc>
          <w:tcPr>
            <w:tcW w:w="1360" w:type="dxa"/>
            <w:gridSpan w:val="2"/>
            <w:noWrap w:val="0"/>
            <w:vAlign w:val="center"/>
          </w:tcPr>
          <w:p w14:paraId="0A1ED38C">
            <w:pPr>
              <w:tabs>
                <w:tab w:val="left" w:pos="4320"/>
              </w:tabs>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固定资产</w:t>
            </w:r>
          </w:p>
          <w:p w14:paraId="3AEC0700">
            <w:pPr>
              <w:tabs>
                <w:tab w:val="left" w:pos="4320"/>
              </w:tabs>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（万元）</w:t>
            </w:r>
          </w:p>
        </w:tc>
        <w:tc>
          <w:tcPr>
            <w:tcW w:w="1333" w:type="dxa"/>
            <w:gridSpan w:val="2"/>
            <w:noWrap w:val="0"/>
            <w:vAlign w:val="center"/>
          </w:tcPr>
          <w:p w14:paraId="1B034297">
            <w:pPr>
              <w:tabs>
                <w:tab w:val="left" w:pos="-48"/>
                <w:tab w:val="left" w:pos="4320"/>
              </w:tabs>
              <w:ind w:right="-133" w:hanging="48"/>
              <w:rPr>
                <w:rFonts w:hint="eastAsia" w:ascii="宋体" w:hAnsi="宋体" w:cs="宋体"/>
                <w:color w:val="auto"/>
                <w:sz w:val="28"/>
                <w:szCs w:val="28"/>
                <w:highlight w:val="none"/>
              </w:rPr>
            </w:pPr>
            <w:r>
              <w:rPr>
                <w:rFonts w:hint="eastAsia" w:ascii="宋体" w:hAnsi="宋体" w:cs="宋体"/>
                <w:color w:val="auto"/>
                <w:sz w:val="28"/>
                <w:szCs w:val="28"/>
                <w:highlight w:val="none"/>
              </w:rPr>
              <w:t>原值：</w:t>
            </w:r>
          </w:p>
          <w:p w14:paraId="73D8A189">
            <w:pPr>
              <w:tabs>
                <w:tab w:val="left" w:pos="-48"/>
                <w:tab w:val="left" w:pos="4320"/>
              </w:tabs>
              <w:ind w:hanging="48"/>
              <w:jc w:val="right"/>
              <w:rPr>
                <w:rFonts w:hint="eastAsia" w:ascii="宋体" w:hAnsi="宋体" w:cs="宋体"/>
                <w:color w:val="auto"/>
                <w:sz w:val="28"/>
                <w:szCs w:val="28"/>
                <w:highlight w:val="none"/>
              </w:rPr>
            </w:pPr>
          </w:p>
          <w:p w14:paraId="173B0D69">
            <w:pPr>
              <w:tabs>
                <w:tab w:val="left" w:pos="-48"/>
                <w:tab w:val="left" w:pos="4320"/>
              </w:tabs>
              <w:ind w:right="-133" w:hanging="48"/>
              <w:rPr>
                <w:rFonts w:hint="eastAsia" w:ascii="宋体" w:hAnsi="宋体" w:cs="宋体"/>
                <w:color w:val="auto"/>
                <w:sz w:val="28"/>
                <w:szCs w:val="28"/>
                <w:highlight w:val="none"/>
              </w:rPr>
            </w:pPr>
            <w:r>
              <w:rPr>
                <w:rFonts w:hint="eastAsia" w:ascii="宋体" w:hAnsi="宋体" w:cs="宋体"/>
                <w:color w:val="auto"/>
                <w:sz w:val="28"/>
                <w:szCs w:val="28"/>
                <w:highlight w:val="none"/>
              </w:rPr>
              <w:t>净值：</w:t>
            </w:r>
          </w:p>
          <w:p w14:paraId="785E1ECE">
            <w:pPr>
              <w:tabs>
                <w:tab w:val="left" w:pos="-48"/>
                <w:tab w:val="left" w:pos="4320"/>
              </w:tabs>
              <w:ind w:hanging="48"/>
              <w:jc w:val="right"/>
              <w:rPr>
                <w:rFonts w:hint="eastAsia" w:ascii="宋体" w:hAnsi="宋体" w:cs="宋体"/>
                <w:color w:val="auto"/>
                <w:sz w:val="28"/>
                <w:szCs w:val="28"/>
                <w:highlight w:val="none"/>
              </w:rPr>
            </w:pPr>
          </w:p>
        </w:tc>
        <w:tc>
          <w:tcPr>
            <w:tcW w:w="567" w:type="dxa"/>
            <w:vMerge w:val="continue"/>
            <w:noWrap w:val="0"/>
            <w:vAlign w:val="center"/>
          </w:tcPr>
          <w:p w14:paraId="4991DA9E">
            <w:pPr>
              <w:tabs>
                <w:tab w:val="left" w:pos="4320"/>
              </w:tabs>
              <w:rPr>
                <w:rFonts w:hint="eastAsia" w:ascii="宋体" w:hAnsi="宋体" w:cs="宋体"/>
                <w:color w:val="auto"/>
                <w:sz w:val="28"/>
                <w:szCs w:val="28"/>
                <w:highlight w:val="none"/>
              </w:rPr>
            </w:pPr>
          </w:p>
        </w:tc>
        <w:tc>
          <w:tcPr>
            <w:tcW w:w="946" w:type="dxa"/>
            <w:vMerge w:val="continue"/>
            <w:noWrap w:val="0"/>
            <w:vAlign w:val="center"/>
          </w:tcPr>
          <w:p w14:paraId="3F3630EA">
            <w:pPr>
              <w:tabs>
                <w:tab w:val="left" w:pos="4320"/>
              </w:tabs>
              <w:jc w:val="center"/>
              <w:rPr>
                <w:rFonts w:hint="eastAsia" w:ascii="宋体" w:hAnsi="宋体" w:cs="宋体"/>
                <w:color w:val="auto"/>
                <w:sz w:val="28"/>
                <w:szCs w:val="28"/>
                <w:highlight w:val="none"/>
              </w:rPr>
            </w:pPr>
          </w:p>
        </w:tc>
        <w:tc>
          <w:tcPr>
            <w:tcW w:w="4142" w:type="dxa"/>
            <w:gridSpan w:val="5"/>
            <w:tcBorders>
              <w:right w:val="single" w:color="auto" w:sz="4" w:space="0"/>
            </w:tcBorders>
            <w:noWrap w:val="0"/>
            <w:vAlign w:val="center"/>
          </w:tcPr>
          <w:p w14:paraId="1A6BD41F">
            <w:pPr>
              <w:tabs>
                <w:tab w:val="left" w:pos="4320"/>
              </w:tabs>
              <w:rPr>
                <w:rFonts w:hint="eastAsia" w:ascii="宋体" w:hAnsi="宋体" w:cs="宋体"/>
                <w:color w:val="auto"/>
                <w:sz w:val="28"/>
                <w:szCs w:val="28"/>
                <w:highlight w:val="none"/>
              </w:rPr>
            </w:pPr>
            <w:r>
              <w:rPr>
                <w:rFonts w:hint="eastAsia" w:ascii="宋体" w:hAnsi="宋体" w:cs="宋体"/>
                <w:color w:val="auto"/>
                <w:sz w:val="28"/>
                <w:szCs w:val="28"/>
                <w:highlight w:val="none"/>
              </w:rPr>
              <w:t>2.</w:t>
            </w:r>
          </w:p>
        </w:tc>
      </w:tr>
      <w:tr w14:paraId="3A860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single" w:color="auto" w:sz="4" w:space="0"/>
            </w:tcBorders>
            <w:noWrap w:val="0"/>
            <w:vAlign w:val="center"/>
          </w:tcPr>
          <w:p w14:paraId="25E66D98">
            <w:pPr>
              <w:tabs>
                <w:tab w:val="left" w:pos="4320"/>
              </w:tabs>
              <w:ind w:left="311" w:hanging="310"/>
              <w:rPr>
                <w:rFonts w:hint="eastAsia" w:ascii="宋体" w:hAnsi="宋体" w:cs="宋体"/>
                <w:color w:val="auto"/>
                <w:sz w:val="28"/>
                <w:szCs w:val="28"/>
                <w:highlight w:val="none"/>
              </w:rPr>
            </w:pPr>
          </w:p>
        </w:tc>
        <w:tc>
          <w:tcPr>
            <w:tcW w:w="1360" w:type="dxa"/>
            <w:gridSpan w:val="2"/>
            <w:noWrap w:val="0"/>
            <w:vAlign w:val="center"/>
          </w:tcPr>
          <w:p w14:paraId="649CD614">
            <w:pPr>
              <w:tabs>
                <w:tab w:val="left" w:pos="4320"/>
              </w:tabs>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占地面积</w:t>
            </w:r>
          </w:p>
        </w:tc>
        <w:tc>
          <w:tcPr>
            <w:tcW w:w="1333" w:type="dxa"/>
            <w:gridSpan w:val="2"/>
            <w:noWrap w:val="0"/>
            <w:vAlign w:val="center"/>
          </w:tcPr>
          <w:p w14:paraId="0FADB446">
            <w:pPr>
              <w:tabs>
                <w:tab w:val="left" w:pos="4320"/>
              </w:tabs>
              <w:jc w:val="right"/>
              <w:rPr>
                <w:rFonts w:hint="eastAsia" w:ascii="宋体" w:hAnsi="宋体" w:cs="宋体"/>
                <w:color w:val="auto"/>
                <w:sz w:val="28"/>
                <w:szCs w:val="28"/>
                <w:highlight w:val="none"/>
              </w:rPr>
            </w:pPr>
            <w:r>
              <w:rPr>
                <w:rFonts w:hint="eastAsia" w:ascii="宋体" w:hAnsi="宋体" w:cs="宋体"/>
                <w:color w:val="auto"/>
                <w:sz w:val="28"/>
                <w:szCs w:val="28"/>
                <w:highlight w:val="none"/>
              </w:rPr>
              <w:t>M</w:t>
            </w:r>
            <w:r>
              <w:rPr>
                <w:rFonts w:hint="eastAsia" w:ascii="宋体" w:hAnsi="宋体" w:cs="宋体"/>
                <w:color w:val="auto"/>
                <w:sz w:val="28"/>
                <w:szCs w:val="28"/>
                <w:highlight w:val="none"/>
                <w:vertAlign w:val="superscript"/>
              </w:rPr>
              <w:t>2</w:t>
            </w:r>
          </w:p>
        </w:tc>
        <w:tc>
          <w:tcPr>
            <w:tcW w:w="567" w:type="dxa"/>
            <w:vMerge w:val="continue"/>
            <w:noWrap w:val="0"/>
            <w:vAlign w:val="center"/>
          </w:tcPr>
          <w:p w14:paraId="53C4063E">
            <w:pPr>
              <w:tabs>
                <w:tab w:val="left" w:pos="4320"/>
              </w:tabs>
              <w:rPr>
                <w:rFonts w:hint="eastAsia" w:ascii="宋体" w:hAnsi="宋体" w:cs="宋体"/>
                <w:color w:val="auto"/>
                <w:sz w:val="28"/>
                <w:szCs w:val="28"/>
                <w:highlight w:val="none"/>
              </w:rPr>
            </w:pPr>
          </w:p>
        </w:tc>
        <w:tc>
          <w:tcPr>
            <w:tcW w:w="946" w:type="dxa"/>
            <w:vMerge w:val="continue"/>
            <w:noWrap w:val="0"/>
            <w:vAlign w:val="center"/>
          </w:tcPr>
          <w:p w14:paraId="4B736E35">
            <w:pPr>
              <w:tabs>
                <w:tab w:val="left" w:pos="4320"/>
              </w:tabs>
              <w:jc w:val="center"/>
              <w:rPr>
                <w:rFonts w:hint="eastAsia" w:ascii="宋体" w:hAnsi="宋体" w:cs="宋体"/>
                <w:color w:val="auto"/>
                <w:sz w:val="28"/>
                <w:szCs w:val="28"/>
                <w:highlight w:val="none"/>
              </w:rPr>
            </w:pPr>
          </w:p>
        </w:tc>
        <w:tc>
          <w:tcPr>
            <w:tcW w:w="4142" w:type="dxa"/>
            <w:gridSpan w:val="5"/>
            <w:tcBorders>
              <w:right w:val="single" w:color="auto" w:sz="4" w:space="0"/>
            </w:tcBorders>
            <w:noWrap w:val="0"/>
            <w:vAlign w:val="center"/>
          </w:tcPr>
          <w:p w14:paraId="76069DA3">
            <w:pPr>
              <w:tabs>
                <w:tab w:val="left" w:pos="4320"/>
              </w:tabs>
              <w:spacing w:before="120" w:after="120"/>
              <w:rPr>
                <w:rFonts w:hint="eastAsia" w:ascii="宋体" w:hAnsi="宋体" w:cs="宋体"/>
                <w:color w:val="auto"/>
                <w:sz w:val="28"/>
                <w:szCs w:val="28"/>
                <w:highlight w:val="none"/>
              </w:rPr>
            </w:pPr>
            <w:r>
              <w:rPr>
                <w:rFonts w:hint="eastAsia" w:ascii="宋体" w:hAnsi="宋体" w:cs="宋体"/>
                <w:color w:val="auto"/>
                <w:sz w:val="28"/>
                <w:szCs w:val="28"/>
                <w:highlight w:val="none"/>
              </w:rPr>
              <w:t>3.</w:t>
            </w:r>
          </w:p>
        </w:tc>
      </w:tr>
      <w:tr w14:paraId="52BCC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restart"/>
            <w:tcBorders>
              <w:left w:val="single" w:color="auto" w:sz="4" w:space="0"/>
            </w:tcBorders>
            <w:noWrap w:val="0"/>
            <w:vAlign w:val="center"/>
          </w:tcPr>
          <w:p w14:paraId="29160770">
            <w:pPr>
              <w:tabs>
                <w:tab w:val="left" w:pos="4320"/>
              </w:tabs>
              <w:ind w:left="311" w:hanging="310"/>
              <w:rPr>
                <w:rFonts w:hint="eastAsia" w:ascii="宋体" w:hAnsi="宋体" w:cs="宋体"/>
                <w:color w:val="auto"/>
                <w:sz w:val="28"/>
                <w:szCs w:val="28"/>
                <w:highlight w:val="none"/>
              </w:rPr>
            </w:pPr>
            <w:r>
              <w:rPr>
                <w:rFonts w:hint="eastAsia" w:ascii="宋体" w:hAnsi="宋体" w:cs="宋体"/>
                <w:color w:val="auto"/>
                <w:sz w:val="28"/>
                <w:szCs w:val="28"/>
                <w:highlight w:val="none"/>
              </w:rPr>
              <w:t>本次</w:t>
            </w:r>
          </w:p>
          <w:p w14:paraId="0FF26B84">
            <w:pPr>
              <w:tabs>
                <w:tab w:val="left" w:pos="4320"/>
              </w:tabs>
              <w:ind w:left="311" w:hanging="310"/>
              <w:rPr>
                <w:rFonts w:hint="eastAsia" w:ascii="宋体" w:hAnsi="宋体" w:cs="宋体"/>
                <w:color w:val="auto"/>
                <w:sz w:val="28"/>
                <w:szCs w:val="28"/>
                <w:highlight w:val="none"/>
              </w:rPr>
            </w:pPr>
            <w:r>
              <w:rPr>
                <w:rFonts w:hint="eastAsia" w:ascii="宋体" w:hAnsi="宋体" w:cs="宋体"/>
                <w:color w:val="auto"/>
                <w:sz w:val="28"/>
                <w:szCs w:val="28"/>
                <w:highlight w:val="none"/>
              </w:rPr>
              <w:t>投标</w:t>
            </w:r>
          </w:p>
          <w:p w14:paraId="3EC58B6E">
            <w:pPr>
              <w:tabs>
                <w:tab w:val="left" w:pos="4320"/>
              </w:tabs>
              <w:ind w:left="311" w:hanging="310"/>
              <w:rPr>
                <w:rFonts w:hint="eastAsia" w:ascii="宋体" w:hAnsi="宋体" w:cs="宋体"/>
                <w:color w:val="auto"/>
                <w:sz w:val="28"/>
                <w:szCs w:val="28"/>
                <w:highlight w:val="none"/>
              </w:rPr>
            </w:pPr>
            <w:r>
              <w:rPr>
                <w:rFonts w:hint="eastAsia" w:ascii="宋体" w:hAnsi="宋体" w:cs="宋体"/>
                <w:color w:val="auto"/>
                <w:sz w:val="28"/>
                <w:szCs w:val="28"/>
                <w:highlight w:val="none"/>
              </w:rPr>
              <w:t>产品</w:t>
            </w:r>
          </w:p>
          <w:p w14:paraId="044523F6">
            <w:pPr>
              <w:tabs>
                <w:tab w:val="left" w:pos="4320"/>
              </w:tabs>
              <w:ind w:left="311" w:hanging="310"/>
              <w:rPr>
                <w:rFonts w:hint="eastAsia" w:ascii="宋体" w:hAnsi="宋体" w:cs="宋体"/>
                <w:color w:val="auto"/>
                <w:sz w:val="28"/>
                <w:szCs w:val="28"/>
                <w:highlight w:val="none"/>
              </w:rPr>
            </w:pPr>
            <w:r>
              <w:rPr>
                <w:rFonts w:hint="eastAsia" w:ascii="宋体" w:hAnsi="宋体" w:cs="宋体"/>
                <w:color w:val="auto"/>
                <w:sz w:val="28"/>
                <w:szCs w:val="28"/>
                <w:highlight w:val="none"/>
              </w:rPr>
              <w:t>情况</w:t>
            </w:r>
          </w:p>
        </w:tc>
        <w:tc>
          <w:tcPr>
            <w:tcW w:w="1643" w:type="dxa"/>
            <w:gridSpan w:val="3"/>
            <w:noWrap w:val="0"/>
            <w:vAlign w:val="center"/>
          </w:tcPr>
          <w:p w14:paraId="04B20D26">
            <w:pPr>
              <w:tabs>
                <w:tab w:val="left" w:pos="4320"/>
              </w:tabs>
              <w:spacing w:before="60" w:after="6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本次投标</w:t>
            </w:r>
          </w:p>
          <w:p w14:paraId="470ACC09">
            <w:pPr>
              <w:tabs>
                <w:tab w:val="left" w:pos="4320"/>
              </w:tabs>
              <w:spacing w:before="60" w:after="6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产品名称</w:t>
            </w:r>
          </w:p>
        </w:tc>
        <w:tc>
          <w:tcPr>
            <w:tcW w:w="1617" w:type="dxa"/>
            <w:gridSpan w:val="2"/>
            <w:noWrap w:val="0"/>
            <w:vAlign w:val="center"/>
          </w:tcPr>
          <w:p w14:paraId="65A009F6">
            <w:pPr>
              <w:tabs>
                <w:tab w:val="left" w:pos="4320"/>
              </w:tabs>
              <w:spacing w:before="60" w:after="6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型    号</w:t>
            </w:r>
          </w:p>
        </w:tc>
        <w:tc>
          <w:tcPr>
            <w:tcW w:w="946" w:type="dxa"/>
            <w:noWrap w:val="0"/>
            <w:vAlign w:val="center"/>
          </w:tcPr>
          <w:p w14:paraId="26C0EC0C">
            <w:pPr>
              <w:tabs>
                <w:tab w:val="left" w:pos="4320"/>
              </w:tabs>
              <w:spacing w:before="60" w:after="6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上年</w:t>
            </w:r>
          </w:p>
          <w:p w14:paraId="1CE9F9FE">
            <w:pPr>
              <w:tabs>
                <w:tab w:val="left" w:pos="4320"/>
              </w:tabs>
              <w:spacing w:before="60" w:after="6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产销量</w:t>
            </w:r>
          </w:p>
        </w:tc>
        <w:tc>
          <w:tcPr>
            <w:tcW w:w="1263" w:type="dxa"/>
            <w:noWrap w:val="0"/>
            <w:vAlign w:val="center"/>
          </w:tcPr>
          <w:p w14:paraId="0463C003">
            <w:pPr>
              <w:tabs>
                <w:tab w:val="left" w:pos="4320"/>
              </w:tabs>
              <w:spacing w:before="60" w:after="6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产品技术先进水平</w:t>
            </w:r>
          </w:p>
        </w:tc>
        <w:tc>
          <w:tcPr>
            <w:tcW w:w="1273" w:type="dxa"/>
            <w:gridSpan w:val="2"/>
            <w:noWrap w:val="0"/>
            <w:vAlign w:val="center"/>
          </w:tcPr>
          <w:p w14:paraId="24176B23">
            <w:pPr>
              <w:tabs>
                <w:tab w:val="left" w:pos="4320"/>
              </w:tabs>
              <w:spacing w:before="60" w:after="6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曾获何级何种奖励</w:t>
            </w:r>
          </w:p>
        </w:tc>
        <w:tc>
          <w:tcPr>
            <w:tcW w:w="1606" w:type="dxa"/>
            <w:gridSpan w:val="2"/>
            <w:tcBorders>
              <w:right w:val="single" w:color="auto" w:sz="4" w:space="0"/>
            </w:tcBorders>
            <w:noWrap w:val="0"/>
            <w:vAlign w:val="center"/>
          </w:tcPr>
          <w:p w14:paraId="043EE72F">
            <w:pPr>
              <w:tabs>
                <w:tab w:val="left" w:pos="4320"/>
              </w:tabs>
              <w:spacing w:before="60" w:after="6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主要用户</w:t>
            </w:r>
          </w:p>
          <w:p w14:paraId="07BB3712">
            <w:pPr>
              <w:tabs>
                <w:tab w:val="left" w:pos="4320"/>
              </w:tabs>
              <w:spacing w:before="60" w:after="6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名称</w:t>
            </w:r>
          </w:p>
        </w:tc>
      </w:tr>
      <w:tr w14:paraId="7A63F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single" w:color="auto" w:sz="4" w:space="0"/>
            </w:tcBorders>
            <w:noWrap w:val="0"/>
            <w:vAlign w:val="center"/>
          </w:tcPr>
          <w:p w14:paraId="1884BFBF">
            <w:pPr>
              <w:tabs>
                <w:tab w:val="left" w:pos="4320"/>
              </w:tabs>
              <w:rPr>
                <w:rFonts w:hint="eastAsia" w:ascii="宋体" w:hAnsi="宋体" w:cs="宋体"/>
                <w:color w:val="auto"/>
                <w:sz w:val="28"/>
                <w:szCs w:val="28"/>
                <w:highlight w:val="none"/>
              </w:rPr>
            </w:pPr>
          </w:p>
        </w:tc>
        <w:tc>
          <w:tcPr>
            <w:tcW w:w="1643" w:type="dxa"/>
            <w:gridSpan w:val="3"/>
            <w:noWrap w:val="0"/>
            <w:vAlign w:val="center"/>
          </w:tcPr>
          <w:p w14:paraId="156A2F4E">
            <w:pPr>
              <w:tabs>
                <w:tab w:val="left" w:pos="4320"/>
              </w:tabs>
              <w:rPr>
                <w:rFonts w:hint="eastAsia" w:ascii="宋体" w:hAnsi="宋体" w:cs="宋体"/>
                <w:color w:val="auto"/>
                <w:sz w:val="28"/>
                <w:szCs w:val="28"/>
                <w:highlight w:val="none"/>
              </w:rPr>
            </w:pPr>
          </w:p>
        </w:tc>
        <w:tc>
          <w:tcPr>
            <w:tcW w:w="1617" w:type="dxa"/>
            <w:gridSpan w:val="2"/>
            <w:noWrap w:val="0"/>
            <w:vAlign w:val="center"/>
          </w:tcPr>
          <w:p w14:paraId="2C1E6BCC">
            <w:pPr>
              <w:tabs>
                <w:tab w:val="left" w:pos="4320"/>
              </w:tabs>
              <w:rPr>
                <w:rFonts w:hint="eastAsia" w:ascii="宋体" w:hAnsi="宋体" w:cs="宋体"/>
                <w:color w:val="auto"/>
                <w:sz w:val="28"/>
                <w:szCs w:val="28"/>
                <w:highlight w:val="none"/>
              </w:rPr>
            </w:pPr>
          </w:p>
        </w:tc>
        <w:tc>
          <w:tcPr>
            <w:tcW w:w="946" w:type="dxa"/>
            <w:noWrap w:val="0"/>
            <w:vAlign w:val="center"/>
          </w:tcPr>
          <w:p w14:paraId="0D4C0FCD">
            <w:pPr>
              <w:tabs>
                <w:tab w:val="left" w:pos="4320"/>
              </w:tabs>
              <w:rPr>
                <w:rFonts w:hint="eastAsia" w:ascii="宋体" w:hAnsi="宋体" w:cs="宋体"/>
                <w:color w:val="auto"/>
                <w:sz w:val="28"/>
                <w:szCs w:val="28"/>
                <w:highlight w:val="none"/>
              </w:rPr>
            </w:pPr>
          </w:p>
        </w:tc>
        <w:tc>
          <w:tcPr>
            <w:tcW w:w="1263" w:type="dxa"/>
            <w:noWrap w:val="0"/>
            <w:vAlign w:val="center"/>
          </w:tcPr>
          <w:p w14:paraId="72E4D2FA">
            <w:pPr>
              <w:tabs>
                <w:tab w:val="left" w:pos="4320"/>
              </w:tabs>
              <w:rPr>
                <w:rFonts w:hint="eastAsia" w:ascii="宋体" w:hAnsi="宋体" w:cs="宋体"/>
                <w:color w:val="auto"/>
                <w:sz w:val="28"/>
                <w:szCs w:val="28"/>
                <w:highlight w:val="none"/>
              </w:rPr>
            </w:pPr>
          </w:p>
        </w:tc>
        <w:tc>
          <w:tcPr>
            <w:tcW w:w="1273" w:type="dxa"/>
            <w:gridSpan w:val="2"/>
            <w:noWrap w:val="0"/>
            <w:vAlign w:val="center"/>
          </w:tcPr>
          <w:p w14:paraId="067F3252">
            <w:pPr>
              <w:tabs>
                <w:tab w:val="left" w:pos="4320"/>
              </w:tabs>
              <w:rPr>
                <w:rFonts w:hint="eastAsia" w:ascii="宋体" w:hAnsi="宋体" w:cs="宋体"/>
                <w:color w:val="auto"/>
                <w:sz w:val="28"/>
                <w:szCs w:val="28"/>
                <w:highlight w:val="none"/>
              </w:rPr>
            </w:pPr>
          </w:p>
        </w:tc>
        <w:tc>
          <w:tcPr>
            <w:tcW w:w="1606" w:type="dxa"/>
            <w:gridSpan w:val="2"/>
            <w:tcBorders>
              <w:right w:val="single" w:color="auto" w:sz="4" w:space="0"/>
            </w:tcBorders>
            <w:noWrap w:val="0"/>
            <w:vAlign w:val="center"/>
          </w:tcPr>
          <w:p w14:paraId="43ACAC98">
            <w:pPr>
              <w:tabs>
                <w:tab w:val="left" w:pos="4320"/>
              </w:tabs>
              <w:rPr>
                <w:rFonts w:hint="eastAsia" w:ascii="宋体" w:hAnsi="宋体" w:cs="宋体"/>
                <w:color w:val="auto"/>
                <w:sz w:val="28"/>
                <w:szCs w:val="28"/>
                <w:highlight w:val="none"/>
              </w:rPr>
            </w:pPr>
          </w:p>
        </w:tc>
      </w:tr>
      <w:tr w14:paraId="58433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single" w:color="auto" w:sz="4" w:space="0"/>
            </w:tcBorders>
            <w:noWrap w:val="0"/>
            <w:vAlign w:val="center"/>
          </w:tcPr>
          <w:p w14:paraId="4BA71295">
            <w:pPr>
              <w:tabs>
                <w:tab w:val="left" w:pos="4320"/>
              </w:tabs>
              <w:rPr>
                <w:rFonts w:hint="eastAsia" w:ascii="宋体" w:hAnsi="宋体" w:cs="宋体"/>
                <w:color w:val="auto"/>
                <w:sz w:val="28"/>
                <w:szCs w:val="28"/>
                <w:highlight w:val="none"/>
              </w:rPr>
            </w:pPr>
          </w:p>
        </w:tc>
        <w:tc>
          <w:tcPr>
            <w:tcW w:w="1643" w:type="dxa"/>
            <w:gridSpan w:val="3"/>
            <w:noWrap w:val="0"/>
            <w:vAlign w:val="center"/>
          </w:tcPr>
          <w:p w14:paraId="28A49EA7">
            <w:pPr>
              <w:tabs>
                <w:tab w:val="left" w:pos="4320"/>
              </w:tabs>
              <w:rPr>
                <w:rFonts w:hint="eastAsia" w:ascii="宋体" w:hAnsi="宋体" w:cs="宋体"/>
                <w:color w:val="auto"/>
                <w:sz w:val="28"/>
                <w:szCs w:val="28"/>
                <w:highlight w:val="none"/>
              </w:rPr>
            </w:pPr>
          </w:p>
        </w:tc>
        <w:tc>
          <w:tcPr>
            <w:tcW w:w="1617" w:type="dxa"/>
            <w:gridSpan w:val="2"/>
            <w:noWrap w:val="0"/>
            <w:vAlign w:val="center"/>
          </w:tcPr>
          <w:p w14:paraId="1725A183">
            <w:pPr>
              <w:tabs>
                <w:tab w:val="left" w:pos="4320"/>
              </w:tabs>
              <w:rPr>
                <w:rFonts w:hint="eastAsia" w:ascii="宋体" w:hAnsi="宋体" w:cs="宋体"/>
                <w:color w:val="auto"/>
                <w:sz w:val="28"/>
                <w:szCs w:val="28"/>
                <w:highlight w:val="none"/>
              </w:rPr>
            </w:pPr>
          </w:p>
        </w:tc>
        <w:tc>
          <w:tcPr>
            <w:tcW w:w="946" w:type="dxa"/>
            <w:noWrap w:val="0"/>
            <w:vAlign w:val="center"/>
          </w:tcPr>
          <w:p w14:paraId="3E69B88F">
            <w:pPr>
              <w:tabs>
                <w:tab w:val="left" w:pos="4320"/>
              </w:tabs>
              <w:rPr>
                <w:rFonts w:hint="eastAsia" w:ascii="宋体" w:hAnsi="宋体" w:cs="宋体"/>
                <w:color w:val="auto"/>
                <w:sz w:val="28"/>
                <w:szCs w:val="28"/>
                <w:highlight w:val="none"/>
              </w:rPr>
            </w:pPr>
          </w:p>
        </w:tc>
        <w:tc>
          <w:tcPr>
            <w:tcW w:w="1263" w:type="dxa"/>
            <w:noWrap w:val="0"/>
            <w:vAlign w:val="center"/>
          </w:tcPr>
          <w:p w14:paraId="39C0078D">
            <w:pPr>
              <w:tabs>
                <w:tab w:val="left" w:pos="4320"/>
              </w:tabs>
              <w:rPr>
                <w:rFonts w:hint="eastAsia" w:ascii="宋体" w:hAnsi="宋体" w:cs="宋体"/>
                <w:color w:val="auto"/>
                <w:sz w:val="28"/>
                <w:szCs w:val="28"/>
                <w:highlight w:val="none"/>
              </w:rPr>
            </w:pPr>
          </w:p>
        </w:tc>
        <w:tc>
          <w:tcPr>
            <w:tcW w:w="1273" w:type="dxa"/>
            <w:gridSpan w:val="2"/>
            <w:noWrap w:val="0"/>
            <w:vAlign w:val="center"/>
          </w:tcPr>
          <w:p w14:paraId="65BA5868">
            <w:pPr>
              <w:tabs>
                <w:tab w:val="left" w:pos="4320"/>
              </w:tabs>
              <w:rPr>
                <w:rFonts w:hint="eastAsia" w:ascii="宋体" w:hAnsi="宋体" w:cs="宋体"/>
                <w:color w:val="auto"/>
                <w:sz w:val="28"/>
                <w:szCs w:val="28"/>
                <w:highlight w:val="none"/>
              </w:rPr>
            </w:pPr>
          </w:p>
        </w:tc>
        <w:tc>
          <w:tcPr>
            <w:tcW w:w="1606" w:type="dxa"/>
            <w:gridSpan w:val="2"/>
            <w:tcBorders>
              <w:right w:val="single" w:color="auto" w:sz="4" w:space="0"/>
            </w:tcBorders>
            <w:noWrap w:val="0"/>
            <w:vAlign w:val="center"/>
          </w:tcPr>
          <w:p w14:paraId="76A4660A">
            <w:pPr>
              <w:tabs>
                <w:tab w:val="left" w:pos="4320"/>
              </w:tabs>
              <w:rPr>
                <w:rFonts w:hint="eastAsia" w:ascii="宋体" w:hAnsi="宋体" w:cs="宋体"/>
                <w:color w:val="auto"/>
                <w:sz w:val="28"/>
                <w:szCs w:val="28"/>
                <w:highlight w:val="none"/>
              </w:rPr>
            </w:pPr>
          </w:p>
        </w:tc>
      </w:tr>
      <w:tr w14:paraId="7A3E9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single" w:color="auto" w:sz="4" w:space="0"/>
            </w:tcBorders>
            <w:noWrap w:val="0"/>
            <w:vAlign w:val="center"/>
          </w:tcPr>
          <w:p w14:paraId="2BF748E4">
            <w:pPr>
              <w:tabs>
                <w:tab w:val="left" w:pos="4320"/>
              </w:tabs>
              <w:rPr>
                <w:rFonts w:hint="eastAsia" w:ascii="宋体" w:hAnsi="宋体" w:cs="宋体"/>
                <w:color w:val="auto"/>
                <w:sz w:val="28"/>
                <w:szCs w:val="28"/>
                <w:highlight w:val="none"/>
              </w:rPr>
            </w:pPr>
          </w:p>
        </w:tc>
        <w:tc>
          <w:tcPr>
            <w:tcW w:w="1643" w:type="dxa"/>
            <w:gridSpan w:val="3"/>
            <w:noWrap w:val="0"/>
            <w:vAlign w:val="center"/>
          </w:tcPr>
          <w:p w14:paraId="0182120F">
            <w:pPr>
              <w:tabs>
                <w:tab w:val="left" w:pos="4320"/>
              </w:tabs>
              <w:rPr>
                <w:rFonts w:hint="eastAsia" w:ascii="宋体" w:hAnsi="宋体" w:cs="宋体"/>
                <w:color w:val="auto"/>
                <w:sz w:val="28"/>
                <w:szCs w:val="28"/>
                <w:highlight w:val="none"/>
              </w:rPr>
            </w:pPr>
          </w:p>
        </w:tc>
        <w:tc>
          <w:tcPr>
            <w:tcW w:w="1617" w:type="dxa"/>
            <w:gridSpan w:val="2"/>
            <w:noWrap w:val="0"/>
            <w:vAlign w:val="center"/>
          </w:tcPr>
          <w:p w14:paraId="6B90D983">
            <w:pPr>
              <w:tabs>
                <w:tab w:val="left" w:pos="4320"/>
              </w:tabs>
              <w:rPr>
                <w:rFonts w:hint="eastAsia" w:ascii="宋体" w:hAnsi="宋体" w:cs="宋体"/>
                <w:color w:val="auto"/>
                <w:sz w:val="28"/>
                <w:szCs w:val="28"/>
                <w:highlight w:val="none"/>
              </w:rPr>
            </w:pPr>
          </w:p>
        </w:tc>
        <w:tc>
          <w:tcPr>
            <w:tcW w:w="946" w:type="dxa"/>
            <w:noWrap w:val="0"/>
            <w:vAlign w:val="center"/>
          </w:tcPr>
          <w:p w14:paraId="341A53A3">
            <w:pPr>
              <w:tabs>
                <w:tab w:val="left" w:pos="4320"/>
              </w:tabs>
              <w:rPr>
                <w:rFonts w:hint="eastAsia" w:ascii="宋体" w:hAnsi="宋体" w:cs="宋体"/>
                <w:color w:val="auto"/>
                <w:sz w:val="28"/>
                <w:szCs w:val="28"/>
                <w:highlight w:val="none"/>
              </w:rPr>
            </w:pPr>
          </w:p>
        </w:tc>
        <w:tc>
          <w:tcPr>
            <w:tcW w:w="1263" w:type="dxa"/>
            <w:noWrap w:val="0"/>
            <w:vAlign w:val="center"/>
          </w:tcPr>
          <w:p w14:paraId="73975EA6">
            <w:pPr>
              <w:tabs>
                <w:tab w:val="left" w:pos="4320"/>
              </w:tabs>
              <w:rPr>
                <w:rFonts w:hint="eastAsia" w:ascii="宋体" w:hAnsi="宋体" w:cs="宋体"/>
                <w:color w:val="auto"/>
                <w:sz w:val="28"/>
                <w:szCs w:val="28"/>
                <w:highlight w:val="none"/>
              </w:rPr>
            </w:pPr>
          </w:p>
        </w:tc>
        <w:tc>
          <w:tcPr>
            <w:tcW w:w="1273" w:type="dxa"/>
            <w:gridSpan w:val="2"/>
            <w:noWrap w:val="0"/>
            <w:vAlign w:val="center"/>
          </w:tcPr>
          <w:p w14:paraId="6BA0EC36">
            <w:pPr>
              <w:tabs>
                <w:tab w:val="left" w:pos="4320"/>
              </w:tabs>
              <w:rPr>
                <w:rFonts w:hint="eastAsia" w:ascii="宋体" w:hAnsi="宋体" w:cs="宋体"/>
                <w:color w:val="auto"/>
                <w:sz w:val="28"/>
                <w:szCs w:val="28"/>
                <w:highlight w:val="none"/>
              </w:rPr>
            </w:pPr>
          </w:p>
        </w:tc>
        <w:tc>
          <w:tcPr>
            <w:tcW w:w="1606" w:type="dxa"/>
            <w:gridSpan w:val="2"/>
            <w:tcBorders>
              <w:right w:val="single" w:color="auto" w:sz="4" w:space="0"/>
            </w:tcBorders>
            <w:noWrap w:val="0"/>
            <w:vAlign w:val="center"/>
          </w:tcPr>
          <w:p w14:paraId="1C7A554D">
            <w:pPr>
              <w:tabs>
                <w:tab w:val="left" w:pos="4320"/>
              </w:tabs>
              <w:rPr>
                <w:rFonts w:hint="eastAsia" w:ascii="宋体" w:hAnsi="宋体" w:cs="宋体"/>
                <w:color w:val="auto"/>
                <w:sz w:val="28"/>
                <w:szCs w:val="28"/>
                <w:highlight w:val="none"/>
              </w:rPr>
            </w:pPr>
          </w:p>
        </w:tc>
      </w:tr>
      <w:tr w14:paraId="7EDBF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single" w:color="auto" w:sz="4" w:space="0"/>
            </w:tcBorders>
            <w:noWrap w:val="0"/>
            <w:vAlign w:val="center"/>
          </w:tcPr>
          <w:p w14:paraId="3E2DE9FD">
            <w:pPr>
              <w:tabs>
                <w:tab w:val="left" w:pos="4320"/>
              </w:tabs>
              <w:rPr>
                <w:rFonts w:hint="eastAsia" w:ascii="宋体" w:hAnsi="宋体" w:cs="宋体"/>
                <w:color w:val="auto"/>
                <w:sz w:val="28"/>
                <w:szCs w:val="28"/>
                <w:highlight w:val="none"/>
              </w:rPr>
            </w:pPr>
          </w:p>
        </w:tc>
        <w:tc>
          <w:tcPr>
            <w:tcW w:w="1643" w:type="dxa"/>
            <w:gridSpan w:val="3"/>
            <w:noWrap w:val="0"/>
            <w:vAlign w:val="center"/>
          </w:tcPr>
          <w:p w14:paraId="2E5D709E">
            <w:pPr>
              <w:tabs>
                <w:tab w:val="left" w:pos="4320"/>
              </w:tabs>
              <w:rPr>
                <w:rFonts w:hint="eastAsia" w:ascii="宋体" w:hAnsi="宋体" w:cs="宋体"/>
                <w:color w:val="auto"/>
                <w:sz w:val="28"/>
                <w:szCs w:val="28"/>
                <w:highlight w:val="none"/>
              </w:rPr>
            </w:pPr>
          </w:p>
        </w:tc>
        <w:tc>
          <w:tcPr>
            <w:tcW w:w="1617" w:type="dxa"/>
            <w:gridSpan w:val="2"/>
            <w:noWrap w:val="0"/>
            <w:vAlign w:val="center"/>
          </w:tcPr>
          <w:p w14:paraId="40D3F370">
            <w:pPr>
              <w:tabs>
                <w:tab w:val="left" w:pos="4320"/>
              </w:tabs>
              <w:rPr>
                <w:rFonts w:hint="eastAsia" w:ascii="宋体" w:hAnsi="宋体" w:cs="宋体"/>
                <w:color w:val="auto"/>
                <w:sz w:val="28"/>
                <w:szCs w:val="28"/>
                <w:highlight w:val="none"/>
              </w:rPr>
            </w:pPr>
          </w:p>
        </w:tc>
        <w:tc>
          <w:tcPr>
            <w:tcW w:w="946" w:type="dxa"/>
            <w:noWrap w:val="0"/>
            <w:vAlign w:val="center"/>
          </w:tcPr>
          <w:p w14:paraId="3373DC3A">
            <w:pPr>
              <w:tabs>
                <w:tab w:val="left" w:pos="4320"/>
              </w:tabs>
              <w:rPr>
                <w:rFonts w:hint="eastAsia" w:ascii="宋体" w:hAnsi="宋体" w:cs="宋体"/>
                <w:color w:val="auto"/>
                <w:sz w:val="28"/>
                <w:szCs w:val="28"/>
                <w:highlight w:val="none"/>
              </w:rPr>
            </w:pPr>
          </w:p>
        </w:tc>
        <w:tc>
          <w:tcPr>
            <w:tcW w:w="1263" w:type="dxa"/>
            <w:noWrap w:val="0"/>
            <w:vAlign w:val="center"/>
          </w:tcPr>
          <w:p w14:paraId="1A7F1E79">
            <w:pPr>
              <w:tabs>
                <w:tab w:val="left" w:pos="4320"/>
              </w:tabs>
              <w:rPr>
                <w:rFonts w:hint="eastAsia" w:ascii="宋体" w:hAnsi="宋体" w:cs="宋体"/>
                <w:color w:val="auto"/>
                <w:sz w:val="28"/>
                <w:szCs w:val="28"/>
                <w:highlight w:val="none"/>
              </w:rPr>
            </w:pPr>
          </w:p>
        </w:tc>
        <w:tc>
          <w:tcPr>
            <w:tcW w:w="1273" w:type="dxa"/>
            <w:gridSpan w:val="2"/>
            <w:noWrap w:val="0"/>
            <w:vAlign w:val="center"/>
          </w:tcPr>
          <w:p w14:paraId="6DA8529D">
            <w:pPr>
              <w:tabs>
                <w:tab w:val="left" w:pos="4320"/>
              </w:tabs>
              <w:rPr>
                <w:rFonts w:hint="eastAsia" w:ascii="宋体" w:hAnsi="宋体" w:cs="宋体"/>
                <w:color w:val="auto"/>
                <w:sz w:val="28"/>
                <w:szCs w:val="28"/>
                <w:highlight w:val="none"/>
              </w:rPr>
            </w:pPr>
          </w:p>
        </w:tc>
        <w:tc>
          <w:tcPr>
            <w:tcW w:w="1606" w:type="dxa"/>
            <w:gridSpan w:val="2"/>
            <w:tcBorders>
              <w:right w:val="single" w:color="auto" w:sz="4" w:space="0"/>
            </w:tcBorders>
            <w:noWrap w:val="0"/>
            <w:vAlign w:val="center"/>
          </w:tcPr>
          <w:p w14:paraId="018922E5">
            <w:pPr>
              <w:tabs>
                <w:tab w:val="left" w:pos="4320"/>
              </w:tabs>
              <w:rPr>
                <w:rFonts w:hint="eastAsia" w:ascii="宋体" w:hAnsi="宋体" w:cs="宋体"/>
                <w:color w:val="auto"/>
                <w:sz w:val="28"/>
                <w:szCs w:val="28"/>
                <w:highlight w:val="none"/>
              </w:rPr>
            </w:pPr>
          </w:p>
        </w:tc>
      </w:tr>
      <w:tr w14:paraId="39FE1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restart"/>
            <w:tcBorders>
              <w:left w:val="single" w:color="auto" w:sz="4" w:space="0"/>
            </w:tcBorders>
            <w:noWrap w:val="0"/>
            <w:vAlign w:val="center"/>
          </w:tcPr>
          <w:p w14:paraId="4ECFB43F">
            <w:pPr>
              <w:tabs>
                <w:tab w:val="left" w:pos="4320"/>
              </w:tabs>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其他</w:t>
            </w:r>
          </w:p>
        </w:tc>
        <w:tc>
          <w:tcPr>
            <w:tcW w:w="4206" w:type="dxa"/>
            <w:gridSpan w:val="6"/>
            <w:noWrap w:val="0"/>
            <w:vAlign w:val="center"/>
          </w:tcPr>
          <w:p w14:paraId="474E40C3">
            <w:pPr>
              <w:tabs>
                <w:tab w:val="left" w:pos="4320"/>
              </w:tabs>
              <w:spacing w:before="60" w:after="60"/>
              <w:rPr>
                <w:rFonts w:hint="eastAsia" w:ascii="宋体" w:hAnsi="宋体" w:cs="宋体"/>
                <w:color w:val="auto"/>
                <w:sz w:val="28"/>
                <w:szCs w:val="28"/>
                <w:highlight w:val="none"/>
              </w:rPr>
            </w:pPr>
            <w:r>
              <w:rPr>
                <w:rFonts w:hint="eastAsia" w:ascii="宋体" w:hAnsi="宋体" w:cs="宋体"/>
                <w:color w:val="auto"/>
                <w:sz w:val="28"/>
                <w:szCs w:val="28"/>
                <w:highlight w:val="none"/>
              </w:rPr>
              <w:t>近3年完成及正在执行的合同中发生的由于投标人违约或部分违约而引起诉讼和受到索赔的案件具体情况及结果（须如实填写，若对此进行隐瞒，尔后又被</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或采购代理机构发现，或被</w:t>
            </w:r>
            <w:r>
              <w:rPr>
                <w:rFonts w:hint="eastAsia" w:ascii="宋体" w:hAnsi="宋体" w:cs="宋体"/>
                <w:color w:val="auto"/>
                <w:sz w:val="28"/>
                <w:szCs w:val="28"/>
                <w:highlight w:val="none"/>
                <w:lang w:eastAsia="zh-CN"/>
              </w:rPr>
              <w:t>他人</w:t>
            </w:r>
            <w:r>
              <w:rPr>
                <w:rFonts w:hint="eastAsia" w:ascii="宋体" w:hAnsi="宋体" w:cs="宋体"/>
                <w:color w:val="auto"/>
                <w:sz w:val="28"/>
                <w:szCs w:val="28"/>
                <w:highlight w:val="none"/>
              </w:rPr>
              <w:t>举证成立，其投标资格将被取消）。</w:t>
            </w:r>
          </w:p>
        </w:tc>
        <w:tc>
          <w:tcPr>
            <w:tcW w:w="4142" w:type="dxa"/>
            <w:gridSpan w:val="5"/>
            <w:tcBorders>
              <w:right w:val="single" w:color="auto" w:sz="4" w:space="0"/>
            </w:tcBorders>
            <w:noWrap w:val="0"/>
            <w:vAlign w:val="center"/>
          </w:tcPr>
          <w:p w14:paraId="61E693F6">
            <w:pPr>
              <w:tabs>
                <w:tab w:val="left" w:pos="4320"/>
              </w:tabs>
              <w:spacing w:before="60" w:after="60"/>
              <w:rPr>
                <w:rFonts w:hint="eastAsia" w:ascii="宋体" w:hAnsi="宋体" w:cs="宋体"/>
                <w:color w:val="auto"/>
                <w:sz w:val="28"/>
                <w:szCs w:val="28"/>
                <w:highlight w:val="none"/>
              </w:rPr>
            </w:pPr>
            <w:r>
              <w:rPr>
                <w:rFonts w:hint="eastAsia" w:ascii="宋体" w:hAnsi="宋体" w:cs="宋体"/>
                <w:color w:val="auto"/>
                <w:sz w:val="28"/>
                <w:szCs w:val="28"/>
                <w:highlight w:val="none"/>
              </w:rPr>
              <w:t>如有名称变更（非因该单位出现了与资格预审（如果经此程序）时的营业性质的根本改变以至不再满足本次招标的要求），说明原名称因何种原因变更为现名称，并提供由工商管理部门出具的变更证明文件。</w:t>
            </w:r>
          </w:p>
        </w:tc>
      </w:tr>
      <w:tr w14:paraId="05F83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95" w:hRule="atLeast"/>
        </w:trPr>
        <w:tc>
          <w:tcPr>
            <w:tcW w:w="817" w:type="dxa"/>
            <w:vMerge w:val="continue"/>
            <w:tcBorders>
              <w:left w:val="single" w:color="auto" w:sz="4" w:space="0"/>
              <w:bottom w:val="single" w:color="auto" w:sz="4" w:space="0"/>
            </w:tcBorders>
            <w:noWrap w:val="0"/>
            <w:vAlign w:val="center"/>
          </w:tcPr>
          <w:p w14:paraId="0A2887B3">
            <w:pPr>
              <w:tabs>
                <w:tab w:val="left" w:pos="4320"/>
              </w:tabs>
              <w:rPr>
                <w:rFonts w:hint="eastAsia" w:ascii="宋体" w:hAnsi="宋体" w:cs="宋体"/>
                <w:color w:val="auto"/>
                <w:sz w:val="28"/>
                <w:szCs w:val="28"/>
                <w:highlight w:val="none"/>
              </w:rPr>
            </w:pPr>
          </w:p>
        </w:tc>
        <w:tc>
          <w:tcPr>
            <w:tcW w:w="4206" w:type="dxa"/>
            <w:gridSpan w:val="6"/>
            <w:tcBorders>
              <w:bottom w:val="single" w:color="auto" w:sz="4" w:space="0"/>
            </w:tcBorders>
            <w:noWrap w:val="0"/>
            <w:vAlign w:val="center"/>
          </w:tcPr>
          <w:p w14:paraId="51E9F695">
            <w:pPr>
              <w:tabs>
                <w:tab w:val="left" w:pos="4320"/>
              </w:tabs>
              <w:rPr>
                <w:rFonts w:hint="eastAsia" w:ascii="宋体" w:hAnsi="宋体" w:cs="宋体"/>
                <w:color w:val="auto"/>
                <w:sz w:val="28"/>
                <w:szCs w:val="28"/>
                <w:highlight w:val="none"/>
              </w:rPr>
            </w:pPr>
          </w:p>
        </w:tc>
        <w:tc>
          <w:tcPr>
            <w:tcW w:w="4142" w:type="dxa"/>
            <w:gridSpan w:val="5"/>
            <w:tcBorders>
              <w:bottom w:val="single" w:color="auto" w:sz="4" w:space="0"/>
              <w:right w:val="single" w:color="auto" w:sz="4" w:space="0"/>
            </w:tcBorders>
            <w:noWrap w:val="0"/>
            <w:vAlign w:val="center"/>
          </w:tcPr>
          <w:p w14:paraId="0683BE6E">
            <w:pPr>
              <w:tabs>
                <w:tab w:val="left" w:pos="4320"/>
              </w:tabs>
              <w:rPr>
                <w:rFonts w:hint="eastAsia" w:ascii="宋体" w:hAnsi="宋体" w:cs="宋体"/>
                <w:color w:val="auto"/>
                <w:sz w:val="28"/>
                <w:szCs w:val="28"/>
                <w:highlight w:val="none"/>
              </w:rPr>
            </w:pPr>
          </w:p>
        </w:tc>
      </w:tr>
    </w:tbl>
    <w:p w14:paraId="223CCBD3">
      <w:pPr>
        <w:spacing w:line="480" w:lineRule="exact"/>
        <w:rPr>
          <w:rFonts w:hint="eastAsia" w:ascii="宋体" w:hAnsi="宋体" w:cs="宋体"/>
          <w:b/>
          <w:color w:val="auto"/>
          <w:sz w:val="28"/>
          <w:szCs w:val="28"/>
          <w:highlight w:val="none"/>
        </w:rPr>
      </w:pPr>
    </w:p>
    <w:p w14:paraId="4B7C22BB">
      <w:pPr>
        <w:spacing w:line="480" w:lineRule="exact"/>
        <w:outlineLvl w:val="3"/>
        <w:rPr>
          <w:rFonts w:hint="eastAsia" w:ascii="宋体" w:hAnsi="宋体" w:cs="宋体"/>
          <w:b/>
          <w:color w:val="auto"/>
          <w:sz w:val="28"/>
          <w:szCs w:val="28"/>
          <w:highlight w:val="none"/>
        </w:rPr>
        <w:sectPr>
          <w:pgSz w:w="11907" w:h="16839"/>
          <w:pgMar w:top="1440" w:right="1800" w:bottom="1440" w:left="1800" w:header="720" w:footer="720" w:gutter="0"/>
          <w:cols w:space="720" w:num="1"/>
          <w:docGrid w:linePitch="360" w:charSpace="0"/>
        </w:sectPr>
      </w:pPr>
    </w:p>
    <w:p w14:paraId="135AF476">
      <w:pP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附件4</w:t>
      </w:r>
    </w:p>
    <w:p w14:paraId="7A7EB628">
      <w:pPr>
        <w:spacing w:line="48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技术要求响应及偏离表</w:t>
      </w:r>
    </w:p>
    <w:tbl>
      <w:tblPr>
        <w:tblStyle w:val="49"/>
        <w:tblW w:w="9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866"/>
        <w:gridCol w:w="6000"/>
        <w:gridCol w:w="981"/>
        <w:gridCol w:w="1246"/>
      </w:tblGrid>
      <w:tr w14:paraId="76A85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4" w:type="dxa"/>
            <w:noWrap w:val="0"/>
            <w:vAlign w:val="center"/>
          </w:tcPr>
          <w:p w14:paraId="78411E36">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866" w:type="dxa"/>
            <w:noWrap w:val="0"/>
            <w:vAlign w:val="center"/>
          </w:tcPr>
          <w:p w14:paraId="795365C6">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w:t>
            </w:r>
          </w:p>
        </w:tc>
        <w:tc>
          <w:tcPr>
            <w:tcW w:w="6000" w:type="dxa"/>
            <w:noWrap w:val="0"/>
            <w:vAlign w:val="center"/>
          </w:tcPr>
          <w:p w14:paraId="4AEAF5EA">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技术参数</w:t>
            </w:r>
          </w:p>
        </w:tc>
        <w:tc>
          <w:tcPr>
            <w:tcW w:w="981" w:type="dxa"/>
            <w:noWrap w:val="0"/>
            <w:vAlign w:val="center"/>
          </w:tcPr>
          <w:p w14:paraId="2F3574C4">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投标响应情况</w:t>
            </w:r>
          </w:p>
        </w:tc>
        <w:tc>
          <w:tcPr>
            <w:tcW w:w="1246" w:type="dxa"/>
            <w:noWrap w:val="0"/>
            <w:vAlign w:val="center"/>
          </w:tcPr>
          <w:p w14:paraId="4776FC2C">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超出、符合或偏离</w:t>
            </w:r>
          </w:p>
        </w:tc>
      </w:tr>
      <w:tr w14:paraId="56745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797" w:type="dxa"/>
            <w:gridSpan w:val="5"/>
            <w:noWrap w:val="0"/>
            <w:vAlign w:val="center"/>
          </w:tcPr>
          <w:p w14:paraId="70FDE487">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一、显示系统</w:t>
            </w:r>
          </w:p>
        </w:tc>
      </w:tr>
      <w:tr w14:paraId="28F7D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4" w:type="dxa"/>
            <w:noWrap w:val="0"/>
            <w:vAlign w:val="center"/>
          </w:tcPr>
          <w:p w14:paraId="2284E8AA">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866" w:type="dxa"/>
            <w:noWrap w:val="0"/>
            <w:vAlign w:val="center"/>
          </w:tcPr>
          <w:p w14:paraId="043185E7">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小型教室黑板</w:t>
            </w:r>
          </w:p>
          <w:p w14:paraId="50E262BC">
            <w:pPr>
              <w:pStyle w:val="3"/>
              <w:rPr>
                <w:rFonts w:hint="eastAsia" w:ascii="宋体" w:hAnsi="宋体" w:eastAsia="宋体" w:cs="宋体"/>
                <w:color w:val="auto"/>
                <w:highlight w:val="none"/>
              </w:rPr>
            </w:pPr>
            <w:r>
              <w:rPr>
                <w:rFonts w:hint="eastAsia" w:ascii="宋体" w:hAnsi="宋体" w:eastAsia="宋体" w:cs="宋体"/>
                <w:color w:val="auto"/>
                <w:sz w:val="24"/>
                <w:highlight w:val="none"/>
              </w:rPr>
              <w:t>（0.5分）</w:t>
            </w:r>
          </w:p>
        </w:tc>
        <w:tc>
          <w:tcPr>
            <w:tcW w:w="6000" w:type="dxa"/>
            <w:noWrap w:val="0"/>
            <w:vAlign w:val="center"/>
          </w:tcPr>
          <w:p w14:paraId="55FD07BE">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整体结构由两块一体机侧面的固定板组成，整体包边。</w:t>
            </w:r>
          </w:p>
          <w:p w14:paraId="1EF300C2">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外形尺寸约4000*1230mm(高度由86寸触摸大屏加黑板外框构成，可根据现场实际微调，中标人在项目实施前现场测量并与招标人确定最终尺寸）。</w:t>
            </w:r>
          </w:p>
          <w:p w14:paraId="0CFEC44E">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1.书写面板采用优质墨绿色烤漆面板，覆有透明保护膜，整块无拼接，厚度≥0.3mm，面板耐酸、碱性溶剂符合GB/T 9274-2008《色漆和清漆 耐液体介质的测定》标准要求；面板表面漆膜硬度≥6H，光泽度在12以下，灯光下没有明显眩光；表面粗糙度、耐磨性、书写板外观质量等指标符合GB 28231-2011《书写板安全卫生要求》以及GB/T 6739-2022《色漆和清漆 铅笔法测定漆膜硬度》的标准。</w:t>
            </w:r>
          </w:p>
          <w:p w14:paraId="794F42B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2.夹层采用聚苯乙烯板，厚度为≥14mm，平整不变形，整张无拼接；背板采用整块防锈镀锌板，厚度≥0.20mm，防水防锈，板面平整不开胶。</w:t>
            </w:r>
          </w:p>
          <w:p w14:paraId="7387E71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黑板边框：采用磨砂银白铝合金型材，灯光下无明显眩光；型材断面有ABS包角材料全包覆，边缘光洁无毛刺；外框下方配置通长粉笔槽，粉笔槽有效宽度为≥70mm，高≥20mm，壁厚≥1.2mm；安装要求：隐形安装，无外露安装件，连接部位无工具不可拆卸。</w:t>
            </w:r>
          </w:p>
        </w:tc>
        <w:tc>
          <w:tcPr>
            <w:tcW w:w="981" w:type="dxa"/>
            <w:noWrap w:val="0"/>
            <w:vAlign w:val="center"/>
          </w:tcPr>
          <w:p w14:paraId="38765716">
            <w:pPr>
              <w:widowControl/>
              <w:jc w:val="center"/>
              <w:rPr>
                <w:rFonts w:hint="eastAsia" w:ascii="宋体" w:hAnsi="宋体" w:eastAsia="宋体" w:cs="宋体"/>
                <w:color w:val="auto"/>
                <w:sz w:val="24"/>
                <w:highlight w:val="none"/>
              </w:rPr>
            </w:pPr>
          </w:p>
        </w:tc>
        <w:tc>
          <w:tcPr>
            <w:tcW w:w="1246" w:type="dxa"/>
            <w:noWrap w:val="0"/>
            <w:vAlign w:val="center"/>
          </w:tcPr>
          <w:p w14:paraId="6A746A05">
            <w:pPr>
              <w:widowControl/>
              <w:jc w:val="center"/>
              <w:rPr>
                <w:rFonts w:hint="eastAsia" w:ascii="宋体" w:hAnsi="宋体" w:eastAsia="宋体" w:cs="宋体"/>
                <w:color w:val="auto"/>
                <w:sz w:val="24"/>
                <w:highlight w:val="none"/>
              </w:rPr>
            </w:pPr>
          </w:p>
        </w:tc>
      </w:tr>
      <w:tr w14:paraId="32742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4" w:type="dxa"/>
            <w:noWrap w:val="0"/>
            <w:vAlign w:val="center"/>
          </w:tcPr>
          <w:p w14:paraId="6DE30D19">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866" w:type="dxa"/>
            <w:noWrap w:val="0"/>
            <w:vAlign w:val="center"/>
          </w:tcPr>
          <w:p w14:paraId="19036A78">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中大型教室黑板（0.5分）</w:t>
            </w:r>
          </w:p>
        </w:tc>
        <w:tc>
          <w:tcPr>
            <w:tcW w:w="6000" w:type="dxa"/>
            <w:noWrap w:val="0"/>
            <w:vAlign w:val="center"/>
          </w:tcPr>
          <w:p w14:paraId="4CD37002">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整体结构分为书写与显示两部分，书写部分由一组可上下升降黑板组成，显示部分为120寸画框幕，整体用铝合金型材包围。</w:t>
            </w:r>
          </w:p>
          <w:p w14:paraId="5BC29ABC">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外形尺寸约4000*1740mm(可根据现场实际微调，中标人在项目实施前现场测量并与招标人确定最终尺寸）</w:t>
            </w:r>
          </w:p>
          <w:p w14:paraId="11AAF08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 书写面板采用优质墨绿色烤漆面板，覆有透明保护膜，整块无拼接，厚度≥0.3mm，面板耐酸、碱性溶剂符合GB/T 9274-2008《色漆和清漆 耐液体介质的测定》标准要求；面板表面漆膜硬度≥6H，光泽度在12以下，灯光下没有明显眩光；表面粗糙度、耐磨性、书写板外观质量等指标符合GB 28231-2011《书写板安全卫生要求》以及GB/T 6739-2022《色漆和清漆 铅笔法测定漆膜硬度》的标准。</w:t>
            </w:r>
          </w:p>
          <w:p w14:paraId="7D4A1522">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2.夹层采用聚苯乙烯板，厚度为≥14mm，平整不变形，整张无拼接；背板采用整块防锈镀锌板，厚度≥0.20mm，防水防锈，板面平整不开胶。</w:t>
            </w:r>
          </w:p>
          <w:p w14:paraId="7AD6040C">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3.黑板滑轮经耐久性测试，按GB/T 3832-2008测试，使用寿命≥8万次。</w:t>
            </w:r>
          </w:p>
          <w:p w14:paraId="1684F4C1">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外框滑轨及黑板边框：采用磨砂银白铝合金型材，灯光下无明显眩光；立框与滑轨一体化流线型设计，滑动组件不可见；滑轨下端设有静音限位块，防止拉动黑板时撞击产生噪音；滑轨采用双滑槽双空腔设计，并使滑轮保持合理的滑动阻尼，防止擦写黑板时晃动；立框滑轨断面尺寸为110*65mm（±5mm），型材壁厚≥1.4mm；外框断面尺寸为110*45mm（±5mm），壁厚≥1.4mm；黑板边框可视面宽≥30mm，厚≥25mm. 壁厚≥1.2mm；下边框配备通长拉手方便拉动黑板；外框下方配备通长的粉笔槽，粉笔槽有效宽度为≥70mm，高≥20mm，壁厚≥1.2mm。</w:t>
            </w:r>
          </w:p>
          <w:p w14:paraId="7637C3DE">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5.包角材料采用抗疲劳ABS工程塑料，外观无尖锐角；安装要求：隐形安装，无外露安装件，连接部位无工具不可拆卸。</w:t>
            </w:r>
          </w:p>
        </w:tc>
        <w:tc>
          <w:tcPr>
            <w:tcW w:w="981" w:type="dxa"/>
            <w:noWrap/>
            <w:vAlign w:val="center"/>
          </w:tcPr>
          <w:p w14:paraId="244F736C">
            <w:pPr>
              <w:widowControl/>
              <w:jc w:val="center"/>
              <w:rPr>
                <w:rFonts w:hint="eastAsia" w:ascii="宋体" w:hAnsi="宋体" w:eastAsia="宋体" w:cs="宋体"/>
                <w:color w:val="auto"/>
                <w:sz w:val="24"/>
                <w:highlight w:val="none"/>
              </w:rPr>
            </w:pPr>
          </w:p>
        </w:tc>
        <w:tc>
          <w:tcPr>
            <w:tcW w:w="1246" w:type="dxa"/>
            <w:noWrap w:val="0"/>
            <w:vAlign w:val="center"/>
          </w:tcPr>
          <w:p w14:paraId="06B87445">
            <w:pPr>
              <w:widowControl/>
              <w:jc w:val="center"/>
              <w:rPr>
                <w:rFonts w:hint="eastAsia" w:ascii="宋体" w:hAnsi="宋体" w:eastAsia="宋体" w:cs="宋体"/>
                <w:color w:val="auto"/>
                <w:sz w:val="24"/>
                <w:highlight w:val="none"/>
              </w:rPr>
            </w:pPr>
          </w:p>
        </w:tc>
      </w:tr>
      <w:tr w14:paraId="1F8E5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4" w:type="dxa"/>
            <w:noWrap w:val="0"/>
            <w:vAlign w:val="center"/>
          </w:tcPr>
          <w:p w14:paraId="7B578EF7">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866" w:type="dxa"/>
            <w:noWrap w:val="0"/>
            <w:vAlign w:val="center"/>
          </w:tcPr>
          <w:p w14:paraId="6805B278">
            <w:pPr>
              <w:widowControl/>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阶梯教室上下推拉黑板</w:t>
            </w:r>
          </w:p>
          <w:p w14:paraId="39DA36F3">
            <w:pPr>
              <w:pStyle w:val="3"/>
              <w:rPr>
                <w:rFonts w:hint="eastAsia" w:ascii="宋体" w:hAnsi="宋体" w:eastAsia="宋体" w:cs="宋体"/>
                <w:color w:val="auto"/>
                <w:highlight w:val="none"/>
              </w:rPr>
            </w:pPr>
            <w:r>
              <w:rPr>
                <w:rFonts w:hint="eastAsia" w:ascii="宋体" w:hAnsi="宋体" w:eastAsia="宋体" w:cs="宋体"/>
                <w:color w:val="auto"/>
                <w:sz w:val="24"/>
                <w:highlight w:val="none"/>
              </w:rPr>
              <w:t>（0.5分）</w:t>
            </w:r>
          </w:p>
        </w:tc>
        <w:tc>
          <w:tcPr>
            <w:tcW w:w="6000" w:type="dxa"/>
            <w:noWrap w:val="0"/>
            <w:vAlign w:val="center"/>
          </w:tcPr>
          <w:p w14:paraId="7499331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1.整体结构：黑板固定于墙面，黑板整体尺寸为4000mm*2000mm（每组两块，两组为一套），黑板上下升降设计，于框架内上下交替升降，适用于不同身高的教师或学生书写整个黑板。</w:t>
            </w:r>
          </w:p>
          <w:p w14:paraId="0724E88E">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升降结构：整体采用框架式升降结构，两块黑板在框架内上下升降；升降黑板两端的滑轨各有一个承重吊轮，每块黑板四角装有四组滑轮，两块黑板用不锈钢钢丝绳连接，悬挂于承重吊轮的凹槽内，黑板在滑轨内滑动，黑板可从前端拆卸而无须拆下整个框架，方便维护与更换，滑轨下端设有静音防撞限位装置，限位空间高度≥25mm；</w:t>
            </w:r>
          </w:p>
          <w:p w14:paraId="05D40522">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3.黑板材质：书写面板采用墨绿色烤漆面板，面板耐酸、碱性溶剂符合GB/T 9274-2008《色漆和清漆 耐液体介质的测定》标准要求；厚度≥0.3mm，面板表面漆膜硬度≥6H，光泽度在12以下，灯光下没有明显眩光；用粉笔书写时手感流畅，笔迹均匀，线条明显，好写易擦；漆膜硬度、表面粗糙度、耐磨性、书写板外观质量、结构等指标符合GB 28231-2011《书写板安全卫生要求》以及GB/T 6739-2022《色漆和清漆 铅笔法测定漆膜硬度》的标准；夹层采用高密度聚苯乙烯板，软硬适中，厚度为≥14mm；背板采用整块防锈镀锌板，厚度≥0.20mm；</w:t>
            </w:r>
          </w:p>
          <w:p w14:paraId="6D59F5C0">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4.黑板滑轮经耐久性测试，按GB/T 3832-2008测试，使用寿命≥8万次。</w:t>
            </w:r>
          </w:p>
          <w:p w14:paraId="6EDF1B0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外框滑轨及黑板边框：采用磨砂银白铝合金型材，灯光下无明显眩光；立框与滑轨一体化流线型设计，滑动组件不可见；滑轨下端设有静音限位块，防止拉动黑板时撞击产生噪音；滑轨采用双滑槽双空腔设计，并使滑轮保持合理的滑动阻尼，防止擦写黑板时晃动；立框滑轨断面尺寸为110*65mm（±5mm），型材壁厚≥1.4mm；外框断面尺寸为110*45mm（±5mm），壁厚≥1.4mm；黑板边框可视面宽≥30mm，厚≥25mm. 壁厚≥1.2mm；下边框配备通长拉手方便拉动黑板；外框下方配备通长的粉笔槽，粉笔槽有效宽度为≥70mm，高≥20mm，壁厚≥1.2mm；</w:t>
            </w:r>
          </w:p>
          <w:p w14:paraId="02DED11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6.包角材料采用抗疲劳ABS工程塑料，外观无尖锐角；安装要求：隐形安装，无外露安装件，连接部位无工具不可拆卸。</w:t>
            </w:r>
          </w:p>
        </w:tc>
        <w:tc>
          <w:tcPr>
            <w:tcW w:w="981" w:type="dxa"/>
            <w:noWrap/>
            <w:vAlign w:val="center"/>
          </w:tcPr>
          <w:p w14:paraId="46055046">
            <w:pPr>
              <w:widowControl/>
              <w:jc w:val="center"/>
              <w:rPr>
                <w:rFonts w:hint="eastAsia" w:ascii="宋体" w:hAnsi="宋体" w:eastAsia="宋体" w:cs="宋体"/>
                <w:color w:val="auto"/>
                <w:sz w:val="24"/>
                <w:highlight w:val="none"/>
              </w:rPr>
            </w:pPr>
          </w:p>
        </w:tc>
        <w:tc>
          <w:tcPr>
            <w:tcW w:w="1246" w:type="dxa"/>
            <w:noWrap w:val="0"/>
            <w:vAlign w:val="center"/>
          </w:tcPr>
          <w:p w14:paraId="2A1BCB1A">
            <w:pPr>
              <w:widowControl/>
              <w:jc w:val="center"/>
              <w:rPr>
                <w:rFonts w:hint="eastAsia" w:ascii="宋体" w:hAnsi="宋体" w:eastAsia="宋体" w:cs="宋体"/>
                <w:color w:val="auto"/>
                <w:sz w:val="24"/>
                <w:highlight w:val="none"/>
              </w:rPr>
            </w:pPr>
          </w:p>
        </w:tc>
      </w:tr>
      <w:tr w14:paraId="2B189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4" w:type="dxa"/>
            <w:noWrap w:val="0"/>
            <w:vAlign w:val="center"/>
          </w:tcPr>
          <w:p w14:paraId="00AE0B21">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866" w:type="dxa"/>
            <w:noWrap w:val="0"/>
            <w:vAlign w:val="center"/>
          </w:tcPr>
          <w:p w14:paraId="52E7F083">
            <w:pPr>
              <w:widowControl/>
              <w:jc w:val="center"/>
              <w:rPr>
                <w:rFonts w:hint="eastAsia" w:ascii="宋体" w:hAnsi="宋体" w:eastAsia="宋体" w:cs="宋体"/>
                <w:color w:val="auto"/>
                <w:highlight w:val="none"/>
              </w:rPr>
            </w:pPr>
            <w:r>
              <w:rPr>
                <w:rFonts w:hint="eastAsia" w:ascii="宋体" w:hAnsi="宋体" w:eastAsia="宋体" w:cs="宋体"/>
                <w:color w:val="auto"/>
                <w:sz w:val="24"/>
                <w:highlight w:val="none"/>
              </w:rPr>
              <w:t>120寸幕布（0.5分）</w:t>
            </w:r>
          </w:p>
        </w:tc>
        <w:tc>
          <w:tcPr>
            <w:tcW w:w="6000" w:type="dxa"/>
            <w:noWrap w:val="0"/>
            <w:vAlign w:val="center"/>
          </w:tcPr>
          <w:p w14:paraId="649CBB1E">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1.尺寸≥120英寸；画面比例16：9；</w:t>
            </w:r>
          </w:p>
          <w:p w14:paraId="7BB99A5E">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2.材质：四层玻纤复合幕布（幕布中层为具阻燃功能的玻纤网），拉伸率小于1%，幕面平整，边缘垂直，幕面能持久保持平整；边框宽度≤10mm；</w:t>
            </w:r>
          </w:p>
          <w:p w14:paraId="0545121A">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3.厚度≥0.15mm；拉力强度≥200kg/平方厘米；撕裂强度≥5.5kg/mm；防火、防潮、防霉、阻燃、环保。</w:t>
            </w:r>
          </w:p>
          <w:p w14:paraId="29053A14">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4.阶梯教室两侧使用120寸电动升降幕布（共6副），接入中控，上下课自动升降。</w:t>
            </w:r>
          </w:p>
        </w:tc>
        <w:tc>
          <w:tcPr>
            <w:tcW w:w="981" w:type="dxa"/>
            <w:noWrap/>
            <w:vAlign w:val="center"/>
          </w:tcPr>
          <w:p w14:paraId="5B799429">
            <w:pPr>
              <w:widowControl/>
              <w:jc w:val="center"/>
              <w:rPr>
                <w:rFonts w:hint="eastAsia" w:ascii="宋体" w:hAnsi="宋体" w:eastAsia="宋体" w:cs="宋体"/>
                <w:color w:val="auto"/>
                <w:sz w:val="24"/>
                <w:highlight w:val="none"/>
              </w:rPr>
            </w:pPr>
          </w:p>
        </w:tc>
        <w:tc>
          <w:tcPr>
            <w:tcW w:w="1246" w:type="dxa"/>
            <w:noWrap w:val="0"/>
            <w:vAlign w:val="center"/>
          </w:tcPr>
          <w:p w14:paraId="34B42A0B">
            <w:pPr>
              <w:widowControl/>
              <w:jc w:val="center"/>
              <w:rPr>
                <w:rFonts w:hint="eastAsia" w:ascii="宋体" w:hAnsi="宋体" w:eastAsia="宋体" w:cs="宋体"/>
                <w:color w:val="auto"/>
                <w:sz w:val="24"/>
                <w:highlight w:val="none"/>
              </w:rPr>
            </w:pPr>
          </w:p>
        </w:tc>
      </w:tr>
      <w:tr w14:paraId="4685E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4" w:type="dxa"/>
            <w:noWrap w:val="0"/>
            <w:vAlign w:val="center"/>
          </w:tcPr>
          <w:p w14:paraId="389AF2D4">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866" w:type="dxa"/>
            <w:noWrap w:val="0"/>
            <w:vAlign w:val="center"/>
          </w:tcPr>
          <w:p w14:paraId="09A0B096">
            <w:pPr>
              <w:widowControl/>
              <w:jc w:val="center"/>
              <w:rPr>
                <w:rFonts w:hint="eastAsia" w:ascii="宋体" w:hAnsi="宋体" w:eastAsia="宋体" w:cs="宋体"/>
                <w:color w:val="auto"/>
                <w:highlight w:val="none"/>
              </w:rPr>
            </w:pPr>
            <w:r>
              <w:rPr>
                <w:rFonts w:hint="eastAsia" w:ascii="宋体" w:hAnsi="宋体" w:eastAsia="宋体" w:cs="宋体"/>
                <w:color w:val="auto"/>
                <w:sz w:val="24"/>
                <w:highlight w:val="none"/>
              </w:rPr>
              <w:t>150寸幕布（0.5分）</w:t>
            </w:r>
          </w:p>
        </w:tc>
        <w:tc>
          <w:tcPr>
            <w:tcW w:w="6000" w:type="dxa"/>
            <w:noWrap w:val="0"/>
            <w:vAlign w:val="center"/>
          </w:tcPr>
          <w:p w14:paraId="101E1300">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1.尺寸≥150英寸；画面比例16：9；</w:t>
            </w:r>
          </w:p>
          <w:p w14:paraId="17B41CC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2.材质：四层玻纤复合幕布（幕布中层为具阻燃功能的玻纤网），拉伸率小于1%，幕面平整，边缘垂直，幕面能持久保持平整；边框宽度≤10mm；</w:t>
            </w:r>
          </w:p>
          <w:p w14:paraId="717AD95A">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3.厚度≥0.15mm；拉力强度≥200kg/平方厘米；撕裂强度≥5.5kg/mm；防火、防潮、防霉、阻燃、环保。</w:t>
            </w:r>
          </w:p>
          <w:p w14:paraId="24E5736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4.阶梯教室中间使用150寸电动升降幕布，接入中控上下课自动升降。</w:t>
            </w:r>
          </w:p>
        </w:tc>
        <w:tc>
          <w:tcPr>
            <w:tcW w:w="981" w:type="dxa"/>
            <w:noWrap/>
            <w:vAlign w:val="center"/>
          </w:tcPr>
          <w:p w14:paraId="5898875D">
            <w:pPr>
              <w:widowControl/>
              <w:jc w:val="center"/>
              <w:rPr>
                <w:rFonts w:hint="eastAsia" w:ascii="宋体" w:hAnsi="宋体" w:eastAsia="宋体" w:cs="宋体"/>
                <w:color w:val="auto"/>
                <w:sz w:val="24"/>
                <w:highlight w:val="none"/>
              </w:rPr>
            </w:pPr>
          </w:p>
        </w:tc>
        <w:tc>
          <w:tcPr>
            <w:tcW w:w="1246" w:type="dxa"/>
            <w:noWrap w:val="0"/>
            <w:vAlign w:val="center"/>
          </w:tcPr>
          <w:p w14:paraId="625D01D0">
            <w:pPr>
              <w:widowControl/>
              <w:jc w:val="center"/>
              <w:rPr>
                <w:rFonts w:hint="eastAsia" w:ascii="宋体" w:hAnsi="宋体" w:eastAsia="宋体" w:cs="宋体"/>
                <w:color w:val="auto"/>
                <w:sz w:val="24"/>
                <w:highlight w:val="none"/>
              </w:rPr>
            </w:pPr>
          </w:p>
        </w:tc>
      </w:tr>
      <w:tr w14:paraId="0A65B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797" w:type="dxa"/>
            <w:gridSpan w:val="5"/>
            <w:noWrap w:val="0"/>
            <w:vAlign w:val="center"/>
          </w:tcPr>
          <w:p w14:paraId="00931F0A">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二、中控系统</w:t>
            </w:r>
          </w:p>
        </w:tc>
      </w:tr>
      <w:tr w14:paraId="08052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0" w:hRule="atLeast"/>
          <w:jc w:val="center"/>
        </w:trPr>
        <w:tc>
          <w:tcPr>
            <w:tcW w:w="704" w:type="dxa"/>
            <w:vMerge w:val="restart"/>
            <w:noWrap w:val="0"/>
            <w:vAlign w:val="center"/>
          </w:tcPr>
          <w:p w14:paraId="555C6438">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866" w:type="dxa"/>
            <w:vMerge w:val="restart"/>
            <w:noWrap w:val="0"/>
            <w:vAlign w:val="center"/>
          </w:tcPr>
          <w:p w14:paraId="62C537EE">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讲台控制面板</w:t>
            </w:r>
          </w:p>
          <w:p w14:paraId="2892CD8B">
            <w:pPr>
              <w:pStyle w:val="3"/>
              <w:rPr>
                <w:rFonts w:hint="eastAsia" w:ascii="宋体" w:hAnsi="宋体" w:eastAsia="宋体" w:cs="宋体"/>
                <w:color w:val="auto"/>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分）</w:t>
            </w:r>
          </w:p>
        </w:tc>
        <w:tc>
          <w:tcPr>
            <w:tcW w:w="6000" w:type="dxa"/>
            <w:noWrap w:val="0"/>
            <w:vAlign w:val="center"/>
          </w:tcPr>
          <w:p w14:paraId="31FF690E">
            <w:pPr>
              <w:widowControl/>
              <w:jc w:val="left"/>
              <w:rPr>
                <w:rFonts w:hint="eastAsia" w:ascii="宋体" w:hAnsi="宋体" w:eastAsia="宋体" w:cs="宋体"/>
                <w:color w:val="auto"/>
                <w:sz w:val="24"/>
                <w:highlight w:val="none"/>
              </w:rPr>
            </w:pPr>
            <w:r>
              <w:rPr>
                <w:rFonts w:hint="eastAsia" w:ascii="宋体" w:hAnsi="宋体" w:eastAsia="宋体" w:cs="宋体"/>
                <w:color w:val="auto"/>
                <w:sz w:val="18"/>
                <w:highlight w:val="none"/>
              </w:rPr>
              <w:t>▲</w:t>
            </w:r>
            <w:r>
              <w:rPr>
                <w:rFonts w:hint="eastAsia" w:ascii="宋体" w:hAnsi="宋体" w:eastAsia="宋体" w:cs="宋体"/>
                <w:color w:val="auto"/>
                <w:sz w:val="24"/>
                <w:highlight w:val="none"/>
              </w:rPr>
              <w:t>1.屏体的屏幕采用≥23.8英寸电容触摸屏，采用防眩光钢化玻璃面板，厚度≥2mm；支持≥10点触控；支持屏幕手动角度调节，可实现与桌面形成20°（±5°）至80°（±5°）角度调节。</w:t>
            </w:r>
            <w:r>
              <w:rPr>
                <w:rFonts w:hint="eastAsia" w:ascii="宋体" w:hAnsi="宋体" w:eastAsia="宋体" w:cs="宋体"/>
                <w:b/>
                <w:bCs/>
                <w:color w:val="auto"/>
                <w:sz w:val="24"/>
                <w:highlight w:val="none"/>
              </w:rPr>
              <w:t>【</w:t>
            </w:r>
            <w:r>
              <w:rPr>
                <w:rFonts w:hint="eastAsia" w:ascii="宋体" w:hAnsi="宋体" w:cs="宋体"/>
                <w:b/>
                <w:bCs/>
                <w:color w:val="auto"/>
                <w:sz w:val="24"/>
                <w:highlight w:val="none"/>
                <w:lang w:eastAsia="zh-CN"/>
              </w:rPr>
              <w:t>提供带有CNAS或CMA标记的检测报告的复印件或相关功能截图并加盖投标人公章</w:t>
            </w:r>
            <w:r>
              <w:rPr>
                <w:rFonts w:hint="eastAsia" w:ascii="宋体" w:hAnsi="宋体" w:eastAsia="宋体" w:cs="宋体"/>
                <w:b/>
                <w:bCs/>
                <w:color w:val="auto"/>
                <w:sz w:val="24"/>
                <w:highlight w:val="none"/>
              </w:rPr>
              <w:t>】</w:t>
            </w:r>
          </w:p>
        </w:tc>
        <w:tc>
          <w:tcPr>
            <w:tcW w:w="981" w:type="dxa"/>
            <w:noWrap/>
            <w:vAlign w:val="center"/>
          </w:tcPr>
          <w:p w14:paraId="4A5CEBAD">
            <w:pPr>
              <w:widowControl/>
              <w:jc w:val="center"/>
              <w:rPr>
                <w:rFonts w:hint="eastAsia" w:ascii="宋体" w:hAnsi="宋体" w:eastAsia="宋体" w:cs="宋体"/>
                <w:color w:val="auto"/>
                <w:sz w:val="24"/>
                <w:highlight w:val="none"/>
              </w:rPr>
            </w:pPr>
          </w:p>
        </w:tc>
        <w:tc>
          <w:tcPr>
            <w:tcW w:w="1246" w:type="dxa"/>
            <w:noWrap w:val="0"/>
            <w:vAlign w:val="center"/>
          </w:tcPr>
          <w:p w14:paraId="0F53E106">
            <w:pPr>
              <w:widowControl/>
              <w:jc w:val="center"/>
              <w:rPr>
                <w:rFonts w:hint="eastAsia" w:ascii="宋体" w:hAnsi="宋体" w:eastAsia="宋体" w:cs="宋体"/>
                <w:color w:val="auto"/>
                <w:sz w:val="24"/>
                <w:highlight w:val="none"/>
              </w:rPr>
            </w:pPr>
          </w:p>
        </w:tc>
      </w:tr>
      <w:tr w14:paraId="552C4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704" w:type="dxa"/>
            <w:vMerge w:val="continue"/>
            <w:noWrap w:val="0"/>
            <w:vAlign w:val="center"/>
          </w:tcPr>
          <w:p w14:paraId="6423C7F0">
            <w:pPr>
              <w:widowControl/>
              <w:jc w:val="center"/>
              <w:rPr>
                <w:rFonts w:hint="eastAsia" w:ascii="宋体" w:hAnsi="宋体" w:eastAsia="宋体" w:cs="宋体"/>
                <w:color w:val="auto"/>
                <w:sz w:val="24"/>
                <w:highlight w:val="none"/>
              </w:rPr>
            </w:pPr>
          </w:p>
        </w:tc>
        <w:tc>
          <w:tcPr>
            <w:tcW w:w="866" w:type="dxa"/>
            <w:vMerge w:val="continue"/>
            <w:noWrap w:val="0"/>
            <w:vAlign w:val="center"/>
          </w:tcPr>
          <w:p w14:paraId="5041DB6C">
            <w:pPr>
              <w:pStyle w:val="3"/>
              <w:rPr>
                <w:rFonts w:hint="eastAsia" w:ascii="宋体" w:hAnsi="宋体" w:eastAsia="宋体" w:cs="宋体"/>
                <w:color w:val="auto"/>
                <w:sz w:val="24"/>
                <w:highlight w:val="none"/>
              </w:rPr>
            </w:pPr>
          </w:p>
        </w:tc>
        <w:tc>
          <w:tcPr>
            <w:tcW w:w="6000" w:type="dxa"/>
            <w:noWrap w:val="0"/>
            <w:vAlign w:val="center"/>
          </w:tcPr>
          <w:p w14:paraId="051CEFA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2.屏体侧面具有物理实体快捷按键，按键功能包括一键开/关屏幕、对匹配的多媒体设备进行一键熄屏以及一键音量加、一键音量减等。</w:t>
            </w:r>
          </w:p>
          <w:p w14:paraId="790582EF">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3.接口：HDMI IN≥2个，HDMI OUT≥1个，Type-C≥1个，USB≥2个，RJ45≥1个；AUDIO OUT≥1个，RS232≥1个，220V国标五插电源接口≥1个（支持对外供电；自带独立嵌入式操作系统，版本满足中控功能运行需求。</w:t>
            </w:r>
          </w:p>
          <w:p w14:paraId="1E49542F">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屏幕可调出中控菜单界面，支持一键上课及下课，也可以对连接的设备单独控制开关机；支持对屏幕输入源显示画面切换，包括智能平板、电脑等；支持当接入匹配教室内的录播产品时，可显示录播导播流画面，选择开始录制、暂停录制和结束录制等功能。</w:t>
            </w:r>
          </w:p>
        </w:tc>
        <w:tc>
          <w:tcPr>
            <w:tcW w:w="981" w:type="dxa"/>
            <w:noWrap/>
            <w:vAlign w:val="center"/>
          </w:tcPr>
          <w:p w14:paraId="7345AB96">
            <w:pPr>
              <w:widowControl/>
              <w:jc w:val="center"/>
              <w:rPr>
                <w:rFonts w:hint="eastAsia" w:ascii="宋体" w:hAnsi="宋体" w:eastAsia="宋体" w:cs="宋体"/>
                <w:color w:val="auto"/>
                <w:sz w:val="24"/>
                <w:highlight w:val="none"/>
              </w:rPr>
            </w:pPr>
          </w:p>
        </w:tc>
        <w:tc>
          <w:tcPr>
            <w:tcW w:w="1246" w:type="dxa"/>
            <w:noWrap w:val="0"/>
            <w:vAlign w:val="center"/>
          </w:tcPr>
          <w:p w14:paraId="20EE988E">
            <w:pPr>
              <w:widowControl/>
              <w:jc w:val="center"/>
              <w:rPr>
                <w:rFonts w:hint="eastAsia" w:ascii="宋体" w:hAnsi="宋体" w:eastAsia="宋体" w:cs="宋体"/>
                <w:color w:val="auto"/>
                <w:sz w:val="24"/>
                <w:highlight w:val="none"/>
              </w:rPr>
            </w:pPr>
          </w:p>
        </w:tc>
      </w:tr>
      <w:tr w14:paraId="1C10A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704" w:type="dxa"/>
            <w:noWrap w:val="0"/>
            <w:vAlign w:val="center"/>
          </w:tcPr>
          <w:p w14:paraId="0EC3D57A">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866" w:type="dxa"/>
            <w:noWrap w:val="0"/>
            <w:vAlign w:val="center"/>
          </w:tcPr>
          <w:p w14:paraId="06140E52">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智能升降讲台（0.5分）</w:t>
            </w:r>
          </w:p>
        </w:tc>
        <w:tc>
          <w:tcPr>
            <w:tcW w:w="6000" w:type="dxa"/>
            <w:noWrap w:val="0"/>
            <w:vAlign w:val="center"/>
          </w:tcPr>
          <w:p w14:paraId="1D6EF231">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1.讲桌为钢木结合设计,采用冷轧钢板桌体,钢板厚度≥1.0mm；讲桌采用双层木质桌面设计，上下层桌体木板厚度均≥18mm，讲台正面定制招标人LOGO。</w:t>
            </w:r>
          </w:p>
          <w:p w14:paraId="22FD587C">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2.升降立柱最大承重为≥80kg，讲桌具备垂直平面水平位置≥100N推力位移仍不超过5mm的移动。</w:t>
            </w:r>
          </w:p>
          <w:p w14:paraId="4CBF2C0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3.讲桌尺寸设计为长×宽×高≥1200mm×650mm×850mm，上层桌面支持电动升降功能，下层桌面距地高度≥750mm，桌面高度需合适教师站、坐教学。</w:t>
            </w:r>
          </w:p>
          <w:p w14:paraId="42B8F2FB">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 讲桌具有升降控制器设计，至少具备上升按键、下降按键等；升降电机具备过流过压保护、遇阻反弹保护。</w:t>
            </w:r>
          </w:p>
          <w:p w14:paraId="35C38B04">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底部机柜尺寸设计为长×宽×高≥1100mm×500mm×500mm（注：用于阶梯教室的讲台尺寸设计为长×宽×高≥1560mm×585mm×500mm，3张），机柜容量≥10U，机柜内部带有标准机架和标准电脑主机空间，机柜门采用大面积散热孔设计。前后门都可以打开，只需要一把钥匙管理。</w:t>
            </w:r>
          </w:p>
          <w:p w14:paraId="3F7915D2">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6.讲桌支持多种升降控制方式，可支持讲台控制面板控制升降。</w:t>
            </w:r>
          </w:p>
        </w:tc>
        <w:tc>
          <w:tcPr>
            <w:tcW w:w="981" w:type="dxa"/>
            <w:noWrap/>
            <w:vAlign w:val="center"/>
          </w:tcPr>
          <w:p w14:paraId="71E3A3F5">
            <w:pPr>
              <w:widowControl/>
              <w:jc w:val="center"/>
              <w:rPr>
                <w:rFonts w:hint="eastAsia" w:ascii="宋体" w:hAnsi="宋体" w:eastAsia="宋体" w:cs="宋体"/>
                <w:color w:val="auto"/>
                <w:sz w:val="24"/>
                <w:highlight w:val="none"/>
              </w:rPr>
            </w:pPr>
          </w:p>
        </w:tc>
        <w:tc>
          <w:tcPr>
            <w:tcW w:w="1246" w:type="dxa"/>
            <w:noWrap w:val="0"/>
            <w:vAlign w:val="center"/>
          </w:tcPr>
          <w:p w14:paraId="2822EA53">
            <w:pPr>
              <w:widowControl/>
              <w:jc w:val="center"/>
              <w:rPr>
                <w:rFonts w:hint="eastAsia" w:ascii="宋体" w:hAnsi="宋体" w:eastAsia="宋体" w:cs="宋体"/>
                <w:color w:val="auto"/>
                <w:sz w:val="24"/>
                <w:highlight w:val="none"/>
              </w:rPr>
            </w:pPr>
          </w:p>
        </w:tc>
      </w:tr>
      <w:tr w14:paraId="29436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3" w:hRule="atLeast"/>
          <w:jc w:val="center"/>
        </w:trPr>
        <w:tc>
          <w:tcPr>
            <w:tcW w:w="704" w:type="dxa"/>
            <w:vMerge w:val="restart"/>
            <w:noWrap w:val="0"/>
            <w:vAlign w:val="center"/>
          </w:tcPr>
          <w:p w14:paraId="61649083">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866" w:type="dxa"/>
            <w:vMerge w:val="restart"/>
            <w:noWrap w:val="0"/>
            <w:vAlign w:val="center"/>
          </w:tcPr>
          <w:p w14:paraId="76469C1C">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中控主机（1</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w:t>
            </w:r>
          </w:p>
        </w:tc>
        <w:tc>
          <w:tcPr>
            <w:tcW w:w="6000" w:type="dxa"/>
            <w:noWrap w:val="0"/>
            <w:vAlign w:val="center"/>
          </w:tcPr>
          <w:p w14:paraId="616465E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1.机身高度不超过1U，HDMI视频输入接口≥4个，HDMI输出接口≥4个，3.5mm音频输入口≥2个，3.5mm音频输出接口≥2个，支持HDMI矩阵功能，HDMI输入输出分辨率均不低于4K@30Hz。</w:t>
            </w:r>
          </w:p>
          <w:p w14:paraId="12A10ABE">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2.支持HDMI信号内的音频自动分离到音频模块，支持音频输入和HDMI音频混音后从音频输出口输出，支持在本地及远程对输出总音量进行调节。</w:t>
            </w:r>
          </w:p>
          <w:p w14:paraId="5F442CF8">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3.支持≥2路220V国标受控电源，每路电源具备时序供电、断电管理；</w:t>
            </w:r>
            <w:r>
              <w:rPr>
                <w:rFonts w:hint="eastAsia" w:ascii="宋体" w:hAnsi="宋体" w:cs="宋体"/>
                <w:color w:val="auto"/>
                <w:sz w:val="24"/>
                <w:highlight w:val="none"/>
                <w:lang w:val="en-US" w:eastAsia="zh-CN"/>
              </w:rPr>
              <w:t>R</w:t>
            </w:r>
            <w:r>
              <w:rPr>
                <w:rFonts w:hint="eastAsia" w:ascii="宋体" w:hAnsi="宋体" w:eastAsia="宋体" w:cs="宋体"/>
                <w:color w:val="auto"/>
                <w:sz w:val="24"/>
                <w:highlight w:val="none"/>
              </w:rPr>
              <w:t>S232接口≥6个，RS485接口≥2个；每个接口均独立逻辑可编程，支持延时发码、组合串口控制指令下发，支持波特率、校验位自定义。</w:t>
            </w:r>
          </w:p>
          <w:p w14:paraId="41650A18">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4.主机正面面板具备实时查看主机的网络、串口通讯、时序电源、总电源等状态的指示灯；≥1路type-c接口，实现通过电脑对中控主机的快捷调试；支持用户在后台端通过局域网络在线配置中控主机。</w:t>
            </w:r>
          </w:p>
          <w:p w14:paraId="625F6880">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5.采用超静音设计，支持POE供电方式，可通过网络接口实现与面板的通讯与供电。</w:t>
            </w:r>
          </w:p>
        </w:tc>
        <w:tc>
          <w:tcPr>
            <w:tcW w:w="981" w:type="dxa"/>
            <w:noWrap/>
            <w:vAlign w:val="center"/>
          </w:tcPr>
          <w:p w14:paraId="62D8F1E1">
            <w:pPr>
              <w:widowControl/>
              <w:jc w:val="center"/>
              <w:rPr>
                <w:rFonts w:hint="eastAsia" w:ascii="宋体" w:hAnsi="宋体" w:eastAsia="宋体" w:cs="宋体"/>
                <w:color w:val="auto"/>
                <w:sz w:val="24"/>
                <w:highlight w:val="none"/>
              </w:rPr>
            </w:pPr>
          </w:p>
        </w:tc>
        <w:tc>
          <w:tcPr>
            <w:tcW w:w="1246" w:type="dxa"/>
            <w:noWrap w:val="0"/>
            <w:vAlign w:val="center"/>
          </w:tcPr>
          <w:p w14:paraId="74DEA39C">
            <w:pPr>
              <w:widowControl/>
              <w:jc w:val="center"/>
              <w:rPr>
                <w:rFonts w:hint="eastAsia" w:ascii="宋体" w:hAnsi="宋体" w:eastAsia="宋体" w:cs="宋体"/>
                <w:color w:val="auto"/>
                <w:sz w:val="24"/>
                <w:highlight w:val="none"/>
              </w:rPr>
            </w:pPr>
          </w:p>
        </w:tc>
      </w:tr>
      <w:tr w14:paraId="47C8D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1" w:hRule="atLeast"/>
          <w:jc w:val="center"/>
        </w:trPr>
        <w:tc>
          <w:tcPr>
            <w:tcW w:w="704" w:type="dxa"/>
            <w:vMerge w:val="continue"/>
            <w:noWrap w:val="0"/>
            <w:vAlign w:val="center"/>
          </w:tcPr>
          <w:p w14:paraId="68EE4711">
            <w:pPr>
              <w:widowControl/>
              <w:jc w:val="center"/>
              <w:rPr>
                <w:rFonts w:hint="eastAsia" w:ascii="宋体" w:hAnsi="宋体" w:eastAsia="宋体" w:cs="宋体"/>
                <w:color w:val="auto"/>
                <w:sz w:val="24"/>
                <w:highlight w:val="none"/>
              </w:rPr>
            </w:pPr>
          </w:p>
        </w:tc>
        <w:tc>
          <w:tcPr>
            <w:tcW w:w="866" w:type="dxa"/>
            <w:vMerge w:val="continue"/>
            <w:noWrap w:val="0"/>
            <w:vAlign w:val="center"/>
          </w:tcPr>
          <w:p w14:paraId="73D025D0">
            <w:pPr>
              <w:widowControl/>
              <w:jc w:val="center"/>
              <w:rPr>
                <w:rFonts w:hint="eastAsia" w:ascii="宋体" w:hAnsi="宋体" w:eastAsia="宋体" w:cs="宋体"/>
                <w:color w:val="auto"/>
                <w:sz w:val="24"/>
                <w:highlight w:val="none"/>
              </w:rPr>
            </w:pPr>
          </w:p>
        </w:tc>
        <w:tc>
          <w:tcPr>
            <w:tcW w:w="6000" w:type="dxa"/>
            <w:noWrap w:val="0"/>
            <w:vAlign w:val="center"/>
          </w:tcPr>
          <w:p w14:paraId="07E234A9">
            <w:pPr>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6.麦克风输入接口≥1路，支持幻象供电；12V/5V直流供电输出≥1路，输入输出IO接口≥1路；内置千兆交换机，接口数量≥5路；支持VLAN划分,支持VLANID设置，支持trunk模式设置。</w:t>
            </w:r>
            <w:r>
              <w:rPr>
                <w:rFonts w:hint="eastAsia" w:ascii="宋体" w:hAnsi="宋体" w:eastAsia="宋体" w:cs="宋体"/>
                <w:b/>
                <w:bCs/>
                <w:color w:val="auto"/>
                <w:sz w:val="24"/>
                <w:highlight w:val="none"/>
              </w:rPr>
              <w:t>【</w:t>
            </w:r>
            <w:r>
              <w:rPr>
                <w:rFonts w:hint="eastAsia" w:ascii="宋体" w:hAnsi="宋体" w:cs="宋体"/>
                <w:b/>
                <w:bCs/>
                <w:color w:val="auto"/>
                <w:sz w:val="24"/>
                <w:highlight w:val="none"/>
                <w:lang w:eastAsia="zh-CN"/>
              </w:rPr>
              <w:t>提供带有CNAS或CMA标记的检测报告的复印件或相关功能截图并加盖投标人公章</w:t>
            </w:r>
            <w:r>
              <w:rPr>
                <w:rFonts w:hint="eastAsia" w:ascii="宋体" w:hAnsi="宋体" w:eastAsia="宋体" w:cs="宋体"/>
                <w:b/>
                <w:bCs/>
                <w:color w:val="auto"/>
                <w:sz w:val="24"/>
                <w:highlight w:val="none"/>
              </w:rPr>
              <w:t>】</w:t>
            </w:r>
          </w:p>
        </w:tc>
        <w:tc>
          <w:tcPr>
            <w:tcW w:w="981" w:type="dxa"/>
            <w:noWrap/>
            <w:vAlign w:val="center"/>
          </w:tcPr>
          <w:p w14:paraId="275EC1EA">
            <w:pPr>
              <w:jc w:val="center"/>
              <w:rPr>
                <w:rFonts w:hint="eastAsia" w:ascii="宋体" w:hAnsi="宋体" w:eastAsia="宋体" w:cs="宋体"/>
                <w:color w:val="auto"/>
                <w:sz w:val="24"/>
                <w:highlight w:val="none"/>
              </w:rPr>
            </w:pPr>
          </w:p>
        </w:tc>
        <w:tc>
          <w:tcPr>
            <w:tcW w:w="1246" w:type="dxa"/>
            <w:noWrap w:val="0"/>
            <w:vAlign w:val="center"/>
          </w:tcPr>
          <w:p w14:paraId="420D4B37">
            <w:pPr>
              <w:jc w:val="center"/>
              <w:rPr>
                <w:rFonts w:hint="eastAsia" w:ascii="宋体" w:hAnsi="宋体" w:eastAsia="宋体" w:cs="宋体"/>
                <w:color w:val="auto"/>
                <w:sz w:val="24"/>
                <w:highlight w:val="none"/>
              </w:rPr>
            </w:pPr>
          </w:p>
        </w:tc>
      </w:tr>
      <w:tr w14:paraId="46AE0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4" w:hRule="atLeast"/>
          <w:jc w:val="center"/>
        </w:trPr>
        <w:tc>
          <w:tcPr>
            <w:tcW w:w="704" w:type="dxa"/>
            <w:vMerge w:val="restart"/>
            <w:noWrap w:val="0"/>
            <w:vAlign w:val="center"/>
          </w:tcPr>
          <w:p w14:paraId="24EDB649">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866" w:type="dxa"/>
            <w:vMerge w:val="restart"/>
            <w:noWrap w:val="0"/>
            <w:vAlign w:val="center"/>
          </w:tcPr>
          <w:p w14:paraId="702D3ABC">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智联矩阵（1</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w:t>
            </w:r>
          </w:p>
        </w:tc>
        <w:tc>
          <w:tcPr>
            <w:tcW w:w="6000" w:type="dxa"/>
            <w:noWrap w:val="0"/>
            <w:vAlign w:val="center"/>
          </w:tcPr>
          <w:p w14:paraId="101F9C16">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 采用≥10.0英寸电容显示屏，整机表面覆盖钢化玻璃，硬度≥8H，玻璃与屏体采用全贴合工艺，支持≥10点触控，屏幕分辨率≥1920*1080；整机CPU≥4核，最高主频≥1.8G，Linux系统，系统运行内存≥2GB，存储容量≥32GB。</w:t>
            </w:r>
          </w:p>
          <w:p w14:paraId="3CF265E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2.内置高灵敏度全向麦克风，拾音半径不小于1米；内置双喇叭，功率≥1W*2；内置摄像头，摄像头分辨率≥1600*1200；整机接口：RS232≥2,DC2.0≥1,Type-C≥1,RJ45(带POE功能)≥1；支持适配器供电或中控主机POE接口供电。</w:t>
            </w:r>
          </w:p>
          <w:p w14:paraId="1BDA9348">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3.支持无触控操作后自动息屏，支持配置自动息屏时间；支持脱网运行，离线状态不影响本地教学及控制。</w:t>
            </w:r>
          </w:p>
        </w:tc>
        <w:tc>
          <w:tcPr>
            <w:tcW w:w="981" w:type="dxa"/>
            <w:noWrap/>
            <w:vAlign w:val="center"/>
          </w:tcPr>
          <w:p w14:paraId="27FCCB0E">
            <w:pPr>
              <w:widowControl/>
              <w:jc w:val="center"/>
              <w:rPr>
                <w:rFonts w:hint="eastAsia" w:ascii="宋体" w:hAnsi="宋体" w:eastAsia="宋体" w:cs="宋体"/>
                <w:color w:val="auto"/>
                <w:sz w:val="24"/>
                <w:highlight w:val="none"/>
              </w:rPr>
            </w:pPr>
          </w:p>
        </w:tc>
        <w:tc>
          <w:tcPr>
            <w:tcW w:w="1246" w:type="dxa"/>
            <w:noWrap w:val="0"/>
            <w:vAlign w:val="center"/>
          </w:tcPr>
          <w:p w14:paraId="4E664C58">
            <w:pPr>
              <w:widowControl/>
              <w:jc w:val="center"/>
              <w:rPr>
                <w:rFonts w:hint="eastAsia" w:ascii="宋体" w:hAnsi="宋体" w:eastAsia="宋体" w:cs="宋体"/>
                <w:color w:val="auto"/>
                <w:sz w:val="24"/>
                <w:highlight w:val="none"/>
              </w:rPr>
            </w:pPr>
          </w:p>
        </w:tc>
      </w:tr>
      <w:tr w14:paraId="17001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704" w:type="dxa"/>
            <w:vMerge w:val="continue"/>
            <w:noWrap w:val="0"/>
            <w:vAlign w:val="center"/>
          </w:tcPr>
          <w:p w14:paraId="76CD0193">
            <w:pPr>
              <w:widowControl/>
              <w:jc w:val="center"/>
              <w:rPr>
                <w:rFonts w:hint="eastAsia" w:ascii="宋体" w:hAnsi="宋体" w:eastAsia="宋体" w:cs="宋体"/>
                <w:color w:val="auto"/>
                <w:sz w:val="24"/>
                <w:highlight w:val="none"/>
              </w:rPr>
            </w:pPr>
          </w:p>
        </w:tc>
        <w:tc>
          <w:tcPr>
            <w:tcW w:w="866" w:type="dxa"/>
            <w:vMerge w:val="continue"/>
            <w:noWrap w:val="0"/>
            <w:vAlign w:val="center"/>
          </w:tcPr>
          <w:p w14:paraId="6998E6DB">
            <w:pPr>
              <w:widowControl/>
              <w:jc w:val="center"/>
              <w:rPr>
                <w:rFonts w:hint="eastAsia" w:ascii="宋体" w:hAnsi="宋体" w:eastAsia="宋体" w:cs="宋体"/>
                <w:color w:val="auto"/>
                <w:sz w:val="24"/>
                <w:highlight w:val="none"/>
              </w:rPr>
            </w:pPr>
          </w:p>
        </w:tc>
        <w:tc>
          <w:tcPr>
            <w:tcW w:w="6000" w:type="dxa"/>
            <w:noWrap w:val="0"/>
            <w:vAlign w:val="center"/>
          </w:tcPr>
          <w:p w14:paraId="372AB240">
            <w:pPr>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4.支持控制录播设备，包括显示和切换多个机位的画面，一键启停录制、启停直播等。</w:t>
            </w:r>
            <w:r>
              <w:rPr>
                <w:rFonts w:hint="eastAsia" w:ascii="宋体" w:hAnsi="宋体" w:eastAsia="宋体" w:cs="宋体"/>
                <w:b/>
                <w:bCs/>
                <w:color w:val="auto"/>
                <w:sz w:val="24"/>
                <w:highlight w:val="none"/>
              </w:rPr>
              <w:t>【</w:t>
            </w:r>
            <w:r>
              <w:rPr>
                <w:rFonts w:hint="eastAsia" w:ascii="宋体" w:hAnsi="宋体" w:cs="宋体"/>
                <w:b/>
                <w:bCs/>
                <w:color w:val="auto"/>
                <w:sz w:val="24"/>
                <w:highlight w:val="none"/>
                <w:lang w:eastAsia="zh-CN"/>
              </w:rPr>
              <w:t>提供带有CNAS或CMA标记的检测报告的复印件或相关功能截图并加盖投标人公章</w:t>
            </w:r>
            <w:r>
              <w:rPr>
                <w:rFonts w:hint="eastAsia" w:ascii="宋体" w:hAnsi="宋体" w:eastAsia="宋体" w:cs="宋体"/>
                <w:b/>
                <w:bCs/>
                <w:color w:val="auto"/>
                <w:sz w:val="24"/>
                <w:highlight w:val="none"/>
              </w:rPr>
              <w:t>】</w:t>
            </w:r>
          </w:p>
        </w:tc>
        <w:tc>
          <w:tcPr>
            <w:tcW w:w="981" w:type="dxa"/>
            <w:noWrap/>
            <w:vAlign w:val="center"/>
          </w:tcPr>
          <w:p w14:paraId="1D27CBF5">
            <w:pPr>
              <w:jc w:val="center"/>
              <w:rPr>
                <w:rFonts w:hint="eastAsia" w:ascii="宋体" w:hAnsi="宋体" w:eastAsia="宋体" w:cs="宋体"/>
                <w:color w:val="auto"/>
                <w:sz w:val="24"/>
                <w:highlight w:val="none"/>
              </w:rPr>
            </w:pPr>
          </w:p>
        </w:tc>
        <w:tc>
          <w:tcPr>
            <w:tcW w:w="1246" w:type="dxa"/>
            <w:noWrap w:val="0"/>
            <w:vAlign w:val="center"/>
          </w:tcPr>
          <w:p w14:paraId="63AEAAD5">
            <w:pPr>
              <w:jc w:val="center"/>
              <w:rPr>
                <w:rFonts w:hint="eastAsia" w:ascii="宋体" w:hAnsi="宋体" w:eastAsia="宋体" w:cs="宋体"/>
                <w:color w:val="auto"/>
                <w:sz w:val="24"/>
                <w:highlight w:val="none"/>
              </w:rPr>
            </w:pPr>
          </w:p>
        </w:tc>
      </w:tr>
      <w:tr w14:paraId="32470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4" w:type="dxa"/>
            <w:vMerge w:val="restart"/>
            <w:noWrap w:val="0"/>
            <w:vAlign w:val="center"/>
          </w:tcPr>
          <w:p w14:paraId="6AA14319">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866" w:type="dxa"/>
            <w:vMerge w:val="restart"/>
            <w:noWrap w:val="0"/>
            <w:vAlign w:val="center"/>
          </w:tcPr>
          <w:p w14:paraId="4C70F06F">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中控管理系统（</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分）</w:t>
            </w:r>
          </w:p>
        </w:tc>
        <w:tc>
          <w:tcPr>
            <w:tcW w:w="6000" w:type="dxa"/>
            <w:noWrap w:val="0"/>
            <w:vAlign w:val="center"/>
          </w:tcPr>
          <w:p w14:paraId="0D2C582A">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基本要求：</w:t>
            </w:r>
          </w:p>
          <w:p w14:paraId="61AD6AC0">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1.系统采用B/S架构，用户能在安卓、IOS、Windows等操作系统通过浏览器用账号和密码登录访问。</w:t>
            </w:r>
          </w:p>
          <w:p w14:paraId="2F8A0726">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2.系统支持远程管理教室设备、控制教室设备、切换教学场景、查看监控画面等；支持批量管理及独立控制设备，可批量控制教学场景切换。</w:t>
            </w:r>
          </w:p>
        </w:tc>
        <w:tc>
          <w:tcPr>
            <w:tcW w:w="981" w:type="dxa"/>
            <w:noWrap/>
            <w:vAlign w:val="center"/>
          </w:tcPr>
          <w:p w14:paraId="5B152430">
            <w:pPr>
              <w:widowControl/>
              <w:jc w:val="center"/>
              <w:rPr>
                <w:rFonts w:hint="eastAsia" w:ascii="宋体" w:hAnsi="宋体" w:eastAsia="宋体" w:cs="宋体"/>
                <w:color w:val="auto"/>
                <w:sz w:val="24"/>
                <w:highlight w:val="none"/>
              </w:rPr>
            </w:pPr>
          </w:p>
        </w:tc>
        <w:tc>
          <w:tcPr>
            <w:tcW w:w="1246" w:type="dxa"/>
            <w:noWrap w:val="0"/>
            <w:vAlign w:val="center"/>
          </w:tcPr>
          <w:p w14:paraId="1A5786CE">
            <w:pPr>
              <w:widowControl/>
              <w:jc w:val="center"/>
              <w:rPr>
                <w:rFonts w:hint="eastAsia" w:ascii="宋体" w:hAnsi="宋体" w:eastAsia="宋体" w:cs="宋体"/>
                <w:color w:val="auto"/>
                <w:sz w:val="24"/>
                <w:highlight w:val="none"/>
              </w:rPr>
            </w:pPr>
          </w:p>
        </w:tc>
      </w:tr>
      <w:tr w14:paraId="3E8F7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4" w:type="dxa"/>
            <w:vMerge w:val="continue"/>
            <w:noWrap w:val="0"/>
            <w:vAlign w:val="center"/>
          </w:tcPr>
          <w:p w14:paraId="3C81D2F9">
            <w:pPr>
              <w:widowControl/>
              <w:jc w:val="center"/>
              <w:rPr>
                <w:rFonts w:hint="eastAsia" w:ascii="宋体" w:hAnsi="宋体" w:eastAsia="宋体" w:cs="宋体"/>
                <w:color w:val="auto"/>
                <w:sz w:val="24"/>
                <w:highlight w:val="none"/>
              </w:rPr>
            </w:pPr>
          </w:p>
        </w:tc>
        <w:tc>
          <w:tcPr>
            <w:tcW w:w="866" w:type="dxa"/>
            <w:vMerge w:val="continue"/>
            <w:noWrap w:val="0"/>
            <w:vAlign w:val="center"/>
          </w:tcPr>
          <w:p w14:paraId="1637B376">
            <w:pPr>
              <w:widowControl/>
              <w:jc w:val="center"/>
              <w:rPr>
                <w:rFonts w:hint="eastAsia" w:ascii="宋体" w:hAnsi="宋体" w:eastAsia="宋体" w:cs="宋体"/>
                <w:color w:val="auto"/>
                <w:sz w:val="24"/>
                <w:highlight w:val="none"/>
              </w:rPr>
            </w:pPr>
          </w:p>
        </w:tc>
        <w:tc>
          <w:tcPr>
            <w:tcW w:w="6000" w:type="dxa"/>
            <w:noWrap w:val="0"/>
            <w:vAlign w:val="center"/>
          </w:tcPr>
          <w:p w14:paraId="3473BA7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主要功能：</w:t>
            </w:r>
          </w:p>
          <w:p w14:paraId="3E2261E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1.系统支持自动化策略，由用户自定义，包括自动开机策略、自动关机策略等；系统支持记录运维信息，可筛选并 Excel导出；系统支持查看刷卡日志信息记录。</w:t>
            </w:r>
          </w:p>
          <w:p w14:paraId="54CD4E7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2.系统支持远程配置设备，支持自定义设备基础信息，包括开关机提示音、UI选择、IP配置、VLAN配置等；支持自定义设备物联配置，支持多设备关联控制，支持自定义场景配置，设置成功后同步更新到触控面板。</w:t>
            </w:r>
          </w:p>
          <w:p w14:paraId="0AE9FDBC">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3.系统支持电脑桌面实时预览及远程控制，采用网络唤醒和远程软件联动实现开机、关机功能。</w:t>
            </w:r>
          </w:p>
          <w:p w14:paraId="247FB68D">
            <w:pPr>
              <w:rPr>
                <w:rFonts w:hint="eastAsia" w:ascii="宋体" w:hAnsi="宋体" w:eastAsia="宋体" w:cs="宋体"/>
                <w:color w:val="auto"/>
                <w:sz w:val="24"/>
                <w:highlight w:val="none"/>
              </w:rPr>
            </w:pPr>
            <w:r>
              <w:rPr>
                <w:rFonts w:hint="eastAsia" w:ascii="宋体" w:hAnsi="宋体" w:eastAsia="宋体" w:cs="宋体"/>
                <w:color w:val="auto"/>
                <w:sz w:val="24"/>
                <w:highlight w:val="none"/>
              </w:rPr>
              <w:t>4.系统应支持SSL/TLS加密传输，具备操作日志审计功能，支持按角色设置管理权限。</w:t>
            </w:r>
          </w:p>
        </w:tc>
        <w:tc>
          <w:tcPr>
            <w:tcW w:w="981" w:type="dxa"/>
            <w:noWrap/>
            <w:vAlign w:val="center"/>
          </w:tcPr>
          <w:p w14:paraId="20BE5A78">
            <w:pPr>
              <w:widowControl/>
              <w:jc w:val="center"/>
              <w:rPr>
                <w:rFonts w:hint="eastAsia" w:ascii="宋体" w:hAnsi="宋体" w:eastAsia="宋体" w:cs="宋体"/>
                <w:color w:val="auto"/>
                <w:sz w:val="24"/>
                <w:highlight w:val="none"/>
              </w:rPr>
            </w:pPr>
          </w:p>
        </w:tc>
        <w:tc>
          <w:tcPr>
            <w:tcW w:w="1246" w:type="dxa"/>
            <w:noWrap w:val="0"/>
            <w:vAlign w:val="center"/>
          </w:tcPr>
          <w:p w14:paraId="6297CB3F">
            <w:pPr>
              <w:widowControl/>
              <w:jc w:val="center"/>
              <w:rPr>
                <w:rFonts w:hint="eastAsia" w:ascii="宋体" w:hAnsi="宋体" w:eastAsia="宋体" w:cs="宋体"/>
                <w:color w:val="auto"/>
                <w:sz w:val="24"/>
                <w:highlight w:val="none"/>
              </w:rPr>
            </w:pPr>
          </w:p>
        </w:tc>
      </w:tr>
      <w:tr w14:paraId="34F17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797" w:type="dxa"/>
            <w:gridSpan w:val="5"/>
            <w:tcBorders>
              <w:top w:val="single" w:color="auto" w:sz="4" w:space="0"/>
              <w:left w:val="single" w:color="auto" w:sz="4" w:space="0"/>
              <w:bottom w:val="single" w:color="auto" w:sz="4" w:space="0"/>
              <w:right w:val="single" w:color="auto" w:sz="4" w:space="0"/>
            </w:tcBorders>
            <w:noWrap w:val="0"/>
            <w:vAlign w:val="center"/>
          </w:tcPr>
          <w:p w14:paraId="700842F5">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三、扩声系统</w:t>
            </w:r>
          </w:p>
        </w:tc>
      </w:tr>
      <w:tr w14:paraId="433AA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570" w:type="dxa"/>
            <w:gridSpan w:val="2"/>
            <w:tcBorders>
              <w:top w:val="single" w:color="auto" w:sz="4" w:space="0"/>
              <w:left w:val="single" w:color="auto" w:sz="4" w:space="0"/>
              <w:bottom w:val="single" w:color="auto" w:sz="4" w:space="0"/>
              <w:right w:val="single" w:color="auto" w:sz="4" w:space="0"/>
            </w:tcBorders>
            <w:noWrap w:val="0"/>
            <w:vAlign w:val="center"/>
          </w:tcPr>
          <w:p w14:paraId="7134794C">
            <w:pPr>
              <w:widowControl/>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整体要求</w:t>
            </w:r>
          </w:p>
          <w:p w14:paraId="7624FBA6">
            <w:pPr>
              <w:pStyle w:val="3"/>
              <w:rPr>
                <w:rFonts w:hint="eastAsia" w:ascii="宋体" w:hAnsi="宋体" w:eastAsia="宋体" w:cs="宋体"/>
                <w:color w:val="auto"/>
                <w:highlight w:val="none"/>
                <w:lang w:bidi="ar"/>
              </w:rPr>
            </w:pPr>
            <w:r>
              <w:rPr>
                <w:rFonts w:hint="eastAsia" w:ascii="宋体" w:hAnsi="宋体" w:eastAsia="宋体" w:cs="宋体"/>
                <w:color w:val="auto"/>
                <w:sz w:val="24"/>
                <w:highlight w:val="none"/>
              </w:rPr>
              <w:t>（0.5）</w:t>
            </w:r>
          </w:p>
        </w:tc>
        <w:tc>
          <w:tcPr>
            <w:tcW w:w="6000" w:type="dxa"/>
            <w:tcBorders>
              <w:top w:val="single" w:color="auto" w:sz="4" w:space="0"/>
              <w:left w:val="single" w:color="auto" w:sz="4" w:space="0"/>
              <w:bottom w:val="single" w:color="auto" w:sz="4" w:space="0"/>
              <w:right w:val="single" w:color="auto" w:sz="4" w:space="0"/>
            </w:tcBorders>
            <w:noWrap w:val="0"/>
            <w:vAlign w:val="center"/>
          </w:tcPr>
          <w:p w14:paraId="34A7F5F7">
            <w:pPr>
              <w:widowControl/>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本项目整套扩声系统需实现全链路互联互通，满足国家教室声学建设标准；项目安装调试完成后，采购人或第三方机构开展现场实测，声场不均匀度、语言传输指数、系统噪声、最大声压级等声学指标实测合格后方可竣工验收，实测不达标不予验收。投标人投标时提供系统兼容互通书面承诺并加盖投标人公章。</w:t>
            </w:r>
          </w:p>
        </w:tc>
        <w:tc>
          <w:tcPr>
            <w:tcW w:w="981" w:type="dxa"/>
            <w:tcBorders>
              <w:top w:val="single" w:color="auto" w:sz="4" w:space="0"/>
              <w:left w:val="single" w:color="auto" w:sz="4" w:space="0"/>
              <w:bottom w:val="single" w:color="auto" w:sz="4" w:space="0"/>
              <w:right w:val="single" w:color="auto" w:sz="4" w:space="0"/>
            </w:tcBorders>
            <w:noWrap/>
            <w:vAlign w:val="center"/>
          </w:tcPr>
          <w:p w14:paraId="55D36970">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2098BA49">
            <w:pPr>
              <w:widowControl/>
              <w:jc w:val="center"/>
              <w:rPr>
                <w:rFonts w:hint="eastAsia" w:ascii="宋体" w:hAnsi="宋体" w:eastAsia="宋体" w:cs="宋体"/>
                <w:color w:val="auto"/>
                <w:sz w:val="24"/>
                <w:highlight w:val="none"/>
              </w:rPr>
            </w:pPr>
          </w:p>
        </w:tc>
      </w:tr>
      <w:tr w14:paraId="2C845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2" w:hRule="atLeast"/>
          <w:jc w:val="center"/>
        </w:trPr>
        <w:tc>
          <w:tcPr>
            <w:tcW w:w="704" w:type="dxa"/>
            <w:vMerge w:val="restart"/>
            <w:tcBorders>
              <w:top w:val="single" w:color="auto" w:sz="4" w:space="0"/>
              <w:left w:val="single" w:color="auto" w:sz="4" w:space="0"/>
              <w:right w:val="single" w:color="auto" w:sz="4" w:space="0"/>
            </w:tcBorders>
            <w:noWrap w:val="0"/>
            <w:vAlign w:val="center"/>
          </w:tcPr>
          <w:p w14:paraId="7A5BEAF4">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866" w:type="dxa"/>
            <w:vMerge w:val="restart"/>
            <w:tcBorders>
              <w:top w:val="single" w:color="auto" w:sz="4" w:space="0"/>
              <w:left w:val="single" w:color="auto" w:sz="4" w:space="0"/>
              <w:right w:val="single" w:color="auto" w:sz="4" w:space="0"/>
            </w:tcBorders>
            <w:noWrap w:val="0"/>
            <w:vAlign w:val="center"/>
          </w:tcPr>
          <w:p w14:paraId="3235B4E8">
            <w:pPr>
              <w:widowControl/>
              <w:jc w:val="center"/>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智能音频主机</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1</w:t>
            </w:r>
            <w:r>
              <w:rPr>
                <w:rFonts w:hint="eastAsia" w:ascii="宋体" w:hAnsi="宋体" w:cs="宋体"/>
                <w:color w:val="auto"/>
                <w:sz w:val="24"/>
                <w:highlight w:val="none"/>
                <w:lang w:val="en-US" w:eastAsia="zh-CN" w:bidi="ar"/>
              </w:rPr>
              <w:t>.5</w:t>
            </w:r>
            <w:r>
              <w:rPr>
                <w:rFonts w:hint="eastAsia" w:ascii="宋体" w:hAnsi="宋体" w:eastAsia="宋体" w:cs="宋体"/>
                <w:color w:val="auto"/>
                <w:sz w:val="24"/>
                <w:highlight w:val="none"/>
                <w:lang w:val="en-US" w:eastAsia="zh-CN" w:bidi="ar"/>
              </w:rPr>
              <w:t>分</w:t>
            </w:r>
            <w:r>
              <w:rPr>
                <w:rFonts w:hint="eastAsia" w:ascii="宋体" w:hAnsi="宋体" w:eastAsia="宋体" w:cs="宋体"/>
                <w:color w:val="auto"/>
                <w:sz w:val="24"/>
                <w:highlight w:val="none"/>
                <w:lang w:eastAsia="zh-CN" w:bidi="ar"/>
              </w:rPr>
              <w:t>）</w:t>
            </w:r>
          </w:p>
        </w:tc>
        <w:tc>
          <w:tcPr>
            <w:tcW w:w="6000" w:type="dxa"/>
            <w:tcBorders>
              <w:top w:val="single" w:color="auto" w:sz="4" w:space="0"/>
              <w:left w:val="single" w:color="auto" w:sz="4" w:space="0"/>
              <w:bottom w:val="single" w:color="auto" w:sz="4" w:space="0"/>
              <w:right w:val="single" w:color="auto" w:sz="4" w:space="0"/>
            </w:tcBorders>
            <w:noWrap w:val="0"/>
            <w:vAlign w:val="center"/>
          </w:tcPr>
          <w:p w14:paraId="0CD7758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音频处理和数字功放采用集成化嵌入式设计,高度≥1U；主机前面板带≥2.0寸TFT真彩显示触摸屏，具有密码输入保护、参数设置、录音操作等功能；使用高清HD级数字功放芯片组，具备延时保护、短路过流保护、过热保护。</w:t>
            </w:r>
          </w:p>
          <w:p w14:paraId="5FFA139C">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主机音频处理延迟≤5ms，支持实时回声消除、噪声抑制、自动增益等功能；支持RJ45网络调试和RS232串口通讯；主机具有智能调音功能；主机前面板带USB接口，支持U盘录音功能；主机软件可消除输入通道白噪声，白噪声最大下降不小于15 db。</w:t>
            </w:r>
          </w:p>
          <w:p w14:paraId="3028C58F">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通过局域网集中远程管理、查看设备在线情况、版本信息等，支持网络远程升级；具有空间去混响算法、环境降噪消除算法、音乐去回声算法等功能；支持在扩声中消除音乐播放源，确保语音扩声不发生干扰，支持单声道和立体声AEC。</w:t>
            </w:r>
          </w:p>
          <w:p w14:paraId="1239092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5.信噪比：≥95dB；功率放大器的输出功率≥2*120W；频率响应：20Hz-20kHz（±2dB）；总谐波失真（W-THD）：≤0.1%；增益差：≤0.1dB。</w:t>
            </w:r>
          </w:p>
          <w:p w14:paraId="4636251F">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主机软件具有≥5路输入、≥6路输出音频矩阵管理功能，每路输入通道带支持扩展器、自动增益、参数均衡等模块，每路输出通道带高低通、参数均衡、限幅器等模块；软件支持反馈抑制、回声抑制、混音矩阵、闪避器、电平表等功能模块；支持分量音频矩阵。</w:t>
            </w:r>
          </w:p>
        </w:tc>
        <w:tc>
          <w:tcPr>
            <w:tcW w:w="981" w:type="dxa"/>
            <w:tcBorders>
              <w:top w:val="single" w:color="auto" w:sz="4" w:space="0"/>
              <w:left w:val="single" w:color="auto" w:sz="4" w:space="0"/>
              <w:bottom w:val="single" w:color="auto" w:sz="4" w:space="0"/>
              <w:right w:val="single" w:color="auto" w:sz="4" w:space="0"/>
            </w:tcBorders>
            <w:noWrap/>
            <w:vAlign w:val="center"/>
          </w:tcPr>
          <w:p w14:paraId="5EA327B0">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4131BD64">
            <w:pPr>
              <w:widowControl/>
              <w:jc w:val="center"/>
              <w:rPr>
                <w:rFonts w:hint="eastAsia" w:ascii="宋体" w:hAnsi="宋体" w:eastAsia="宋体" w:cs="宋体"/>
                <w:color w:val="auto"/>
                <w:sz w:val="24"/>
                <w:highlight w:val="none"/>
              </w:rPr>
            </w:pPr>
          </w:p>
        </w:tc>
      </w:tr>
      <w:tr w14:paraId="75773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0" w:hRule="atLeast"/>
          <w:jc w:val="center"/>
        </w:trPr>
        <w:tc>
          <w:tcPr>
            <w:tcW w:w="704" w:type="dxa"/>
            <w:vMerge w:val="continue"/>
            <w:tcBorders>
              <w:left w:val="single" w:color="auto" w:sz="4" w:space="0"/>
              <w:bottom w:val="single" w:color="auto" w:sz="4" w:space="0"/>
              <w:right w:val="single" w:color="auto" w:sz="4" w:space="0"/>
            </w:tcBorders>
            <w:noWrap w:val="0"/>
            <w:vAlign w:val="center"/>
          </w:tcPr>
          <w:p w14:paraId="612E244D">
            <w:pPr>
              <w:widowControl/>
              <w:jc w:val="center"/>
              <w:rPr>
                <w:rFonts w:hint="eastAsia" w:ascii="宋体" w:hAnsi="宋体" w:eastAsia="宋体" w:cs="宋体"/>
                <w:color w:val="auto"/>
                <w:sz w:val="24"/>
                <w:highlight w:val="none"/>
              </w:rPr>
            </w:pPr>
          </w:p>
        </w:tc>
        <w:tc>
          <w:tcPr>
            <w:tcW w:w="866" w:type="dxa"/>
            <w:vMerge w:val="continue"/>
            <w:tcBorders>
              <w:left w:val="single" w:color="auto" w:sz="4" w:space="0"/>
              <w:bottom w:val="single" w:color="auto" w:sz="4" w:space="0"/>
              <w:right w:val="single" w:color="auto" w:sz="4" w:space="0"/>
            </w:tcBorders>
            <w:noWrap w:val="0"/>
            <w:vAlign w:val="center"/>
          </w:tcPr>
          <w:p w14:paraId="625343FF">
            <w:pPr>
              <w:widowControl/>
              <w:jc w:val="center"/>
              <w:rPr>
                <w:rFonts w:hint="eastAsia" w:ascii="宋体" w:hAnsi="宋体" w:eastAsia="宋体" w:cs="宋体"/>
                <w:color w:val="auto"/>
                <w:sz w:val="24"/>
                <w:highlight w:val="none"/>
                <w:lang w:bidi="ar"/>
              </w:rPr>
            </w:pPr>
          </w:p>
        </w:tc>
        <w:tc>
          <w:tcPr>
            <w:tcW w:w="6000" w:type="dxa"/>
            <w:tcBorders>
              <w:top w:val="single" w:color="auto" w:sz="4" w:space="0"/>
              <w:left w:val="single" w:color="auto" w:sz="4" w:space="0"/>
              <w:bottom w:val="single" w:color="auto" w:sz="4" w:space="0"/>
              <w:right w:val="single" w:color="auto" w:sz="4" w:space="0"/>
            </w:tcBorders>
            <w:noWrap w:val="0"/>
            <w:vAlign w:val="center"/>
          </w:tcPr>
          <w:p w14:paraId="51984A15">
            <w:pPr>
              <w:widowControl/>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7.主机具有≥5路麦克风输入、≥3路音频线路输入、≥6路音频线路输出，≥1路RS232接口，≥1路RJ45网络接口，≥5 路GPIO接口，≥1路3.5外接红外遥控接口，≥2路功放输出接口，并可内置扩展IP网络广播和无线麦克风。</w:t>
            </w:r>
            <w:r>
              <w:rPr>
                <w:rFonts w:hint="eastAsia" w:ascii="宋体" w:hAnsi="宋体" w:eastAsia="宋体" w:cs="宋体"/>
                <w:b/>
                <w:bCs/>
                <w:color w:val="auto"/>
                <w:sz w:val="24"/>
                <w:highlight w:val="none"/>
              </w:rPr>
              <w:t>【</w:t>
            </w:r>
            <w:r>
              <w:rPr>
                <w:rFonts w:hint="eastAsia" w:ascii="宋体" w:hAnsi="宋体" w:cs="宋体"/>
                <w:b/>
                <w:bCs/>
                <w:color w:val="auto"/>
                <w:sz w:val="24"/>
                <w:highlight w:val="none"/>
                <w:lang w:eastAsia="zh-CN"/>
              </w:rPr>
              <w:t>提供带有CNAS或CMA标记的检测报告的复印件或相关功能截图并加盖投标人公章</w:t>
            </w:r>
            <w:r>
              <w:rPr>
                <w:rFonts w:hint="eastAsia" w:ascii="宋体" w:hAnsi="宋体" w:eastAsia="宋体" w:cs="宋体"/>
                <w:b/>
                <w:bCs/>
                <w:color w:val="auto"/>
                <w:sz w:val="24"/>
                <w:highlight w:val="none"/>
              </w:rPr>
              <w:t>】</w:t>
            </w:r>
          </w:p>
        </w:tc>
        <w:tc>
          <w:tcPr>
            <w:tcW w:w="981" w:type="dxa"/>
            <w:tcBorders>
              <w:top w:val="single" w:color="auto" w:sz="4" w:space="0"/>
              <w:left w:val="single" w:color="auto" w:sz="4" w:space="0"/>
              <w:bottom w:val="single" w:color="auto" w:sz="4" w:space="0"/>
              <w:right w:val="single" w:color="auto" w:sz="4" w:space="0"/>
            </w:tcBorders>
            <w:noWrap/>
            <w:vAlign w:val="center"/>
          </w:tcPr>
          <w:p w14:paraId="668D9FA6">
            <w:pPr>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73AA06B4">
            <w:pPr>
              <w:jc w:val="center"/>
              <w:rPr>
                <w:rFonts w:hint="eastAsia" w:ascii="宋体" w:hAnsi="宋体" w:eastAsia="宋体" w:cs="宋体"/>
                <w:color w:val="auto"/>
                <w:sz w:val="24"/>
                <w:highlight w:val="none"/>
              </w:rPr>
            </w:pPr>
          </w:p>
        </w:tc>
      </w:tr>
      <w:tr w14:paraId="79054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4" w:type="dxa"/>
            <w:vMerge w:val="restart"/>
            <w:tcBorders>
              <w:top w:val="single" w:color="auto" w:sz="4" w:space="0"/>
              <w:left w:val="single" w:color="auto" w:sz="4" w:space="0"/>
              <w:right w:val="single" w:color="auto" w:sz="4" w:space="0"/>
            </w:tcBorders>
            <w:noWrap w:val="0"/>
            <w:vAlign w:val="center"/>
          </w:tcPr>
          <w:p w14:paraId="0AA82915">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866" w:type="dxa"/>
            <w:vMerge w:val="restart"/>
            <w:tcBorders>
              <w:top w:val="single" w:color="auto" w:sz="4" w:space="0"/>
              <w:left w:val="single" w:color="auto" w:sz="4" w:space="0"/>
              <w:right w:val="single" w:color="auto" w:sz="4" w:space="0"/>
            </w:tcBorders>
            <w:noWrap w:val="0"/>
            <w:vAlign w:val="center"/>
          </w:tcPr>
          <w:p w14:paraId="23E27F44">
            <w:pPr>
              <w:widowControl/>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拾音麦克风</w:t>
            </w:r>
          </w:p>
          <w:p w14:paraId="20CD7BA9">
            <w:pPr>
              <w:widowControl/>
              <w:jc w:val="center"/>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1分</w:t>
            </w:r>
            <w:r>
              <w:rPr>
                <w:rFonts w:hint="eastAsia" w:ascii="宋体" w:hAnsi="宋体" w:eastAsia="宋体" w:cs="宋体"/>
                <w:color w:val="auto"/>
                <w:sz w:val="24"/>
                <w:highlight w:val="none"/>
                <w:lang w:eastAsia="zh-CN" w:bidi="ar"/>
              </w:rPr>
              <w:t>）</w:t>
            </w:r>
          </w:p>
        </w:tc>
        <w:tc>
          <w:tcPr>
            <w:tcW w:w="6000" w:type="dxa"/>
            <w:tcBorders>
              <w:top w:val="single" w:color="auto" w:sz="4" w:space="0"/>
              <w:left w:val="single" w:color="auto" w:sz="4" w:space="0"/>
              <w:bottom w:val="single" w:color="auto" w:sz="4" w:space="0"/>
              <w:right w:val="single" w:color="auto" w:sz="4" w:space="0"/>
            </w:tcBorders>
            <w:noWrap w:val="0"/>
            <w:vAlign w:val="center"/>
          </w:tcPr>
          <w:p w14:paraId="6F3B6AAB">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大中小教室要求（每间1只）：</w:t>
            </w:r>
          </w:p>
          <w:p w14:paraId="6C506CC2">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输出阻抗:250Ω±30%；灵敏度：-35dB（±3）；频率响应：20-20KHz；最大声压级：135dB SPL；信噪比(SNR)：≥80dB；幻像供电：48V；采用卡侬头音频输出接口；具有抗手机、电磁、高频干扰功能；麦克风表面具有信号指示灯；定向拾音，5-8米远距离拾音，无杂散声波源回授产生的自激啸叫问题等；离地安装高度≥2.5米；根据建筑层高配套铝合金伸缩吊杆。</w:t>
            </w:r>
          </w:p>
        </w:tc>
        <w:tc>
          <w:tcPr>
            <w:tcW w:w="981" w:type="dxa"/>
            <w:tcBorders>
              <w:top w:val="single" w:color="auto" w:sz="4" w:space="0"/>
              <w:left w:val="single" w:color="auto" w:sz="4" w:space="0"/>
              <w:bottom w:val="single" w:color="auto" w:sz="4" w:space="0"/>
              <w:right w:val="single" w:color="auto" w:sz="4" w:space="0"/>
            </w:tcBorders>
            <w:noWrap/>
            <w:vAlign w:val="center"/>
          </w:tcPr>
          <w:p w14:paraId="769D7825">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3B1916B7">
            <w:pPr>
              <w:widowControl/>
              <w:jc w:val="center"/>
              <w:rPr>
                <w:rFonts w:hint="eastAsia" w:ascii="宋体" w:hAnsi="宋体" w:eastAsia="宋体" w:cs="宋体"/>
                <w:color w:val="auto"/>
                <w:sz w:val="24"/>
                <w:highlight w:val="none"/>
              </w:rPr>
            </w:pPr>
          </w:p>
        </w:tc>
      </w:tr>
      <w:tr w14:paraId="6CB69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4" w:type="dxa"/>
            <w:vMerge w:val="continue"/>
            <w:tcBorders>
              <w:left w:val="single" w:color="auto" w:sz="4" w:space="0"/>
              <w:bottom w:val="single" w:color="auto" w:sz="4" w:space="0"/>
              <w:right w:val="single" w:color="auto" w:sz="4" w:space="0"/>
            </w:tcBorders>
            <w:noWrap w:val="0"/>
            <w:vAlign w:val="center"/>
          </w:tcPr>
          <w:p w14:paraId="2959EEB2">
            <w:pPr>
              <w:widowControl/>
              <w:jc w:val="center"/>
              <w:rPr>
                <w:rFonts w:hint="eastAsia" w:ascii="宋体" w:hAnsi="宋体" w:eastAsia="宋体" w:cs="宋体"/>
                <w:color w:val="auto"/>
                <w:sz w:val="24"/>
                <w:highlight w:val="none"/>
              </w:rPr>
            </w:pPr>
          </w:p>
        </w:tc>
        <w:tc>
          <w:tcPr>
            <w:tcW w:w="866" w:type="dxa"/>
            <w:vMerge w:val="continue"/>
            <w:tcBorders>
              <w:left w:val="single" w:color="auto" w:sz="4" w:space="0"/>
              <w:bottom w:val="single" w:color="auto" w:sz="4" w:space="0"/>
              <w:right w:val="single" w:color="auto" w:sz="4" w:space="0"/>
            </w:tcBorders>
            <w:noWrap w:val="0"/>
            <w:vAlign w:val="center"/>
          </w:tcPr>
          <w:p w14:paraId="7FB10528">
            <w:pPr>
              <w:widowControl/>
              <w:jc w:val="center"/>
              <w:rPr>
                <w:rFonts w:hint="eastAsia" w:ascii="宋体" w:hAnsi="宋体" w:eastAsia="宋体" w:cs="宋体"/>
                <w:color w:val="auto"/>
                <w:sz w:val="24"/>
                <w:highlight w:val="none"/>
                <w:lang w:bidi="ar"/>
              </w:rPr>
            </w:pPr>
          </w:p>
        </w:tc>
        <w:tc>
          <w:tcPr>
            <w:tcW w:w="6000" w:type="dxa"/>
            <w:tcBorders>
              <w:top w:val="single" w:color="auto" w:sz="4" w:space="0"/>
              <w:left w:val="single" w:color="auto" w:sz="4" w:space="0"/>
              <w:bottom w:val="single" w:color="auto" w:sz="4" w:space="0"/>
              <w:right w:val="single" w:color="auto" w:sz="4" w:space="0"/>
            </w:tcBorders>
            <w:noWrap w:val="0"/>
            <w:vAlign w:val="center"/>
          </w:tcPr>
          <w:p w14:paraId="0233A848">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阶梯教室要求（每间2只）：</w:t>
            </w:r>
          </w:p>
          <w:p w14:paraId="2E61582A">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阵列麦克风，采用≥6咪线性阵列，可≥10米远距离宽范围拾音；内置防风棉，过滤杂音和环境噪声；48V幻象电源供电；抗手机、电磁、高频干扰；频率响应：20-20KHZ（±3dB）；敏感度：等于或优于-38dB±3dB；最大声压级：≥138dB SPL；信噪比：≥80dB；离地安装高度≥2.5米；根据建筑层高配套铝合金伸缩吊杆。</w:t>
            </w:r>
          </w:p>
        </w:tc>
        <w:tc>
          <w:tcPr>
            <w:tcW w:w="981" w:type="dxa"/>
            <w:tcBorders>
              <w:top w:val="single" w:color="auto" w:sz="4" w:space="0"/>
              <w:left w:val="single" w:color="auto" w:sz="4" w:space="0"/>
              <w:bottom w:val="single" w:color="auto" w:sz="4" w:space="0"/>
              <w:right w:val="single" w:color="auto" w:sz="4" w:space="0"/>
            </w:tcBorders>
            <w:noWrap/>
            <w:vAlign w:val="center"/>
          </w:tcPr>
          <w:p w14:paraId="0BD2E28B">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1271C5E0">
            <w:pPr>
              <w:widowControl/>
              <w:jc w:val="center"/>
              <w:rPr>
                <w:rFonts w:hint="eastAsia" w:ascii="宋体" w:hAnsi="宋体" w:eastAsia="宋体" w:cs="宋体"/>
                <w:color w:val="auto"/>
                <w:sz w:val="24"/>
                <w:highlight w:val="none"/>
              </w:rPr>
            </w:pPr>
          </w:p>
        </w:tc>
      </w:tr>
      <w:tr w14:paraId="49E65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5" w:hRule="atLeast"/>
          <w:jc w:val="center"/>
        </w:trPr>
        <w:tc>
          <w:tcPr>
            <w:tcW w:w="704" w:type="dxa"/>
            <w:vMerge w:val="restart"/>
            <w:tcBorders>
              <w:top w:val="single" w:color="auto" w:sz="4" w:space="0"/>
              <w:left w:val="single" w:color="auto" w:sz="4" w:space="0"/>
              <w:right w:val="single" w:color="auto" w:sz="4" w:space="0"/>
            </w:tcBorders>
            <w:noWrap w:val="0"/>
            <w:vAlign w:val="center"/>
          </w:tcPr>
          <w:p w14:paraId="3AC975F4">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866" w:type="dxa"/>
            <w:vMerge w:val="restart"/>
            <w:tcBorders>
              <w:top w:val="single" w:color="auto" w:sz="4" w:space="0"/>
              <w:left w:val="single" w:color="auto" w:sz="4" w:space="0"/>
              <w:right w:val="single" w:color="auto" w:sz="4" w:space="0"/>
            </w:tcBorders>
            <w:noWrap w:val="0"/>
            <w:vAlign w:val="center"/>
          </w:tcPr>
          <w:p w14:paraId="18B8919A">
            <w:pPr>
              <w:widowControl/>
              <w:jc w:val="center"/>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扩声音箱</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1</w:t>
            </w:r>
            <w:r>
              <w:rPr>
                <w:rFonts w:hint="eastAsia" w:ascii="宋体" w:hAnsi="宋体" w:cs="宋体"/>
                <w:color w:val="auto"/>
                <w:sz w:val="24"/>
                <w:highlight w:val="none"/>
                <w:lang w:val="en-US" w:eastAsia="zh-CN" w:bidi="ar"/>
              </w:rPr>
              <w:t>.5</w:t>
            </w:r>
            <w:r>
              <w:rPr>
                <w:rFonts w:hint="eastAsia" w:ascii="宋体" w:hAnsi="宋体" w:eastAsia="宋体" w:cs="宋体"/>
                <w:color w:val="auto"/>
                <w:sz w:val="24"/>
                <w:highlight w:val="none"/>
                <w:lang w:val="en-US" w:eastAsia="zh-CN" w:bidi="ar"/>
              </w:rPr>
              <w:t>分</w:t>
            </w:r>
            <w:r>
              <w:rPr>
                <w:rFonts w:hint="eastAsia" w:ascii="宋体" w:hAnsi="宋体" w:eastAsia="宋体" w:cs="宋体"/>
                <w:color w:val="auto"/>
                <w:sz w:val="24"/>
                <w:highlight w:val="none"/>
                <w:lang w:eastAsia="zh-CN" w:bidi="ar"/>
              </w:rPr>
              <w:t>）</w:t>
            </w:r>
          </w:p>
        </w:tc>
        <w:tc>
          <w:tcPr>
            <w:tcW w:w="6000" w:type="dxa"/>
            <w:tcBorders>
              <w:top w:val="single" w:color="auto" w:sz="4" w:space="0"/>
              <w:left w:val="single" w:color="auto" w:sz="4" w:space="0"/>
              <w:bottom w:val="single" w:color="auto" w:sz="4" w:space="0"/>
              <w:right w:val="single" w:color="auto" w:sz="4" w:space="0"/>
            </w:tcBorders>
            <w:noWrap w:val="0"/>
            <w:vAlign w:val="center"/>
          </w:tcPr>
          <w:p w14:paraId="6239EF9E">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中小型教室各1对，大教室、阶梯教室2对。</w:t>
            </w:r>
          </w:p>
          <w:p w14:paraId="473EEA58">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1.采用绿色环保高密版材料，室内壁挂式安装，角度可万向调节（可根据实际情况进行方向调整）。</w:t>
            </w:r>
          </w:p>
          <w:p w14:paraId="13C67CAA">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2.频率响应范围：50Hz-20kHz（-3dB）；输入阻抗：8Ohm（±5）；灵敏度：87dB 1.0W/1m（±2）；额定输入功率：65W（±5）；峰值输入功率：260W（±5）；覆盖角度：90°（H）× 60°（V）。</w:t>
            </w:r>
          </w:p>
        </w:tc>
        <w:tc>
          <w:tcPr>
            <w:tcW w:w="981" w:type="dxa"/>
            <w:tcBorders>
              <w:top w:val="single" w:color="auto" w:sz="4" w:space="0"/>
              <w:left w:val="single" w:color="auto" w:sz="4" w:space="0"/>
              <w:bottom w:val="single" w:color="auto" w:sz="4" w:space="0"/>
              <w:right w:val="single" w:color="auto" w:sz="4" w:space="0"/>
            </w:tcBorders>
            <w:noWrap/>
            <w:vAlign w:val="center"/>
          </w:tcPr>
          <w:p w14:paraId="5FF404BD">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6DC382DA">
            <w:pPr>
              <w:widowControl/>
              <w:jc w:val="center"/>
              <w:rPr>
                <w:rFonts w:hint="eastAsia" w:ascii="宋体" w:hAnsi="宋体" w:eastAsia="宋体" w:cs="宋体"/>
                <w:color w:val="auto"/>
                <w:sz w:val="24"/>
                <w:highlight w:val="none"/>
              </w:rPr>
            </w:pPr>
          </w:p>
        </w:tc>
      </w:tr>
      <w:tr w14:paraId="317CD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04" w:type="dxa"/>
            <w:vMerge w:val="continue"/>
            <w:tcBorders>
              <w:left w:val="single" w:color="auto" w:sz="4" w:space="0"/>
              <w:bottom w:val="single" w:color="auto" w:sz="4" w:space="0"/>
              <w:right w:val="single" w:color="auto" w:sz="4" w:space="0"/>
            </w:tcBorders>
            <w:noWrap w:val="0"/>
            <w:vAlign w:val="center"/>
          </w:tcPr>
          <w:p w14:paraId="312139EE">
            <w:pPr>
              <w:widowControl/>
              <w:jc w:val="center"/>
              <w:rPr>
                <w:rFonts w:hint="eastAsia" w:ascii="宋体" w:hAnsi="宋体" w:eastAsia="宋体" w:cs="宋体"/>
                <w:color w:val="auto"/>
                <w:sz w:val="24"/>
                <w:highlight w:val="none"/>
              </w:rPr>
            </w:pPr>
          </w:p>
        </w:tc>
        <w:tc>
          <w:tcPr>
            <w:tcW w:w="866" w:type="dxa"/>
            <w:vMerge w:val="continue"/>
            <w:tcBorders>
              <w:left w:val="single" w:color="auto" w:sz="4" w:space="0"/>
              <w:bottom w:val="single" w:color="auto" w:sz="4" w:space="0"/>
              <w:right w:val="single" w:color="auto" w:sz="4" w:space="0"/>
            </w:tcBorders>
            <w:noWrap w:val="0"/>
            <w:vAlign w:val="center"/>
          </w:tcPr>
          <w:p w14:paraId="326688E4">
            <w:pPr>
              <w:widowControl/>
              <w:jc w:val="center"/>
              <w:rPr>
                <w:rFonts w:hint="eastAsia" w:ascii="宋体" w:hAnsi="宋体" w:eastAsia="宋体" w:cs="宋体"/>
                <w:color w:val="auto"/>
                <w:sz w:val="24"/>
                <w:highlight w:val="none"/>
                <w:lang w:bidi="ar"/>
              </w:rPr>
            </w:pPr>
          </w:p>
        </w:tc>
        <w:tc>
          <w:tcPr>
            <w:tcW w:w="6000" w:type="dxa"/>
            <w:tcBorders>
              <w:top w:val="single" w:color="auto" w:sz="4" w:space="0"/>
              <w:left w:val="single" w:color="auto" w:sz="4" w:space="0"/>
              <w:bottom w:val="single" w:color="auto" w:sz="4" w:space="0"/>
              <w:right w:val="single" w:color="auto" w:sz="4" w:space="0"/>
            </w:tcBorders>
            <w:noWrap w:val="0"/>
            <w:vAlign w:val="center"/>
          </w:tcPr>
          <w:p w14:paraId="10437678">
            <w:pPr>
              <w:jc w:val="left"/>
              <w:rPr>
                <w:rFonts w:hint="eastAsia" w:ascii="宋体" w:hAnsi="宋体" w:eastAsia="宋体" w:cs="宋体"/>
                <w:color w:val="auto"/>
                <w:highlight w:val="none"/>
              </w:rPr>
            </w:pP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3.</w:t>
            </w:r>
            <w:r>
              <w:rPr>
                <w:rFonts w:hint="eastAsia" w:ascii="宋体" w:hAnsi="宋体" w:eastAsia="宋体" w:cs="宋体"/>
                <w:b/>
                <w:bCs/>
                <w:color w:val="auto"/>
                <w:sz w:val="24"/>
                <w:highlight w:val="none"/>
              </w:rPr>
              <w:t>产品通过应力消除试验、跌落试验、冲击锤试验等安全性试验检测。【提供带有CNAS或CMA标记的检测报告的复印件并加盖公章】</w:t>
            </w:r>
          </w:p>
        </w:tc>
        <w:tc>
          <w:tcPr>
            <w:tcW w:w="981" w:type="dxa"/>
            <w:tcBorders>
              <w:top w:val="single" w:color="auto" w:sz="4" w:space="0"/>
              <w:left w:val="single" w:color="auto" w:sz="4" w:space="0"/>
              <w:bottom w:val="single" w:color="auto" w:sz="4" w:space="0"/>
              <w:right w:val="single" w:color="auto" w:sz="4" w:space="0"/>
            </w:tcBorders>
            <w:noWrap/>
            <w:vAlign w:val="center"/>
          </w:tcPr>
          <w:p w14:paraId="64CCAFD5">
            <w:pPr>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732FAE41">
            <w:pPr>
              <w:jc w:val="center"/>
              <w:rPr>
                <w:rFonts w:hint="eastAsia" w:ascii="宋体" w:hAnsi="宋体" w:eastAsia="宋体" w:cs="宋体"/>
                <w:color w:val="auto"/>
                <w:sz w:val="24"/>
                <w:highlight w:val="none"/>
              </w:rPr>
            </w:pPr>
          </w:p>
        </w:tc>
      </w:tr>
      <w:tr w14:paraId="55804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704" w:type="dxa"/>
            <w:vMerge w:val="restart"/>
            <w:tcBorders>
              <w:top w:val="single" w:color="auto" w:sz="4" w:space="0"/>
              <w:left w:val="single" w:color="auto" w:sz="4" w:space="0"/>
              <w:right w:val="single" w:color="auto" w:sz="4" w:space="0"/>
            </w:tcBorders>
            <w:noWrap w:val="0"/>
            <w:vAlign w:val="center"/>
          </w:tcPr>
          <w:p w14:paraId="463CD068">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866" w:type="dxa"/>
            <w:vMerge w:val="restart"/>
            <w:tcBorders>
              <w:top w:val="single" w:color="auto" w:sz="4" w:space="0"/>
              <w:left w:val="single" w:color="auto" w:sz="4" w:space="0"/>
              <w:right w:val="single" w:color="auto" w:sz="4" w:space="0"/>
            </w:tcBorders>
            <w:noWrap w:val="0"/>
            <w:vAlign w:val="center"/>
          </w:tcPr>
          <w:p w14:paraId="2C326791">
            <w:pPr>
              <w:widowControl/>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多功能无线麦克风套装</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lang w:eastAsia="zh-CN"/>
              </w:rPr>
              <w:t>）</w:t>
            </w:r>
          </w:p>
        </w:tc>
        <w:tc>
          <w:tcPr>
            <w:tcW w:w="6000" w:type="dxa"/>
            <w:tcBorders>
              <w:top w:val="single" w:color="auto" w:sz="4" w:space="0"/>
              <w:left w:val="single" w:color="auto" w:sz="4" w:space="0"/>
              <w:bottom w:val="single" w:color="auto" w:sz="4" w:space="0"/>
              <w:right w:val="single" w:color="auto" w:sz="4" w:space="0"/>
            </w:tcBorders>
            <w:noWrap w:val="0"/>
            <w:vAlign w:val="center"/>
          </w:tcPr>
          <w:p w14:paraId="711167FC">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一、多功能无线麦克风</w:t>
            </w:r>
          </w:p>
          <w:p w14:paraId="57F7C880">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1.采用笔形外观设计，重量≤100克；采用2.4G信号传输，红外信号对频，不串频、无干扰；工作频率：2400 MHz—2480 MHz。</w:t>
            </w:r>
          </w:p>
          <w:p w14:paraId="1CCD0D91">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2.具有≥1.0英寸彩色TFT显示屏，显示界面可显示无线连接状态、电池电量、音量大小数值等。</w:t>
            </w:r>
          </w:p>
          <w:p w14:paraId="3834DC01">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3.无线麦克风具有激光发射（照射距离≥10米）、PPT上翻页和下翻页、按键电源按键、音量加、音量减等独立功能操作。</w:t>
            </w:r>
          </w:p>
          <w:p w14:paraId="2FDE0E77">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 至少具有TYPE-C接口充电和充电底座直插充电等充电模式；满电后可连续使用时长≥6小时；无线传输距离≥20米（室内）；具有≥1.0米自由落体耐摔功能，外壳及麦内部件不会损坏。</w:t>
            </w:r>
          </w:p>
          <w:p w14:paraId="70074085">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5.具有≥1个Type-C接口，Type-C接口同时支持外接充电和拓展头戴麦克风、领夹麦克风等外接咪头。</w:t>
            </w:r>
          </w:p>
          <w:p w14:paraId="5011683F">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6.频率范围100Hz~12kHz(±3dB)；动态范围≥85dB；总谐波失≤0.2%( 1kHz )；信噪比≥65 dB；系统延时≤15ms。</w:t>
            </w:r>
          </w:p>
          <w:p w14:paraId="48C461FC">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7.无线麦克风脱离信号接收范围，麦克风自动发出蜂鸣警报声，同时麦克风显示屏自动弹出提示信息。</w:t>
            </w:r>
          </w:p>
        </w:tc>
        <w:tc>
          <w:tcPr>
            <w:tcW w:w="981" w:type="dxa"/>
            <w:tcBorders>
              <w:top w:val="single" w:color="auto" w:sz="4" w:space="0"/>
              <w:left w:val="single" w:color="auto" w:sz="4" w:space="0"/>
              <w:bottom w:val="single" w:color="auto" w:sz="4" w:space="0"/>
              <w:right w:val="single" w:color="auto" w:sz="4" w:space="0"/>
            </w:tcBorders>
            <w:noWrap/>
            <w:vAlign w:val="center"/>
          </w:tcPr>
          <w:p w14:paraId="77CCDF10">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7B032FB6">
            <w:pPr>
              <w:widowControl/>
              <w:jc w:val="center"/>
              <w:rPr>
                <w:rFonts w:hint="eastAsia" w:ascii="宋体" w:hAnsi="宋体" w:eastAsia="宋体" w:cs="宋体"/>
                <w:color w:val="auto"/>
                <w:sz w:val="24"/>
                <w:highlight w:val="none"/>
              </w:rPr>
            </w:pPr>
          </w:p>
        </w:tc>
      </w:tr>
      <w:tr w14:paraId="79317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704" w:type="dxa"/>
            <w:vMerge w:val="continue"/>
            <w:tcBorders>
              <w:left w:val="single" w:color="auto" w:sz="4" w:space="0"/>
              <w:right w:val="single" w:color="auto" w:sz="4" w:space="0"/>
            </w:tcBorders>
            <w:noWrap w:val="0"/>
            <w:vAlign w:val="center"/>
          </w:tcPr>
          <w:p w14:paraId="4687730C">
            <w:pPr>
              <w:widowControl/>
              <w:jc w:val="center"/>
              <w:rPr>
                <w:rFonts w:hint="eastAsia" w:ascii="宋体" w:hAnsi="宋体" w:eastAsia="宋体" w:cs="宋体"/>
                <w:color w:val="auto"/>
                <w:sz w:val="24"/>
                <w:highlight w:val="none"/>
              </w:rPr>
            </w:pPr>
          </w:p>
        </w:tc>
        <w:tc>
          <w:tcPr>
            <w:tcW w:w="866" w:type="dxa"/>
            <w:vMerge w:val="continue"/>
            <w:tcBorders>
              <w:left w:val="single" w:color="auto" w:sz="4" w:space="0"/>
              <w:right w:val="single" w:color="auto" w:sz="4" w:space="0"/>
            </w:tcBorders>
            <w:noWrap w:val="0"/>
            <w:vAlign w:val="center"/>
          </w:tcPr>
          <w:p w14:paraId="7F480893">
            <w:pPr>
              <w:widowControl/>
              <w:jc w:val="center"/>
              <w:rPr>
                <w:rFonts w:hint="eastAsia" w:ascii="宋体" w:hAnsi="宋体" w:eastAsia="宋体" w:cs="宋体"/>
                <w:color w:val="auto"/>
                <w:sz w:val="24"/>
                <w:highlight w:val="none"/>
              </w:rPr>
            </w:pPr>
          </w:p>
        </w:tc>
        <w:tc>
          <w:tcPr>
            <w:tcW w:w="6000" w:type="dxa"/>
            <w:tcBorders>
              <w:top w:val="single" w:color="auto" w:sz="4" w:space="0"/>
              <w:left w:val="single" w:color="auto" w:sz="4" w:space="0"/>
              <w:bottom w:val="single" w:color="auto" w:sz="4" w:space="0"/>
              <w:right w:val="single" w:color="auto" w:sz="4" w:space="0"/>
            </w:tcBorders>
            <w:noWrap w:val="0"/>
            <w:vAlign w:val="center"/>
          </w:tcPr>
          <w:p w14:paraId="7F151E28">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二、智能充电座</w:t>
            </w:r>
          </w:p>
          <w:p w14:paraId="0C8F13B2">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1.外壳采用金属合金材质，桌面固定安装；麦克风插入充电座即可自动充电，麦克风显示屏幕同步显示充电状态；内置红外对频功能，开启自动对频。</w:t>
            </w:r>
          </w:p>
          <w:p w14:paraId="4E3643EC">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2.具有Type-C电源输入接口，3.5红外对频接口。</w:t>
            </w:r>
          </w:p>
          <w:p w14:paraId="5E2807E6">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3.智能充电底座具有触摸解锁按键、状态指示灯、红外对频窗口、充电槽等，槽内具有霍尔传感器检测开关、底部到位检测开关；底座具有自动锁止麦克风功能。</w:t>
            </w:r>
          </w:p>
          <w:p w14:paraId="26C03F2B">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4.麦克风放入终端后自动进入静音待机状态，30分钟后麦克风未取出，麦克风自动关机。</w:t>
            </w:r>
          </w:p>
          <w:p w14:paraId="132017FC">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5.充电座面板具有锁定状态信号灯，当终端处于锁定状态红灯亮，处于解锁状态绿灯亮；当充电底座处于允许解锁状态，触摸解锁键可解锁取出麦克风，处于不允许解锁状态，无法通过触控解锁取出麦克风。</w:t>
            </w:r>
          </w:p>
        </w:tc>
        <w:tc>
          <w:tcPr>
            <w:tcW w:w="981" w:type="dxa"/>
            <w:tcBorders>
              <w:top w:val="single" w:color="auto" w:sz="4" w:space="0"/>
              <w:left w:val="single" w:color="auto" w:sz="4" w:space="0"/>
              <w:bottom w:val="single" w:color="auto" w:sz="4" w:space="0"/>
              <w:right w:val="single" w:color="auto" w:sz="4" w:space="0"/>
            </w:tcBorders>
            <w:noWrap/>
            <w:vAlign w:val="center"/>
          </w:tcPr>
          <w:p w14:paraId="359DDB89">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384A7C76">
            <w:pPr>
              <w:widowControl/>
              <w:jc w:val="center"/>
              <w:rPr>
                <w:rFonts w:hint="eastAsia" w:ascii="宋体" w:hAnsi="宋体" w:eastAsia="宋体" w:cs="宋体"/>
                <w:color w:val="auto"/>
                <w:sz w:val="24"/>
                <w:highlight w:val="none"/>
              </w:rPr>
            </w:pPr>
          </w:p>
        </w:tc>
      </w:tr>
      <w:tr w14:paraId="15A8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2" w:hRule="atLeast"/>
          <w:jc w:val="center"/>
        </w:trPr>
        <w:tc>
          <w:tcPr>
            <w:tcW w:w="704" w:type="dxa"/>
            <w:vMerge w:val="continue"/>
            <w:tcBorders>
              <w:left w:val="single" w:color="auto" w:sz="4" w:space="0"/>
              <w:right w:val="single" w:color="auto" w:sz="4" w:space="0"/>
            </w:tcBorders>
            <w:noWrap w:val="0"/>
            <w:vAlign w:val="center"/>
          </w:tcPr>
          <w:p w14:paraId="743ABBCA">
            <w:pPr>
              <w:widowControl/>
              <w:jc w:val="center"/>
              <w:rPr>
                <w:rFonts w:hint="eastAsia" w:ascii="宋体" w:hAnsi="宋体" w:eastAsia="宋体" w:cs="宋体"/>
                <w:color w:val="auto"/>
                <w:sz w:val="24"/>
                <w:highlight w:val="none"/>
              </w:rPr>
            </w:pPr>
          </w:p>
        </w:tc>
        <w:tc>
          <w:tcPr>
            <w:tcW w:w="866" w:type="dxa"/>
            <w:vMerge w:val="continue"/>
            <w:tcBorders>
              <w:left w:val="single" w:color="auto" w:sz="4" w:space="0"/>
              <w:right w:val="single" w:color="auto" w:sz="4" w:space="0"/>
            </w:tcBorders>
            <w:noWrap w:val="0"/>
            <w:vAlign w:val="center"/>
          </w:tcPr>
          <w:p w14:paraId="4A6C533E">
            <w:pPr>
              <w:widowControl/>
              <w:jc w:val="center"/>
              <w:rPr>
                <w:rFonts w:hint="eastAsia" w:ascii="宋体" w:hAnsi="宋体" w:eastAsia="宋体" w:cs="宋体"/>
                <w:color w:val="auto"/>
                <w:sz w:val="24"/>
                <w:highlight w:val="none"/>
              </w:rPr>
            </w:pPr>
          </w:p>
        </w:tc>
        <w:tc>
          <w:tcPr>
            <w:tcW w:w="6000" w:type="dxa"/>
            <w:tcBorders>
              <w:top w:val="single" w:color="auto" w:sz="4" w:space="0"/>
              <w:left w:val="single" w:color="auto" w:sz="4" w:space="0"/>
              <w:bottom w:val="single" w:color="auto" w:sz="4" w:space="0"/>
              <w:right w:val="single" w:color="auto" w:sz="4" w:space="0"/>
            </w:tcBorders>
            <w:noWrap w:val="0"/>
            <w:vAlign w:val="center"/>
          </w:tcPr>
          <w:p w14:paraId="37E711B2">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1.支持多种安装形式，外壳具有安装预留孔位，支持机柜放置和壁挂安装。</w:t>
            </w:r>
          </w:p>
          <w:p w14:paraId="62648D8B">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2.采用高性能音频处理芯片，超低失真声音处理电路设计；具备通过RS232协议联动中控设备管控功能，支持通过局域网对接云平台等进行联合管控。</w:t>
            </w:r>
          </w:p>
          <w:p w14:paraId="62F6464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3.对频方式：IR红外对频；音频传输：2.4G信号传输；电源：DC9V，1A；信噪比：≥100db；输出阻抗：200Ω（±5）。</w:t>
            </w:r>
          </w:p>
        </w:tc>
        <w:tc>
          <w:tcPr>
            <w:tcW w:w="981" w:type="dxa"/>
            <w:tcBorders>
              <w:top w:val="single" w:color="auto" w:sz="4" w:space="0"/>
              <w:left w:val="single" w:color="auto" w:sz="4" w:space="0"/>
              <w:bottom w:val="single" w:color="auto" w:sz="4" w:space="0"/>
              <w:right w:val="single" w:color="auto" w:sz="4" w:space="0"/>
            </w:tcBorders>
            <w:noWrap/>
            <w:vAlign w:val="center"/>
          </w:tcPr>
          <w:p w14:paraId="46B2281B">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0C51AE21">
            <w:pPr>
              <w:widowControl/>
              <w:jc w:val="center"/>
              <w:rPr>
                <w:rFonts w:hint="eastAsia" w:ascii="宋体" w:hAnsi="宋体" w:eastAsia="宋体" w:cs="宋体"/>
                <w:color w:val="auto"/>
                <w:sz w:val="24"/>
                <w:highlight w:val="none"/>
              </w:rPr>
            </w:pPr>
          </w:p>
        </w:tc>
      </w:tr>
      <w:tr w14:paraId="147E7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1" w:hRule="atLeast"/>
          <w:jc w:val="center"/>
        </w:trPr>
        <w:tc>
          <w:tcPr>
            <w:tcW w:w="704" w:type="dxa"/>
            <w:vMerge w:val="continue"/>
            <w:tcBorders>
              <w:left w:val="single" w:color="auto" w:sz="4" w:space="0"/>
              <w:right w:val="single" w:color="auto" w:sz="4" w:space="0"/>
            </w:tcBorders>
            <w:noWrap w:val="0"/>
            <w:vAlign w:val="center"/>
          </w:tcPr>
          <w:p w14:paraId="7336DE20">
            <w:pPr>
              <w:widowControl/>
              <w:jc w:val="center"/>
              <w:rPr>
                <w:rFonts w:hint="eastAsia" w:ascii="宋体" w:hAnsi="宋体" w:eastAsia="宋体" w:cs="宋体"/>
                <w:color w:val="auto"/>
                <w:sz w:val="24"/>
                <w:highlight w:val="none"/>
              </w:rPr>
            </w:pPr>
          </w:p>
        </w:tc>
        <w:tc>
          <w:tcPr>
            <w:tcW w:w="866" w:type="dxa"/>
            <w:vMerge w:val="continue"/>
            <w:tcBorders>
              <w:left w:val="single" w:color="auto" w:sz="4" w:space="0"/>
              <w:right w:val="single" w:color="auto" w:sz="4" w:space="0"/>
            </w:tcBorders>
            <w:noWrap w:val="0"/>
            <w:vAlign w:val="center"/>
          </w:tcPr>
          <w:p w14:paraId="2622E065">
            <w:pPr>
              <w:widowControl/>
              <w:jc w:val="center"/>
              <w:rPr>
                <w:rFonts w:hint="eastAsia" w:ascii="宋体" w:hAnsi="宋体" w:eastAsia="宋体" w:cs="宋体"/>
                <w:color w:val="auto"/>
                <w:sz w:val="24"/>
                <w:highlight w:val="none"/>
              </w:rPr>
            </w:pPr>
          </w:p>
        </w:tc>
        <w:tc>
          <w:tcPr>
            <w:tcW w:w="6000" w:type="dxa"/>
            <w:tcBorders>
              <w:top w:val="single" w:color="auto" w:sz="4" w:space="0"/>
              <w:left w:val="single" w:color="auto" w:sz="4" w:space="0"/>
              <w:bottom w:val="single" w:color="auto" w:sz="4" w:space="0"/>
              <w:right w:val="single" w:color="auto" w:sz="4" w:space="0"/>
            </w:tcBorders>
            <w:noWrap w:val="0"/>
            <w:vAlign w:val="center"/>
          </w:tcPr>
          <w:p w14:paraId="3D08072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▲4.主机具有≥1路TYPE-B USB接口可以连接电脑；≥1路SMA天线射频接口；≥1路3.5红外对频接口；≥1路凤凰端子音频输出接口；≥2路RS232通讯接口可以与中控及其他主机通讯；≥1路RJ45网口可以与云平台通讯。【提供带有CNAS或CMA标记的检测报告的复印件或相关功能截图并加盖投标人公章】</w:t>
            </w:r>
          </w:p>
        </w:tc>
        <w:tc>
          <w:tcPr>
            <w:tcW w:w="981" w:type="dxa"/>
            <w:tcBorders>
              <w:top w:val="single" w:color="auto" w:sz="4" w:space="0"/>
              <w:left w:val="single" w:color="auto" w:sz="4" w:space="0"/>
              <w:bottom w:val="single" w:color="auto" w:sz="4" w:space="0"/>
              <w:right w:val="single" w:color="auto" w:sz="4" w:space="0"/>
            </w:tcBorders>
            <w:noWrap/>
            <w:vAlign w:val="center"/>
          </w:tcPr>
          <w:p w14:paraId="6690A00A">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2F0A10F6">
            <w:pPr>
              <w:widowControl/>
              <w:jc w:val="center"/>
              <w:rPr>
                <w:rFonts w:hint="eastAsia" w:ascii="宋体" w:hAnsi="宋体" w:eastAsia="宋体" w:cs="宋体"/>
                <w:color w:val="auto"/>
                <w:sz w:val="24"/>
                <w:highlight w:val="none"/>
              </w:rPr>
            </w:pPr>
          </w:p>
        </w:tc>
      </w:tr>
      <w:tr w14:paraId="6DA7A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797" w:type="dxa"/>
            <w:gridSpan w:val="5"/>
            <w:tcBorders>
              <w:top w:val="single" w:color="auto" w:sz="4" w:space="0"/>
              <w:left w:val="single" w:color="auto" w:sz="4" w:space="0"/>
              <w:bottom w:val="single" w:color="auto" w:sz="4" w:space="0"/>
              <w:right w:val="single" w:color="auto" w:sz="4" w:space="0"/>
            </w:tcBorders>
            <w:noWrap w:val="0"/>
            <w:vAlign w:val="center"/>
          </w:tcPr>
          <w:p w14:paraId="27CE2AF2">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四、AI教学分析系统</w:t>
            </w:r>
          </w:p>
        </w:tc>
      </w:tr>
      <w:tr w14:paraId="3D173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704" w:type="dxa"/>
            <w:vMerge w:val="restart"/>
            <w:tcBorders>
              <w:top w:val="single" w:color="auto" w:sz="4" w:space="0"/>
              <w:left w:val="single" w:color="auto" w:sz="4" w:space="0"/>
              <w:right w:val="single" w:color="auto" w:sz="4" w:space="0"/>
            </w:tcBorders>
            <w:noWrap w:val="0"/>
            <w:vAlign w:val="center"/>
          </w:tcPr>
          <w:p w14:paraId="0E40BA46">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866" w:type="dxa"/>
            <w:vMerge w:val="restart"/>
            <w:tcBorders>
              <w:top w:val="single" w:color="auto" w:sz="4" w:space="0"/>
              <w:left w:val="single" w:color="auto" w:sz="4" w:space="0"/>
              <w:right w:val="single" w:color="auto" w:sz="4" w:space="0"/>
            </w:tcBorders>
            <w:noWrap w:val="0"/>
            <w:vAlign w:val="center"/>
          </w:tcPr>
          <w:p w14:paraId="2D984495">
            <w:pPr>
              <w:widowControl/>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AI分析智能主机</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lang w:eastAsia="zh-CN"/>
              </w:rPr>
              <w:t>）</w:t>
            </w:r>
          </w:p>
        </w:tc>
        <w:tc>
          <w:tcPr>
            <w:tcW w:w="6000" w:type="dxa"/>
            <w:tcBorders>
              <w:top w:val="single" w:color="auto" w:sz="4" w:space="0"/>
              <w:left w:val="single" w:color="auto" w:sz="4" w:space="0"/>
              <w:bottom w:val="single" w:color="auto" w:sz="4" w:space="0"/>
              <w:right w:val="single" w:color="auto" w:sz="4" w:space="0"/>
            </w:tcBorders>
            <w:noWrap w:val="0"/>
          </w:tcPr>
          <w:p w14:paraId="23A8DB33">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基本要求：</w:t>
            </w:r>
          </w:p>
          <w:p w14:paraId="2EF85067">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U机架式设计，整体采用嵌入式设计、非PC与服务器工作站等架构，以保障系统运行稳定、安全；主机需同时具备录制、直播、导播、自动跟踪、音频编码、视频编码、音频处理、视频处理、存储、点播、互动、视频会议、行为分析、物联控制、远程运维参数设置等能力。</w:t>
            </w:r>
          </w:p>
          <w:p w14:paraId="3245802B">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主CPU核心数≥8，内置GPU与NPU协处理器，主频≥2.4GHz；音频辅助CPU核心数≥4核；输出入接口：RJ45≥5个，其中POE接口≥3，HDMI输入≥1，HDMI输出≥2路；主机支持≥1数字音频DMIC输入，≥1路3.5mmMICIN输入，≥1路3.5mmLINEIN输入，≥2路3.5mmLINEOUT输出，支持回声抑制、增益、噪声抑制与音频均衡功能。</w:t>
            </w:r>
          </w:p>
        </w:tc>
        <w:tc>
          <w:tcPr>
            <w:tcW w:w="981" w:type="dxa"/>
            <w:tcBorders>
              <w:top w:val="single" w:color="auto" w:sz="4" w:space="0"/>
              <w:left w:val="single" w:color="auto" w:sz="4" w:space="0"/>
              <w:bottom w:val="single" w:color="auto" w:sz="4" w:space="0"/>
              <w:right w:val="single" w:color="auto" w:sz="4" w:space="0"/>
            </w:tcBorders>
            <w:noWrap/>
            <w:vAlign w:val="center"/>
          </w:tcPr>
          <w:p w14:paraId="134E46EC">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058B4029">
            <w:pPr>
              <w:widowControl/>
              <w:jc w:val="center"/>
              <w:rPr>
                <w:rFonts w:hint="eastAsia" w:ascii="宋体" w:hAnsi="宋体" w:eastAsia="宋体" w:cs="宋体"/>
                <w:color w:val="auto"/>
                <w:sz w:val="24"/>
                <w:highlight w:val="none"/>
              </w:rPr>
            </w:pPr>
          </w:p>
        </w:tc>
      </w:tr>
      <w:tr w14:paraId="3D13D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704" w:type="dxa"/>
            <w:vMerge w:val="continue"/>
            <w:tcBorders>
              <w:top w:val="single" w:color="auto" w:sz="4" w:space="0"/>
              <w:left w:val="single" w:color="auto" w:sz="4" w:space="0"/>
              <w:right w:val="single" w:color="auto" w:sz="4" w:space="0"/>
            </w:tcBorders>
            <w:noWrap w:val="0"/>
            <w:vAlign w:val="center"/>
          </w:tcPr>
          <w:p w14:paraId="7F6E5EC8">
            <w:pPr>
              <w:widowControl/>
              <w:jc w:val="center"/>
              <w:rPr>
                <w:rFonts w:hint="eastAsia" w:ascii="宋体" w:hAnsi="宋体" w:eastAsia="宋体" w:cs="宋体"/>
                <w:color w:val="auto"/>
                <w:sz w:val="24"/>
                <w:highlight w:val="none"/>
              </w:rPr>
            </w:pPr>
          </w:p>
        </w:tc>
        <w:tc>
          <w:tcPr>
            <w:tcW w:w="866" w:type="dxa"/>
            <w:vMerge w:val="continue"/>
            <w:tcBorders>
              <w:top w:val="single" w:color="auto" w:sz="4" w:space="0"/>
              <w:left w:val="single" w:color="auto" w:sz="4" w:space="0"/>
              <w:right w:val="single" w:color="auto" w:sz="4" w:space="0"/>
            </w:tcBorders>
            <w:noWrap w:val="0"/>
            <w:vAlign w:val="center"/>
          </w:tcPr>
          <w:p w14:paraId="2C773977">
            <w:pPr>
              <w:widowControl/>
              <w:jc w:val="center"/>
              <w:rPr>
                <w:rFonts w:hint="eastAsia" w:ascii="宋体" w:hAnsi="宋体" w:eastAsia="宋体" w:cs="宋体"/>
                <w:color w:val="auto"/>
                <w:sz w:val="24"/>
                <w:highlight w:val="none"/>
              </w:rPr>
            </w:pPr>
          </w:p>
        </w:tc>
        <w:tc>
          <w:tcPr>
            <w:tcW w:w="6000" w:type="dxa"/>
            <w:tcBorders>
              <w:top w:val="single" w:color="auto" w:sz="4" w:space="0"/>
              <w:left w:val="single" w:color="auto" w:sz="4" w:space="0"/>
              <w:bottom w:val="single" w:color="auto" w:sz="4" w:space="0"/>
              <w:right w:val="single" w:color="auto" w:sz="4" w:space="0"/>
            </w:tcBorders>
            <w:noWrap w:val="0"/>
          </w:tcPr>
          <w:p w14:paraId="5570DCE2">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主要功能：</w:t>
            </w:r>
          </w:p>
          <w:p w14:paraId="445281BE">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1.内置SATA数据接口≥1个，方便扩展大容量硬盘设备做本地存储；算力扩展：设备主板上配置算力扩展卡槽，支持额外算力扩展。</w:t>
            </w:r>
          </w:p>
          <w:p w14:paraId="1CD0B936">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支持AI人工智能课堂行为分析能力，无需添加任何设备即可实现基于课堂上师生的行为、表情、语音等相关数据进行分析，在平台中生成报告。报告中可查看课堂实录、课堂热力图、AI建议分析等；问答模式、提问类型、学生应答、问答实录分析及总结等；互动分析、教学分析及总结、AI评课、教学一致性评价等。</w:t>
            </w:r>
          </w:p>
          <w:p w14:paraId="7F9C525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3.支持麦克风与主机之间通过网络接口实现麦克风音频采集与供电，支持多麦克风级联，传输距离≥50米，音频采样率≥48kHz；支持≥4路4K@30fps录制。</w:t>
            </w:r>
          </w:p>
          <w:p w14:paraId="316D66F9">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4.支持录播网络状态检测，识别网络状态异常；支持录播主机接口插入检测，识别未接线或接线松动问题；支持通过平台或网络查看设备在线和离线状态，查看设备 ID 地址、IP 地址等信息，实现对设备的远程配置，支持关机、重启、参数配置等操作。</w:t>
            </w:r>
          </w:p>
          <w:p w14:paraId="312E3454">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LAN≥1，支持100/1000M网络自适应以及IPv4、IPv6双协议栈。数据接口：支持≥4个USB接口，其中USB-A接口≥3个，Type-C接口≥1个。控制接口：通信接口端子数量≥5，其中RS232接口数量≥3，RS485接口≥1，RS232/RS485双模式接口≥1。</w:t>
            </w:r>
          </w:p>
        </w:tc>
        <w:tc>
          <w:tcPr>
            <w:tcW w:w="981" w:type="dxa"/>
            <w:tcBorders>
              <w:top w:val="single" w:color="auto" w:sz="4" w:space="0"/>
              <w:left w:val="single" w:color="auto" w:sz="4" w:space="0"/>
              <w:bottom w:val="single" w:color="auto" w:sz="4" w:space="0"/>
              <w:right w:val="single" w:color="auto" w:sz="4" w:space="0"/>
            </w:tcBorders>
            <w:noWrap/>
            <w:vAlign w:val="center"/>
          </w:tcPr>
          <w:p w14:paraId="6243B6F4">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0AA34198">
            <w:pPr>
              <w:widowControl/>
              <w:jc w:val="center"/>
              <w:rPr>
                <w:rFonts w:hint="eastAsia" w:ascii="宋体" w:hAnsi="宋体" w:eastAsia="宋体" w:cs="宋体"/>
                <w:color w:val="auto"/>
                <w:sz w:val="24"/>
                <w:highlight w:val="none"/>
              </w:rPr>
            </w:pPr>
          </w:p>
        </w:tc>
      </w:tr>
      <w:tr w14:paraId="7A54E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704" w:type="dxa"/>
            <w:vMerge w:val="continue"/>
            <w:tcBorders>
              <w:left w:val="single" w:color="auto" w:sz="4" w:space="0"/>
              <w:right w:val="single" w:color="auto" w:sz="4" w:space="0"/>
            </w:tcBorders>
            <w:noWrap w:val="0"/>
            <w:vAlign w:val="center"/>
          </w:tcPr>
          <w:p w14:paraId="04E46378">
            <w:pPr>
              <w:widowControl/>
              <w:jc w:val="center"/>
              <w:rPr>
                <w:rFonts w:hint="eastAsia" w:ascii="宋体" w:hAnsi="宋体" w:eastAsia="宋体" w:cs="宋体"/>
                <w:color w:val="auto"/>
                <w:sz w:val="24"/>
                <w:highlight w:val="none"/>
              </w:rPr>
            </w:pPr>
          </w:p>
        </w:tc>
        <w:tc>
          <w:tcPr>
            <w:tcW w:w="866" w:type="dxa"/>
            <w:vMerge w:val="continue"/>
            <w:tcBorders>
              <w:left w:val="single" w:color="auto" w:sz="4" w:space="0"/>
              <w:right w:val="single" w:color="auto" w:sz="4" w:space="0"/>
            </w:tcBorders>
            <w:noWrap w:val="0"/>
            <w:vAlign w:val="center"/>
          </w:tcPr>
          <w:p w14:paraId="1924E0FC">
            <w:pPr>
              <w:widowControl/>
              <w:jc w:val="center"/>
              <w:rPr>
                <w:rFonts w:hint="eastAsia" w:ascii="宋体" w:hAnsi="宋体" w:eastAsia="宋体" w:cs="宋体"/>
                <w:color w:val="auto"/>
                <w:sz w:val="24"/>
                <w:highlight w:val="none"/>
              </w:rPr>
            </w:pPr>
          </w:p>
        </w:tc>
        <w:tc>
          <w:tcPr>
            <w:tcW w:w="6000" w:type="dxa"/>
            <w:tcBorders>
              <w:top w:val="single" w:color="auto" w:sz="4" w:space="0"/>
              <w:left w:val="single" w:color="auto" w:sz="4" w:space="0"/>
              <w:bottom w:val="single" w:color="auto" w:sz="4" w:space="0"/>
              <w:right w:val="single" w:color="auto" w:sz="4" w:space="0"/>
            </w:tcBorders>
            <w:noWrap w:val="0"/>
          </w:tcPr>
          <w:p w14:paraId="5F79DB4F">
            <w:pPr>
              <w:widowControl/>
              <w:jc w:val="left"/>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.为保证录播主机支持本地AI处理，要求主机内置算力≥6TOPs（INT8）</w:t>
            </w:r>
            <w:r>
              <w:rPr>
                <w:rFonts w:hint="eastAsia" w:ascii="宋体" w:hAnsi="宋体" w:eastAsia="宋体" w:cs="宋体"/>
                <w:color w:val="auto"/>
                <w:sz w:val="24"/>
                <w:highlight w:val="none"/>
                <w:lang w:val="en-US" w:eastAsia="zh-CN"/>
              </w:rPr>
              <w:t>或相当</w:t>
            </w:r>
            <w:r>
              <w:rPr>
                <w:rFonts w:hint="eastAsia" w:ascii="宋体" w:hAnsi="宋体" w:eastAsia="宋体" w:cs="宋体"/>
                <w:b/>
                <w:bCs/>
                <w:color w:val="auto"/>
                <w:sz w:val="24"/>
                <w:highlight w:val="none"/>
              </w:rPr>
              <w:t>（提供</w:t>
            </w:r>
            <w:r>
              <w:rPr>
                <w:rFonts w:hint="eastAsia" w:ascii="宋体" w:hAnsi="宋体" w:cs="宋体"/>
                <w:b/>
                <w:bCs/>
                <w:color w:val="auto"/>
                <w:sz w:val="24"/>
                <w:highlight w:val="none"/>
                <w:lang w:eastAsia="zh-CN"/>
              </w:rPr>
              <w:t>官方认可的检测机构出具的检测报告复印件或者技术白皮书</w:t>
            </w:r>
            <w:r>
              <w:rPr>
                <w:rFonts w:hint="eastAsia" w:ascii="宋体" w:hAnsi="宋体" w:eastAsia="宋体" w:cs="宋体"/>
                <w:b/>
                <w:bCs/>
                <w:color w:val="auto"/>
                <w:sz w:val="24"/>
                <w:highlight w:val="none"/>
              </w:rPr>
              <w:t>并加盖投标人公章）</w:t>
            </w:r>
            <w:r>
              <w:rPr>
                <w:rFonts w:hint="eastAsia" w:ascii="宋体" w:hAnsi="宋体" w:cs="宋体"/>
                <w:b/>
                <w:bCs/>
                <w:color w:val="auto"/>
                <w:sz w:val="24"/>
                <w:highlight w:val="none"/>
                <w:lang w:eastAsia="zh-CN"/>
              </w:rPr>
              <w:t>。</w:t>
            </w:r>
          </w:p>
        </w:tc>
        <w:tc>
          <w:tcPr>
            <w:tcW w:w="981" w:type="dxa"/>
            <w:tcBorders>
              <w:top w:val="single" w:color="auto" w:sz="4" w:space="0"/>
              <w:left w:val="single" w:color="auto" w:sz="4" w:space="0"/>
              <w:bottom w:val="single" w:color="auto" w:sz="4" w:space="0"/>
              <w:right w:val="single" w:color="auto" w:sz="4" w:space="0"/>
            </w:tcBorders>
            <w:noWrap/>
            <w:vAlign w:val="center"/>
          </w:tcPr>
          <w:p w14:paraId="2814C341">
            <w:pPr>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481E12F7">
            <w:pPr>
              <w:jc w:val="center"/>
              <w:rPr>
                <w:rFonts w:hint="eastAsia" w:ascii="宋体" w:hAnsi="宋体" w:eastAsia="宋体" w:cs="宋体"/>
                <w:color w:val="auto"/>
                <w:sz w:val="24"/>
                <w:highlight w:val="none"/>
              </w:rPr>
            </w:pPr>
          </w:p>
        </w:tc>
      </w:tr>
      <w:tr w14:paraId="3D504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1" w:hRule="atLeast"/>
          <w:jc w:val="center"/>
        </w:trPr>
        <w:tc>
          <w:tcPr>
            <w:tcW w:w="704" w:type="dxa"/>
            <w:vMerge w:val="restart"/>
            <w:tcBorders>
              <w:top w:val="single" w:color="auto" w:sz="4" w:space="0"/>
              <w:left w:val="single" w:color="auto" w:sz="4" w:space="0"/>
              <w:right w:val="single" w:color="auto" w:sz="4" w:space="0"/>
            </w:tcBorders>
            <w:noWrap w:val="0"/>
            <w:vAlign w:val="center"/>
          </w:tcPr>
          <w:p w14:paraId="29792D68">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866" w:type="dxa"/>
            <w:vMerge w:val="restart"/>
            <w:tcBorders>
              <w:top w:val="single" w:color="auto" w:sz="4" w:space="0"/>
              <w:left w:val="single" w:color="auto" w:sz="4" w:space="0"/>
              <w:right w:val="single" w:color="auto" w:sz="4" w:space="0"/>
            </w:tcBorders>
            <w:noWrap w:val="0"/>
            <w:vAlign w:val="center"/>
          </w:tcPr>
          <w:p w14:paraId="2D3D73FF">
            <w:pPr>
              <w:widowControl/>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互动导播系统</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lang w:eastAsia="zh-CN"/>
              </w:rPr>
              <w:t>）</w:t>
            </w:r>
          </w:p>
        </w:tc>
        <w:tc>
          <w:tcPr>
            <w:tcW w:w="6000" w:type="dxa"/>
            <w:tcBorders>
              <w:top w:val="single" w:color="auto" w:sz="4" w:space="0"/>
              <w:left w:val="single" w:color="auto" w:sz="4" w:space="0"/>
              <w:bottom w:val="single" w:color="auto" w:sz="4" w:space="0"/>
              <w:right w:val="single" w:color="auto" w:sz="4" w:space="0"/>
            </w:tcBorders>
            <w:noWrap w:val="0"/>
          </w:tcPr>
          <w:p w14:paraId="47E03BD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1.在导播界面的预览窗口可实时观看教师全景/特写、学生全景/特写、多媒体电脑等各路画面，点击可进行画面切换。预监画面可实时推流给资源平台，实现平台直播。</w:t>
            </w:r>
          </w:p>
          <w:p w14:paraId="506B599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2.录播画面比例支持16：9，触控回传响应延时≤80ms；支持标准SIP音视频互动协议，支持1080P@60fps全高清视频互动。</w:t>
            </w:r>
          </w:p>
          <w:p w14:paraId="204F23F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3.支持互动清晰度设置：支持 1080p@60fps，分辨率可选择 1080p、720p等，帧率可选择 60fps、30fps、25fps等。</w:t>
            </w:r>
          </w:p>
          <w:p w14:paraId="4673B803">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4.设备双向互动过程中，在系统总丢包率≤50%的网络环境下，视频清晰流畅无卡顿，语音连贯。</w:t>
            </w:r>
          </w:p>
        </w:tc>
        <w:tc>
          <w:tcPr>
            <w:tcW w:w="981" w:type="dxa"/>
            <w:tcBorders>
              <w:top w:val="single" w:color="auto" w:sz="4" w:space="0"/>
              <w:left w:val="single" w:color="auto" w:sz="4" w:space="0"/>
              <w:bottom w:val="single" w:color="auto" w:sz="4" w:space="0"/>
              <w:right w:val="single" w:color="auto" w:sz="4" w:space="0"/>
            </w:tcBorders>
            <w:noWrap/>
            <w:vAlign w:val="center"/>
          </w:tcPr>
          <w:p w14:paraId="17AAAAA7">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48F44A7F">
            <w:pPr>
              <w:widowControl/>
              <w:jc w:val="center"/>
              <w:rPr>
                <w:rFonts w:hint="eastAsia" w:ascii="宋体" w:hAnsi="宋体" w:eastAsia="宋体" w:cs="宋体"/>
                <w:color w:val="auto"/>
                <w:sz w:val="24"/>
                <w:highlight w:val="none"/>
              </w:rPr>
            </w:pPr>
          </w:p>
        </w:tc>
      </w:tr>
      <w:tr w14:paraId="63F3B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6" w:hRule="atLeast"/>
          <w:jc w:val="center"/>
        </w:trPr>
        <w:tc>
          <w:tcPr>
            <w:tcW w:w="704" w:type="dxa"/>
            <w:vMerge w:val="continue"/>
            <w:tcBorders>
              <w:left w:val="single" w:color="auto" w:sz="4" w:space="0"/>
              <w:bottom w:val="single" w:color="auto" w:sz="4" w:space="0"/>
              <w:right w:val="single" w:color="auto" w:sz="4" w:space="0"/>
            </w:tcBorders>
            <w:noWrap w:val="0"/>
            <w:vAlign w:val="center"/>
          </w:tcPr>
          <w:p w14:paraId="6B04F4CB">
            <w:pPr>
              <w:widowControl/>
              <w:jc w:val="center"/>
              <w:rPr>
                <w:rFonts w:hint="eastAsia" w:ascii="宋体" w:hAnsi="宋体" w:eastAsia="宋体" w:cs="宋体"/>
                <w:color w:val="auto"/>
                <w:sz w:val="24"/>
                <w:highlight w:val="none"/>
              </w:rPr>
            </w:pPr>
          </w:p>
        </w:tc>
        <w:tc>
          <w:tcPr>
            <w:tcW w:w="866" w:type="dxa"/>
            <w:vMerge w:val="continue"/>
            <w:tcBorders>
              <w:left w:val="single" w:color="auto" w:sz="4" w:space="0"/>
              <w:bottom w:val="single" w:color="auto" w:sz="4" w:space="0"/>
              <w:right w:val="single" w:color="auto" w:sz="4" w:space="0"/>
            </w:tcBorders>
            <w:noWrap w:val="0"/>
            <w:vAlign w:val="center"/>
          </w:tcPr>
          <w:p w14:paraId="52B08E51">
            <w:pPr>
              <w:widowControl/>
              <w:jc w:val="center"/>
              <w:rPr>
                <w:rFonts w:hint="eastAsia" w:ascii="宋体" w:hAnsi="宋体" w:eastAsia="宋体" w:cs="宋体"/>
                <w:color w:val="auto"/>
                <w:sz w:val="24"/>
                <w:highlight w:val="none"/>
              </w:rPr>
            </w:pPr>
          </w:p>
        </w:tc>
        <w:tc>
          <w:tcPr>
            <w:tcW w:w="6000" w:type="dxa"/>
            <w:tcBorders>
              <w:top w:val="single" w:color="auto" w:sz="4" w:space="0"/>
              <w:left w:val="single" w:color="auto" w:sz="4" w:space="0"/>
              <w:bottom w:val="single" w:color="auto" w:sz="4" w:space="0"/>
              <w:right w:val="single" w:color="auto" w:sz="4" w:space="0"/>
            </w:tcBorders>
            <w:noWrap w:val="0"/>
          </w:tcPr>
          <w:p w14:paraId="2003158D">
            <w:pPr>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5.支持多种画面模式，支持单画面、画中画、左右等分、三画面、四画面等多种画面合成模式，支持自动导播、手动导播。</w:t>
            </w:r>
            <w:r>
              <w:rPr>
                <w:rFonts w:hint="eastAsia" w:ascii="宋体" w:hAnsi="宋体" w:eastAsia="宋体" w:cs="宋体"/>
                <w:b/>
                <w:bCs/>
                <w:color w:val="auto"/>
                <w:sz w:val="24"/>
                <w:highlight w:val="none"/>
              </w:rPr>
              <w:t>（提供系统功能截图加盖投标人公章）</w:t>
            </w:r>
          </w:p>
        </w:tc>
        <w:tc>
          <w:tcPr>
            <w:tcW w:w="981" w:type="dxa"/>
            <w:tcBorders>
              <w:top w:val="single" w:color="auto" w:sz="4" w:space="0"/>
              <w:left w:val="single" w:color="auto" w:sz="4" w:space="0"/>
              <w:bottom w:val="single" w:color="auto" w:sz="4" w:space="0"/>
              <w:right w:val="single" w:color="auto" w:sz="4" w:space="0"/>
            </w:tcBorders>
            <w:noWrap/>
            <w:vAlign w:val="center"/>
          </w:tcPr>
          <w:p w14:paraId="31F0389D">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1B4418C2">
            <w:pPr>
              <w:widowControl/>
              <w:jc w:val="center"/>
              <w:rPr>
                <w:rFonts w:hint="eastAsia" w:ascii="宋体" w:hAnsi="宋体" w:eastAsia="宋体" w:cs="宋体"/>
                <w:color w:val="auto"/>
                <w:sz w:val="24"/>
                <w:highlight w:val="none"/>
              </w:rPr>
            </w:pPr>
          </w:p>
        </w:tc>
      </w:tr>
      <w:tr w14:paraId="72A34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6" w:hRule="atLeast"/>
          <w:jc w:val="center"/>
        </w:trPr>
        <w:tc>
          <w:tcPr>
            <w:tcW w:w="704" w:type="dxa"/>
            <w:vMerge w:val="restart"/>
            <w:tcBorders>
              <w:top w:val="single" w:color="auto" w:sz="4" w:space="0"/>
              <w:left w:val="single" w:color="auto" w:sz="4" w:space="0"/>
              <w:right w:val="single" w:color="auto" w:sz="4" w:space="0"/>
            </w:tcBorders>
            <w:noWrap w:val="0"/>
            <w:vAlign w:val="center"/>
          </w:tcPr>
          <w:p w14:paraId="11CECEDB">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866" w:type="dxa"/>
            <w:vMerge w:val="restart"/>
            <w:tcBorders>
              <w:top w:val="single" w:color="auto" w:sz="4" w:space="0"/>
              <w:left w:val="single" w:color="auto" w:sz="4" w:space="0"/>
              <w:right w:val="single" w:color="auto" w:sz="4" w:space="0"/>
            </w:tcBorders>
            <w:noWrap w:val="0"/>
            <w:vAlign w:val="center"/>
          </w:tcPr>
          <w:p w14:paraId="5D143E55">
            <w:pPr>
              <w:widowControl/>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AI分析教师端视频处理系统</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1分</w:t>
            </w:r>
            <w:r>
              <w:rPr>
                <w:rFonts w:hint="eastAsia" w:ascii="宋体" w:hAnsi="宋体" w:eastAsia="宋体" w:cs="宋体"/>
                <w:color w:val="auto"/>
                <w:sz w:val="24"/>
                <w:highlight w:val="none"/>
                <w:lang w:eastAsia="zh-CN"/>
              </w:rPr>
              <w:t>）</w:t>
            </w:r>
          </w:p>
        </w:tc>
        <w:tc>
          <w:tcPr>
            <w:tcW w:w="6000" w:type="dxa"/>
            <w:tcBorders>
              <w:top w:val="single" w:color="auto" w:sz="4" w:space="0"/>
              <w:left w:val="single" w:color="auto" w:sz="4" w:space="0"/>
              <w:bottom w:val="single" w:color="auto" w:sz="4" w:space="0"/>
              <w:right w:val="single" w:color="auto" w:sz="4" w:space="0"/>
            </w:tcBorders>
            <w:noWrap w:val="0"/>
          </w:tcPr>
          <w:p w14:paraId="3B11A99E">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硬件部分：</w:t>
            </w:r>
          </w:p>
          <w:p w14:paraId="72B5753C">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1.采用全景特写双镜头，内置图像识别跟踪算法，全景镜头水平视场角≥40°，特写镜头水平视场角≥20°；摄像机采用一体化集成设计，支持4K超高清，可提供3840×2160图像分辨率同时向下兼容。</w:t>
            </w:r>
          </w:p>
          <w:p w14:paraId="3968A45C">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2.摄像机接口支持RJ45接口≥1路，Type-C接口≥1路，Line in接口≥1路。</w:t>
            </w:r>
          </w:p>
          <w:p w14:paraId="65FAD6A8">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3.支持POE有线网络供电，只需要1路网线，即可实现供电及信号传输，支持同时输出特写和全景等多路画面。</w:t>
            </w:r>
          </w:p>
          <w:p w14:paraId="3042F619">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4.传感器尺寸 CMOS ≥ 1/2.8英寸；全景图像传感器有效像素≥400万，特写图像传感器有效像素≥800万；摄像机最低照度：0.5 Lux@（F2.0, AGC ON）；摄像机电子快门：1/30s ~ 1/10000s；支持自动白平衡；支持2D&amp;3D数字降噪，信噪比≥55dB。</w:t>
            </w:r>
          </w:p>
          <w:p w14:paraId="470973D1">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5.支持H.264、H.265、MJPEG等视频编码格式；支持音视频信号输出，可以同时支持UVC和UAC协议，通过主机Type C接口可以实现图像和声音同步输出，最大支持4K@30fps输出，兼容主流视频会议软件；为确保运行稳定，使用平均无故障运行时间(MTBF)应≥250000小时。</w:t>
            </w:r>
          </w:p>
        </w:tc>
        <w:tc>
          <w:tcPr>
            <w:tcW w:w="981" w:type="dxa"/>
            <w:tcBorders>
              <w:top w:val="single" w:color="auto" w:sz="4" w:space="0"/>
              <w:left w:val="single" w:color="auto" w:sz="4" w:space="0"/>
              <w:bottom w:val="single" w:color="auto" w:sz="4" w:space="0"/>
              <w:right w:val="single" w:color="auto" w:sz="4" w:space="0"/>
            </w:tcBorders>
            <w:noWrap/>
            <w:vAlign w:val="center"/>
          </w:tcPr>
          <w:p w14:paraId="26AFBADC">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6CCC6F5B">
            <w:pPr>
              <w:widowControl/>
              <w:jc w:val="center"/>
              <w:rPr>
                <w:rFonts w:hint="eastAsia" w:ascii="宋体" w:hAnsi="宋体" w:eastAsia="宋体" w:cs="宋体"/>
                <w:color w:val="auto"/>
                <w:sz w:val="24"/>
                <w:highlight w:val="none"/>
              </w:rPr>
            </w:pPr>
          </w:p>
        </w:tc>
      </w:tr>
      <w:tr w14:paraId="2CBEE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jc w:val="center"/>
        </w:trPr>
        <w:tc>
          <w:tcPr>
            <w:tcW w:w="704" w:type="dxa"/>
            <w:vMerge w:val="continue"/>
            <w:tcBorders>
              <w:left w:val="single" w:color="auto" w:sz="4" w:space="0"/>
              <w:bottom w:val="single" w:color="auto" w:sz="4" w:space="0"/>
              <w:right w:val="single" w:color="auto" w:sz="4" w:space="0"/>
            </w:tcBorders>
            <w:noWrap w:val="0"/>
            <w:vAlign w:val="center"/>
          </w:tcPr>
          <w:p w14:paraId="047269C3">
            <w:pPr>
              <w:widowControl/>
              <w:jc w:val="center"/>
              <w:rPr>
                <w:rFonts w:hint="eastAsia" w:ascii="宋体" w:hAnsi="宋体" w:eastAsia="宋体" w:cs="宋体"/>
                <w:color w:val="auto"/>
                <w:sz w:val="24"/>
                <w:highlight w:val="none"/>
              </w:rPr>
            </w:pPr>
          </w:p>
        </w:tc>
        <w:tc>
          <w:tcPr>
            <w:tcW w:w="866" w:type="dxa"/>
            <w:vMerge w:val="continue"/>
            <w:tcBorders>
              <w:left w:val="single" w:color="auto" w:sz="4" w:space="0"/>
              <w:bottom w:val="single" w:color="auto" w:sz="4" w:space="0"/>
              <w:right w:val="single" w:color="auto" w:sz="4" w:space="0"/>
            </w:tcBorders>
            <w:noWrap w:val="0"/>
            <w:vAlign w:val="center"/>
          </w:tcPr>
          <w:p w14:paraId="1B45C0C4">
            <w:pPr>
              <w:widowControl/>
              <w:jc w:val="center"/>
              <w:rPr>
                <w:rFonts w:hint="eastAsia" w:ascii="宋体" w:hAnsi="宋体" w:eastAsia="宋体" w:cs="宋体"/>
                <w:color w:val="auto"/>
                <w:sz w:val="24"/>
                <w:highlight w:val="none"/>
              </w:rPr>
            </w:pPr>
          </w:p>
        </w:tc>
        <w:tc>
          <w:tcPr>
            <w:tcW w:w="6000" w:type="dxa"/>
            <w:tcBorders>
              <w:top w:val="single" w:color="auto" w:sz="4" w:space="0"/>
              <w:left w:val="single" w:color="auto" w:sz="4" w:space="0"/>
              <w:bottom w:val="single" w:color="auto" w:sz="4" w:space="0"/>
              <w:right w:val="single" w:color="auto" w:sz="4" w:space="0"/>
            </w:tcBorders>
            <w:noWrap w:val="0"/>
          </w:tcPr>
          <w:p w14:paraId="6B568FFC">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控制软件：</w:t>
            </w:r>
          </w:p>
          <w:p w14:paraId="47BF5ADE">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1.摄像机内嵌智能跟踪算法，无需单独安装定位跟踪主机及其他任何辅助拍摄设备，即可实现跟踪定位控制功能。</w:t>
            </w:r>
          </w:p>
          <w:p w14:paraId="3F6D4216">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2.系统采用智能图像识别算法，能同时输出2路场景画面并分析计算，实现1台摄像机的2景位拍摄，通过导播跟踪系统，实现所有画面的自动导播切换。</w:t>
            </w:r>
          </w:p>
          <w:p w14:paraId="241208E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3.支持设置摄像机分辨率、帧率、码率、亮度、饱和度、对比度、锐度、色度、快门速度等；图像支持垂直翻转、水平翻转，默认不开启。</w:t>
            </w:r>
          </w:p>
          <w:p w14:paraId="548F68A8">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支持对摄像机网络进行管理，包括设置IP地址/网关/DNS等，支持组播协议搜索IP地址，并修改摄像机IP；支持RTMP推流、RTSP拉流、ONVIF协议、GB28181协议等；支持跟随模式、混合模式、双镜模式、三预置位等多种导播模式。</w:t>
            </w:r>
          </w:p>
        </w:tc>
        <w:tc>
          <w:tcPr>
            <w:tcW w:w="981" w:type="dxa"/>
            <w:tcBorders>
              <w:top w:val="single" w:color="auto" w:sz="4" w:space="0"/>
              <w:left w:val="single" w:color="auto" w:sz="4" w:space="0"/>
              <w:bottom w:val="single" w:color="auto" w:sz="4" w:space="0"/>
              <w:right w:val="single" w:color="auto" w:sz="4" w:space="0"/>
            </w:tcBorders>
            <w:noWrap/>
            <w:vAlign w:val="center"/>
          </w:tcPr>
          <w:p w14:paraId="0F90B466">
            <w:pPr>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71742A3B">
            <w:pPr>
              <w:jc w:val="center"/>
              <w:rPr>
                <w:rFonts w:hint="eastAsia" w:ascii="宋体" w:hAnsi="宋体" w:eastAsia="宋体" w:cs="宋体"/>
                <w:color w:val="auto"/>
                <w:sz w:val="24"/>
                <w:highlight w:val="none"/>
              </w:rPr>
            </w:pPr>
          </w:p>
        </w:tc>
      </w:tr>
      <w:tr w14:paraId="2D47E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2" w:hRule="atLeast"/>
          <w:jc w:val="center"/>
        </w:trPr>
        <w:tc>
          <w:tcPr>
            <w:tcW w:w="704" w:type="dxa"/>
            <w:vMerge w:val="restart"/>
            <w:tcBorders>
              <w:top w:val="single" w:color="auto" w:sz="4" w:space="0"/>
              <w:left w:val="single" w:color="auto" w:sz="4" w:space="0"/>
              <w:right w:val="single" w:color="auto" w:sz="4" w:space="0"/>
            </w:tcBorders>
            <w:noWrap w:val="0"/>
            <w:vAlign w:val="center"/>
          </w:tcPr>
          <w:p w14:paraId="2D093664">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866" w:type="dxa"/>
            <w:vMerge w:val="restart"/>
            <w:tcBorders>
              <w:top w:val="single" w:color="auto" w:sz="4" w:space="0"/>
              <w:left w:val="single" w:color="auto" w:sz="4" w:space="0"/>
              <w:right w:val="single" w:color="auto" w:sz="4" w:space="0"/>
            </w:tcBorders>
            <w:noWrap w:val="0"/>
            <w:vAlign w:val="center"/>
          </w:tcPr>
          <w:p w14:paraId="240821A9">
            <w:pPr>
              <w:widowControl/>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AI分析学生端视频处理系统</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1分</w:t>
            </w:r>
            <w:r>
              <w:rPr>
                <w:rFonts w:hint="eastAsia" w:ascii="宋体" w:hAnsi="宋体" w:eastAsia="宋体" w:cs="宋体"/>
                <w:color w:val="auto"/>
                <w:sz w:val="24"/>
                <w:highlight w:val="none"/>
                <w:lang w:eastAsia="zh-CN"/>
              </w:rPr>
              <w:t>）</w:t>
            </w:r>
          </w:p>
        </w:tc>
        <w:tc>
          <w:tcPr>
            <w:tcW w:w="6000" w:type="dxa"/>
            <w:tcBorders>
              <w:top w:val="single" w:color="auto" w:sz="4" w:space="0"/>
              <w:left w:val="single" w:color="auto" w:sz="4" w:space="0"/>
              <w:bottom w:val="single" w:color="auto" w:sz="4" w:space="0"/>
              <w:right w:val="single" w:color="auto" w:sz="4" w:space="0"/>
            </w:tcBorders>
            <w:noWrap w:val="0"/>
          </w:tcPr>
          <w:p w14:paraId="1CEC53AA">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硬件部分：</w:t>
            </w:r>
          </w:p>
          <w:p w14:paraId="6385F3AE">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1.用全景特写双镜头，内置图像识别跟踪算法，全景镜头水平视场角≥110°，特写镜头水平视场角≥40°；摄像机采用一体化集成设计，支持4K超高清，可提供3840×2160图像分辨率同时向下兼容。</w:t>
            </w:r>
          </w:p>
          <w:p w14:paraId="70BD5F85">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2.摄像机接口支持RJ45接口≥1路，Type-C接口≥1路，Line in接口≥1路。</w:t>
            </w:r>
          </w:p>
          <w:p w14:paraId="30FD66BC">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3.支持POE有线网络供电，只需要1路网线，即可实现供电及信号传输，支持同时输出特写和全景等多路画面。</w:t>
            </w:r>
          </w:p>
          <w:p w14:paraId="7EB53993">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4.传感器尺寸 CMOS ≥ 1/2.8英寸；全景图像传感器有效像素≥400万，特写图像传感器有效像素≥800万；支持自动白平衡；支持2D&amp;3D数字降噪，信噪比≥55dB；支持H.264、H.265、MJPEG等视频编码格式；支持≥6种网络流传输协议。</w:t>
            </w:r>
          </w:p>
        </w:tc>
        <w:tc>
          <w:tcPr>
            <w:tcW w:w="981" w:type="dxa"/>
            <w:tcBorders>
              <w:top w:val="single" w:color="auto" w:sz="4" w:space="0"/>
              <w:left w:val="single" w:color="auto" w:sz="4" w:space="0"/>
              <w:bottom w:val="single" w:color="auto" w:sz="4" w:space="0"/>
              <w:right w:val="single" w:color="auto" w:sz="4" w:space="0"/>
            </w:tcBorders>
            <w:noWrap/>
            <w:vAlign w:val="center"/>
          </w:tcPr>
          <w:p w14:paraId="375FA81C">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0AED4B6C">
            <w:pPr>
              <w:widowControl/>
              <w:jc w:val="center"/>
              <w:rPr>
                <w:rFonts w:hint="eastAsia" w:ascii="宋体" w:hAnsi="宋体" w:eastAsia="宋体" w:cs="宋体"/>
                <w:color w:val="auto"/>
                <w:sz w:val="24"/>
                <w:highlight w:val="none"/>
              </w:rPr>
            </w:pPr>
          </w:p>
        </w:tc>
      </w:tr>
      <w:tr w14:paraId="63A9F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0" w:hRule="atLeast"/>
          <w:jc w:val="center"/>
        </w:trPr>
        <w:tc>
          <w:tcPr>
            <w:tcW w:w="704" w:type="dxa"/>
            <w:vMerge w:val="continue"/>
            <w:tcBorders>
              <w:left w:val="single" w:color="auto" w:sz="4" w:space="0"/>
              <w:bottom w:val="single" w:color="auto" w:sz="4" w:space="0"/>
              <w:right w:val="single" w:color="auto" w:sz="4" w:space="0"/>
            </w:tcBorders>
            <w:noWrap w:val="0"/>
            <w:vAlign w:val="center"/>
          </w:tcPr>
          <w:p w14:paraId="3B45CFC8">
            <w:pPr>
              <w:widowControl/>
              <w:jc w:val="center"/>
              <w:rPr>
                <w:rFonts w:hint="eastAsia" w:ascii="宋体" w:hAnsi="宋体" w:eastAsia="宋体" w:cs="宋体"/>
                <w:color w:val="auto"/>
                <w:sz w:val="24"/>
                <w:highlight w:val="none"/>
              </w:rPr>
            </w:pPr>
          </w:p>
        </w:tc>
        <w:tc>
          <w:tcPr>
            <w:tcW w:w="866" w:type="dxa"/>
            <w:vMerge w:val="continue"/>
            <w:tcBorders>
              <w:left w:val="single" w:color="auto" w:sz="4" w:space="0"/>
              <w:bottom w:val="single" w:color="auto" w:sz="4" w:space="0"/>
              <w:right w:val="single" w:color="auto" w:sz="4" w:space="0"/>
            </w:tcBorders>
            <w:noWrap w:val="0"/>
            <w:vAlign w:val="center"/>
          </w:tcPr>
          <w:p w14:paraId="1DFE1A16">
            <w:pPr>
              <w:widowControl/>
              <w:jc w:val="center"/>
              <w:rPr>
                <w:rFonts w:hint="eastAsia" w:ascii="宋体" w:hAnsi="宋体" w:eastAsia="宋体" w:cs="宋体"/>
                <w:color w:val="auto"/>
                <w:sz w:val="24"/>
                <w:highlight w:val="none"/>
              </w:rPr>
            </w:pPr>
          </w:p>
        </w:tc>
        <w:tc>
          <w:tcPr>
            <w:tcW w:w="6000" w:type="dxa"/>
            <w:tcBorders>
              <w:top w:val="single" w:color="auto" w:sz="4" w:space="0"/>
              <w:left w:val="single" w:color="auto" w:sz="4" w:space="0"/>
              <w:bottom w:val="single" w:color="auto" w:sz="4" w:space="0"/>
              <w:right w:val="single" w:color="auto" w:sz="4" w:space="0"/>
            </w:tcBorders>
            <w:noWrap w:val="0"/>
          </w:tcPr>
          <w:p w14:paraId="0C71A49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控制软件：</w:t>
            </w:r>
          </w:p>
          <w:p w14:paraId="2AC0D7F1">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1.摄像机内嵌智能跟踪算法，无需单独安装定位跟踪主机及其他任何辅助拍摄设备，即可实现跟踪定位控制功能。</w:t>
            </w:r>
          </w:p>
          <w:p w14:paraId="0B4D075F">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2.系统应采用智能图像识别算法，能同时输出2路场景画面并分析计算，实现1台摄像机的2景位拍摄，通过导播跟踪系统，实现所有画面的自动导播切换。</w:t>
            </w:r>
          </w:p>
          <w:p w14:paraId="6A7777C1">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设置摄像机分辨率、帧率、码率、亮度、饱和度、对比度、锐度、色度、快门速度等；图像支持垂直翻转、水平翻转，默认不开启；支持对摄像机网络进行管理，包括设置IP地址/网关/DNS等，支持组播协议搜索IP地址，并修改摄像机IP；支持至少1个六边形导播跟踪区划定。</w:t>
            </w:r>
          </w:p>
        </w:tc>
        <w:tc>
          <w:tcPr>
            <w:tcW w:w="981" w:type="dxa"/>
            <w:tcBorders>
              <w:top w:val="single" w:color="auto" w:sz="4" w:space="0"/>
              <w:left w:val="single" w:color="auto" w:sz="4" w:space="0"/>
              <w:bottom w:val="single" w:color="auto" w:sz="4" w:space="0"/>
              <w:right w:val="single" w:color="auto" w:sz="4" w:space="0"/>
            </w:tcBorders>
            <w:noWrap/>
            <w:vAlign w:val="center"/>
          </w:tcPr>
          <w:p w14:paraId="5DEB540C">
            <w:pPr>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45ACFA99">
            <w:pPr>
              <w:jc w:val="center"/>
              <w:rPr>
                <w:rFonts w:hint="eastAsia" w:ascii="宋体" w:hAnsi="宋体" w:eastAsia="宋体" w:cs="宋体"/>
                <w:color w:val="auto"/>
                <w:sz w:val="24"/>
                <w:highlight w:val="none"/>
              </w:rPr>
            </w:pPr>
          </w:p>
        </w:tc>
      </w:tr>
      <w:tr w14:paraId="64067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3" w:hRule="atLeast"/>
          <w:jc w:val="center"/>
        </w:trPr>
        <w:tc>
          <w:tcPr>
            <w:tcW w:w="704" w:type="dxa"/>
            <w:vMerge w:val="restart"/>
            <w:tcBorders>
              <w:top w:val="single" w:color="auto" w:sz="4" w:space="0"/>
              <w:left w:val="single" w:color="auto" w:sz="4" w:space="0"/>
              <w:right w:val="single" w:color="auto" w:sz="4" w:space="0"/>
            </w:tcBorders>
            <w:noWrap w:val="0"/>
            <w:vAlign w:val="center"/>
          </w:tcPr>
          <w:p w14:paraId="0E47403C">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866" w:type="dxa"/>
            <w:vMerge w:val="restart"/>
            <w:tcBorders>
              <w:top w:val="single" w:color="auto" w:sz="4" w:space="0"/>
              <w:left w:val="single" w:color="auto" w:sz="4" w:space="0"/>
              <w:right w:val="single" w:color="auto" w:sz="4" w:space="0"/>
            </w:tcBorders>
            <w:noWrap w:val="0"/>
            <w:vAlign w:val="center"/>
          </w:tcPr>
          <w:p w14:paraId="377E61DF">
            <w:pPr>
              <w:widowControl/>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AI分析声音采集前端处理系统</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1分</w:t>
            </w:r>
            <w:r>
              <w:rPr>
                <w:rFonts w:hint="eastAsia" w:ascii="宋体" w:hAnsi="宋体" w:eastAsia="宋体" w:cs="宋体"/>
                <w:color w:val="auto"/>
                <w:sz w:val="24"/>
                <w:highlight w:val="none"/>
                <w:lang w:eastAsia="zh-CN"/>
              </w:rPr>
              <w:t>）</w:t>
            </w:r>
          </w:p>
        </w:tc>
        <w:tc>
          <w:tcPr>
            <w:tcW w:w="6000" w:type="dxa"/>
            <w:tcBorders>
              <w:top w:val="single" w:color="auto" w:sz="4" w:space="0"/>
              <w:left w:val="single" w:color="auto" w:sz="4" w:space="0"/>
              <w:bottom w:val="single" w:color="auto" w:sz="4" w:space="0"/>
              <w:right w:val="single" w:color="auto" w:sz="4" w:space="0"/>
            </w:tcBorders>
            <w:noWrap w:val="0"/>
          </w:tcPr>
          <w:p w14:paraId="4CD69132">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中小型教室各1套、大型教室、阶梯教室各2套。</w:t>
            </w:r>
          </w:p>
          <w:p w14:paraId="17E56F3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硬件部分</w:t>
            </w:r>
          </w:p>
          <w:p w14:paraId="333D52C1">
            <w:pPr>
              <w:widowControl/>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麦克风套件标配2支麦克风和2套安装支架；麦克风内置≥8个传感器单元；支持≥2个数字音频接口，支持数字音频传输，每个接口都具备输入接口和输出接口能力，支持盲插；具备状态指示灯，不同颜色分别表示是否正常工作</w:t>
            </w:r>
            <w:r>
              <w:rPr>
                <w:rFonts w:hint="eastAsia" w:ascii="宋体" w:hAnsi="宋体" w:eastAsia="宋体" w:cs="宋体"/>
                <w:color w:val="auto"/>
                <w:sz w:val="24"/>
                <w:highlight w:val="none"/>
                <w:lang w:eastAsia="zh-CN"/>
              </w:rPr>
              <w:t>。</w:t>
            </w:r>
          </w:p>
          <w:p w14:paraId="445483C9">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2.麦克风频率响应范围不低于50Hz~16KHz；拾音半径≥6m；信噪比≥65dB；声压级≥130dBSPL，10%THD@1 KHz。</w:t>
            </w:r>
          </w:p>
          <w:p w14:paraId="60A110CC">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3.麦克风无需额外适配器供电，能够通过网线实现麦克风供电、音频信号传输、参数调整。</w:t>
            </w:r>
          </w:p>
        </w:tc>
        <w:tc>
          <w:tcPr>
            <w:tcW w:w="981" w:type="dxa"/>
            <w:tcBorders>
              <w:top w:val="single" w:color="auto" w:sz="4" w:space="0"/>
              <w:left w:val="single" w:color="auto" w:sz="4" w:space="0"/>
              <w:bottom w:val="single" w:color="auto" w:sz="4" w:space="0"/>
              <w:right w:val="single" w:color="auto" w:sz="4" w:space="0"/>
            </w:tcBorders>
            <w:noWrap/>
            <w:vAlign w:val="center"/>
          </w:tcPr>
          <w:p w14:paraId="0CC6AE02">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039E0400">
            <w:pPr>
              <w:widowControl/>
              <w:jc w:val="center"/>
              <w:rPr>
                <w:rFonts w:hint="eastAsia" w:ascii="宋体" w:hAnsi="宋体" w:eastAsia="宋体" w:cs="宋体"/>
                <w:color w:val="auto"/>
                <w:sz w:val="24"/>
                <w:highlight w:val="none"/>
              </w:rPr>
            </w:pPr>
          </w:p>
        </w:tc>
      </w:tr>
      <w:tr w14:paraId="5A50F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8" w:hRule="atLeast"/>
          <w:jc w:val="center"/>
        </w:trPr>
        <w:tc>
          <w:tcPr>
            <w:tcW w:w="704" w:type="dxa"/>
            <w:vMerge w:val="continue"/>
            <w:tcBorders>
              <w:left w:val="single" w:color="auto" w:sz="4" w:space="0"/>
              <w:bottom w:val="single" w:color="auto" w:sz="4" w:space="0"/>
              <w:right w:val="single" w:color="auto" w:sz="4" w:space="0"/>
            </w:tcBorders>
            <w:noWrap w:val="0"/>
            <w:vAlign w:val="center"/>
          </w:tcPr>
          <w:p w14:paraId="32641A90">
            <w:pPr>
              <w:widowControl/>
              <w:jc w:val="center"/>
              <w:rPr>
                <w:rFonts w:hint="eastAsia" w:ascii="宋体" w:hAnsi="宋体" w:eastAsia="宋体" w:cs="宋体"/>
                <w:color w:val="auto"/>
                <w:sz w:val="24"/>
                <w:highlight w:val="none"/>
              </w:rPr>
            </w:pPr>
          </w:p>
        </w:tc>
        <w:tc>
          <w:tcPr>
            <w:tcW w:w="866" w:type="dxa"/>
            <w:vMerge w:val="continue"/>
            <w:tcBorders>
              <w:left w:val="single" w:color="auto" w:sz="4" w:space="0"/>
              <w:bottom w:val="single" w:color="auto" w:sz="4" w:space="0"/>
              <w:right w:val="single" w:color="auto" w:sz="4" w:space="0"/>
            </w:tcBorders>
            <w:noWrap w:val="0"/>
            <w:vAlign w:val="center"/>
          </w:tcPr>
          <w:p w14:paraId="0D8F3C2F">
            <w:pPr>
              <w:widowControl/>
              <w:jc w:val="center"/>
              <w:rPr>
                <w:rFonts w:hint="eastAsia" w:ascii="宋体" w:hAnsi="宋体" w:eastAsia="宋体" w:cs="宋体"/>
                <w:color w:val="auto"/>
                <w:sz w:val="24"/>
                <w:highlight w:val="none"/>
              </w:rPr>
            </w:pPr>
          </w:p>
        </w:tc>
        <w:tc>
          <w:tcPr>
            <w:tcW w:w="6000" w:type="dxa"/>
            <w:tcBorders>
              <w:top w:val="single" w:color="auto" w:sz="4" w:space="0"/>
              <w:left w:val="single" w:color="auto" w:sz="4" w:space="0"/>
              <w:bottom w:val="single" w:color="auto" w:sz="4" w:space="0"/>
              <w:right w:val="single" w:color="auto" w:sz="4" w:space="0"/>
            </w:tcBorders>
            <w:noWrap w:val="0"/>
          </w:tcPr>
          <w:p w14:paraId="1FF4396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软件部分</w:t>
            </w:r>
          </w:p>
          <w:p w14:paraId="5DE46ED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1.支持全频带全双工自适应回声消除算法；支持全频自适应AI降噪技术；支持自动增益控制。</w:t>
            </w:r>
          </w:p>
          <w:p w14:paraId="2259148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2.支持多通道音频矩阵，可根据场景需求进行相应设置；支持音频参数调节；支持智能混音，可智能选择最佳麦克风采集音频；支持混响抑制算法；支持动态波束成形算法。</w:t>
            </w:r>
          </w:p>
        </w:tc>
        <w:tc>
          <w:tcPr>
            <w:tcW w:w="981" w:type="dxa"/>
            <w:tcBorders>
              <w:top w:val="single" w:color="auto" w:sz="4" w:space="0"/>
              <w:left w:val="single" w:color="auto" w:sz="4" w:space="0"/>
              <w:bottom w:val="single" w:color="auto" w:sz="4" w:space="0"/>
              <w:right w:val="single" w:color="auto" w:sz="4" w:space="0"/>
            </w:tcBorders>
            <w:noWrap/>
            <w:vAlign w:val="center"/>
          </w:tcPr>
          <w:p w14:paraId="0A0D0845">
            <w:pPr>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7BCE4BDF">
            <w:pPr>
              <w:jc w:val="center"/>
              <w:rPr>
                <w:rFonts w:hint="eastAsia" w:ascii="宋体" w:hAnsi="宋体" w:eastAsia="宋体" w:cs="宋体"/>
                <w:color w:val="auto"/>
                <w:sz w:val="24"/>
                <w:highlight w:val="none"/>
              </w:rPr>
            </w:pPr>
          </w:p>
        </w:tc>
      </w:tr>
      <w:tr w14:paraId="1F7DC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797" w:type="dxa"/>
            <w:gridSpan w:val="5"/>
            <w:tcBorders>
              <w:top w:val="single" w:color="auto" w:sz="4" w:space="0"/>
              <w:left w:val="single" w:color="auto" w:sz="4" w:space="0"/>
              <w:bottom w:val="single" w:color="auto" w:sz="4" w:space="0"/>
              <w:right w:val="single" w:color="auto" w:sz="4" w:space="0"/>
            </w:tcBorders>
            <w:noWrap w:val="0"/>
            <w:vAlign w:val="center"/>
          </w:tcPr>
          <w:p w14:paraId="5DC1C93D">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五、平台服务</w:t>
            </w:r>
          </w:p>
        </w:tc>
      </w:tr>
      <w:tr w14:paraId="390CC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4" w:type="dxa"/>
            <w:vMerge w:val="restart"/>
            <w:tcBorders>
              <w:top w:val="single" w:color="auto" w:sz="4" w:space="0"/>
              <w:left w:val="single" w:color="auto" w:sz="4" w:space="0"/>
              <w:right w:val="single" w:color="auto" w:sz="4" w:space="0"/>
            </w:tcBorders>
            <w:noWrap w:val="0"/>
            <w:vAlign w:val="center"/>
          </w:tcPr>
          <w:p w14:paraId="7357B71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866" w:type="dxa"/>
            <w:vMerge w:val="restart"/>
            <w:tcBorders>
              <w:top w:val="single" w:color="auto" w:sz="4" w:space="0"/>
              <w:left w:val="single" w:color="auto" w:sz="4" w:space="0"/>
              <w:right w:val="single" w:color="auto" w:sz="4" w:space="0"/>
            </w:tcBorders>
            <w:noWrap w:val="0"/>
            <w:vAlign w:val="center"/>
          </w:tcPr>
          <w:p w14:paraId="7E936D12">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教学质量管理平台（4分）</w:t>
            </w:r>
          </w:p>
        </w:tc>
        <w:tc>
          <w:tcPr>
            <w:tcW w:w="6000" w:type="dxa"/>
            <w:tcBorders>
              <w:top w:val="single" w:color="auto" w:sz="4" w:space="0"/>
              <w:left w:val="single" w:color="auto" w:sz="4" w:space="0"/>
              <w:bottom w:val="single" w:color="auto" w:sz="4" w:space="0"/>
              <w:right w:val="single" w:color="auto" w:sz="4" w:space="0"/>
            </w:tcBorders>
            <w:noWrap w:val="0"/>
            <w:vAlign w:val="center"/>
          </w:tcPr>
          <w:p w14:paraId="72393D44">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【基础服务】</w:t>
            </w:r>
          </w:p>
          <w:p w14:paraId="3F9D170E">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1.为保障数据安全，平台采用本地化部署；系统采用B/S架构，通过浏览器打开即可使用教学质量管理平台中各项功能模块。</w:t>
            </w:r>
          </w:p>
          <w:p w14:paraId="41B3CA40">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2.平台除支持本校教职工账号管理外，还支持校外人员账号管理，满足校外专家登录平台进行督导巡课。</w:t>
            </w:r>
          </w:p>
          <w:p w14:paraId="612FA12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3.支持根据学校组织架构自定义添加用户角色并配置不同角色权限，支持通过搜索或选择姓名或工号添加不同角色成员。</w:t>
            </w:r>
          </w:p>
          <w:p w14:paraId="4056A660">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4.支持用户对学校logo、组织名称、登录页背景图进行配置。</w:t>
            </w:r>
          </w:p>
          <w:p w14:paraId="47AA63C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5.提供数据看板功能，本模块涉及的各类数据可以在数据大屏页面统一呈现，数据大屏的内容组成可自定义。</w:t>
            </w:r>
          </w:p>
        </w:tc>
        <w:tc>
          <w:tcPr>
            <w:tcW w:w="981" w:type="dxa"/>
            <w:tcBorders>
              <w:top w:val="single" w:color="auto" w:sz="4" w:space="0"/>
              <w:left w:val="single" w:color="auto" w:sz="4" w:space="0"/>
              <w:bottom w:val="single" w:color="auto" w:sz="4" w:space="0"/>
              <w:right w:val="single" w:color="auto" w:sz="4" w:space="0"/>
            </w:tcBorders>
            <w:noWrap/>
            <w:vAlign w:val="center"/>
          </w:tcPr>
          <w:p w14:paraId="35E4FE1C">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25DEFFD1">
            <w:pPr>
              <w:widowControl/>
              <w:jc w:val="center"/>
              <w:rPr>
                <w:rFonts w:hint="eastAsia" w:ascii="宋体" w:hAnsi="宋体" w:eastAsia="宋体" w:cs="宋体"/>
                <w:color w:val="auto"/>
                <w:sz w:val="24"/>
                <w:highlight w:val="none"/>
              </w:rPr>
            </w:pPr>
          </w:p>
        </w:tc>
      </w:tr>
      <w:tr w14:paraId="13B65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4" w:type="dxa"/>
            <w:vMerge w:val="continue"/>
            <w:tcBorders>
              <w:left w:val="single" w:color="auto" w:sz="4" w:space="0"/>
              <w:right w:val="single" w:color="auto" w:sz="4" w:space="0"/>
            </w:tcBorders>
            <w:noWrap w:val="0"/>
            <w:vAlign w:val="center"/>
          </w:tcPr>
          <w:p w14:paraId="53C18114">
            <w:pPr>
              <w:jc w:val="center"/>
              <w:rPr>
                <w:rFonts w:hint="eastAsia" w:ascii="宋体" w:hAnsi="宋体" w:eastAsia="宋体" w:cs="宋体"/>
                <w:color w:val="auto"/>
                <w:sz w:val="24"/>
                <w:highlight w:val="none"/>
              </w:rPr>
            </w:pPr>
          </w:p>
        </w:tc>
        <w:tc>
          <w:tcPr>
            <w:tcW w:w="866" w:type="dxa"/>
            <w:vMerge w:val="continue"/>
            <w:tcBorders>
              <w:left w:val="single" w:color="auto" w:sz="4" w:space="0"/>
              <w:right w:val="single" w:color="auto" w:sz="4" w:space="0"/>
            </w:tcBorders>
            <w:noWrap w:val="0"/>
            <w:vAlign w:val="center"/>
          </w:tcPr>
          <w:p w14:paraId="35891863">
            <w:pPr>
              <w:jc w:val="center"/>
              <w:rPr>
                <w:rFonts w:hint="eastAsia" w:ascii="宋体" w:hAnsi="宋体" w:eastAsia="宋体" w:cs="宋体"/>
                <w:color w:val="auto"/>
                <w:sz w:val="24"/>
                <w:highlight w:val="none"/>
              </w:rPr>
            </w:pPr>
          </w:p>
        </w:tc>
        <w:tc>
          <w:tcPr>
            <w:tcW w:w="6000" w:type="dxa"/>
            <w:tcBorders>
              <w:top w:val="single" w:color="auto" w:sz="4" w:space="0"/>
              <w:left w:val="single" w:color="auto" w:sz="4" w:space="0"/>
              <w:bottom w:val="single" w:color="auto" w:sz="4" w:space="0"/>
              <w:right w:val="single" w:color="auto" w:sz="4" w:space="0"/>
            </w:tcBorders>
            <w:noWrap w:val="0"/>
            <w:vAlign w:val="center"/>
          </w:tcPr>
          <w:p w14:paraId="66CC72D9">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【录播视频资源管理】</w:t>
            </w:r>
          </w:p>
          <w:p w14:paraId="378C3EE6">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1.支持查看全校的录播资源，可查看录播资源详细信息，包括视频名称，开课时间，视频时长，视频分片数，主讲老师，所属学院，上课教室，视频大小等。</w:t>
            </w:r>
          </w:p>
          <w:p w14:paraId="67929EF6">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2.支持对录播资源进行操作，编辑视频名称、下载、删除等；支持通过学院、授课教室、授课时间进行资源筛选等；支持通过搜索不完整课程名称和不完整教师名称进行资源搜索等。</w:t>
            </w:r>
          </w:p>
        </w:tc>
        <w:tc>
          <w:tcPr>
            <w:tcW w:w="981" w:type="dxa"/>
            <w:tcBorders>
              <w:top w:val="single" w:color="auto" w:sz="4" w:space="0"/>
              <w:left w:val="single" w:color="auto" w:sz="4" w:space="0"/>
              <w:bottom w:val="single" w:color="auto" w:sz="4" w:space="0"/>
              <w:right w:val="single" w:color="auto" w:sz="4" w:space="0"/>
            </w:tcBorders>
            <w:noWrap/>
            <w:vAlign w:val="center"/>
          </w:tcPr>
          <w:p w14:paraId="59A36FB1">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0435BB38">
            <w:pPr>
              <w:widowControl/>
              <w:jc w:val="center"/>
              <w:rPr>
                <w:rFonts w:hint="eastAsia" w:ascii="宋体" w:hAnsi="宋体" w:eastAsia="宋体" w:cs="宋体"/>
                <w:color w:val="auto"/>
                <w:sz w:val="24"/>
                <w:highlight w:val="none"/>
              </w:rPr>
            </w:pPr>
          </w:p>
        </w:tc>
      </w:tr>
      <w:tr w14:paraId="60E55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4" w:type="dxa"/>
            <w:vMerge w:val="continue"/>
            <w:tcBorders>
              <w:left w:val="single" w:color="auto" w:sz="4" w:space="0"/>
              <w:right w:val="single" w:color="auto" w:sz="4" w:space="0"/>
            </w:tcBorders>
            <w:noWrap w:val="0"/>
            <w:vAlign w:val="center"/>
          </w:tcPr>
          <w:p w14:paraId="54ACB350">
            <w:pPr>
              <w:jc w:val="center"/>
              <w:rPr>
                <w:rFonts w:hint="eastAsia" w:ascii="宋体" w:hAnsi="宋体" w:eastAsia="宋体" w:cs="宋体"/>
                <w:color w:val="auto"/>
                <w:sz w:val="24"/>
                <w:highlight w:val="none"/>
              </w:rPr>
            </w:pPr>
          </w:p>
        </w:tc>
        <w:tc>
          <w:tcPr>
            <w:tcW w:w="866" w:type="dxa"/>
            <w:vMerge w:val="continue"/>
            <w:tcBorders>
              <w:left w:val="single" w:color="auto" w:sz="4" w:space="0"/>
              <w:right w:val="single" w:color="auto" w:sz="4" w:space="0"/>
            </w:tcBorders>
            <w:noWrap w:val="0"/>
            <w:vAlign w:val="center"/>
          </w:tcPr>
          <w:p w14:paraId="3BB5A8F8">
            <w:pPr>
              <w:jc w:val="center"/>
              <w:rPr>
                <w:rFonts w:hint="eastAsia" w:ascii="宋体" w:hAnsi="宋体" w:eastAsia="宋体" w:cs="宋体"/>
                <w:color w:val="auto"/>
                <w:sz w:val="24"/>
                <w:highlight w:val="none"/>
              </w:rPr>
            </w:pPr>
          </w:p>
        </w:tc>
        <w:tc>
          <w:tcPr>
            <w:tcW w:w="6000" w:type="dxa"/>
            <w:tcBorders>
              <w:top w:val="single" w:color="auto" w:sz="4" w:space="0"/>
              <w:left w:val="single" w:color="auto" w:sz="4" w:space="0"/>
              <w:bottom w:val="single" w:color="auto" w:sz="4" w:space="0"/>
              <w:right w:val="single" w:color="auto" w:sz="4" w:space="0"/>
            </w:tcBorders>
            <w:noWrap w:val="0"/>
            <w:vAlign w:val="center"/>
          </w:tcPr>
          <w:p w14:paraId="09848D52">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【录播设备管理】</w:t>
            </w:r>
          </w:p>
          <w:p w14:paraId="46EE9376">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支持查看本校的录播设备信息，包括已绑定的设备总数、在线设备数、设备IP、绑定教室信息、信号源连接情况等；支持查看录播设备的状态信息，包括闲置、录制中、直播中、互动中、离线状态、在线设备的CPU占用率、网络上下行传输速率、磁盘空间使用情况、内存占用情况等。</w:t>
            </w:r>
          </w:p>
          <w:p w14:paraId="320CE626">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支持在平台上对录播设备进行关机、重启、开始录制、停止录制、开启直播、停止直播等；录制时可在“录播视频”查看录制的视频，直播时可在“直播中心”查看直播画面；支持设置录播机屏幕解锁密码和管理员密码；支持对录播主机上“查看视频”及“关机”权限是否需要密码放入等进行管理。</w:t>
            </w:r>
          </w:p>
          <w:p w14:paraId="341F0B2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配置第三方设备的rtsp流地址，可通过本地服务器将第三方设备的音视频内容接入至平台；支持管理员配置录播主机的直播服务器地址；支持管理员配置录播资源存储服务器IP地址，可查看总存储空间及当前已存储空间大小等；支持开启视频自动覆盖功能。</w:t>
            </w:r>
          </w:p>
        </w:tc>
        <w:tc>
          <w:tcPr>
            <w:tcW w:w="981" w:type="dxa"/>
            <w:tcBorders>
              <w:top w:val="single" w:color="auto" w:sz="4" w:space="0"/>
              <w:left w:val="single" w:color="auto" w:sz="4" w:space="0"/>
              <w:bottom w:val="single" w:color="auto" w:sz="4" w:space="0"/>
              <w:right w:val="single" w:color="auto" w:sz="4" w:space="0"/>
            </w:tcBorders>
            <w:noWrap/>
            <w:vAlign w:val="center"/>
          </w:tcPr>
          <w:p w14:paraId="57D026ED">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1EC59EF4">
            <w:pPr>
              <w:widowControl/>
              <w:jc w:val="center"/>
              <w:rPr>
                <w:rFonts w:hint="eastAsia" w:ascii="宋体" w:hAnsi="宋体" w:eastAsia="宋体" w:cs="宋体"/>
                <w:color w:val="auto"/>
                <w:sz w:val="24"/>
                <w:highlight w:val="none"/>
              </w:rPr>
            </w:pPr>
          </w:p>
        </w:tc>
      </w:tr>
      <w:tr w14:paraId="05AA8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4" w:type="dxa"/>
            <w:vMerge w:val="continue"/>
            <w:tcBorders>
              <w:left w:val="single" w:color="auto" w:sz="4" w:space="0"/>
              <w:right w:val="single" w:color="auto" w:sz="4" w:space="0"/>
            </w:tcBorders>
            <w:noWrap w:val="0"/>
            <w:vAlign w:val="center"/>
          </w:tcPr>
          <w:p w14:paraId="463EF080">
            <w:pPr>
              <w:jc w:val="center"/>
              <w:rPr>
                <w:rFonts w:hint="eastAsia" w:ascii="宋体" w:hAnsi="宋体" w:eastAsia="宋体" w:cs="宋体"/>
                <w:color w:val="auto"/>
                <w:sz w:val="24"/>
                <w:highlight w:val="none"/>
              </w:rPr>
            </w:pPr>
          </w:p>
        </w:tc>
        <w:tc>
          <w:tcPr>
            <w:tcW w:w="866" w:type="dxa"/>
            <w:vMerge w:val="continue"/>
            <w:tcBorders>
              <w:left w:val="single" w:color="auto" w:sz="4" w:space="0"/>
              <w:right w:val="single" w:color="auto" w:sz="4" w:space="0"/>
            </w:tcBorders>
            <w:noWrap w:val="0"/>
            <w:vAlign w:val="center"/>
          </w:tcPr>
          <w:p w14:paraId="42C81C5C">
            <w:pPr>
              <w:jc w:val="center"/>
              <w:rPr>
                <w:rFonts w:hint="eastAsia" w:ascii="宋体" w:hAnsi="宋体" w:eastAsia="宋体" w:cs="宋体"/>
                <w:color w:val="auto"/>
                <w:sz w:val="24"/>
                <w:highlight w:val="none"/>
              </w:rPr>
            </w:pPr>
          </w:p>
        </w:tc>
        <w:tc>
          <w:tcPr>
            <w:tcW w:w="6000" w:type="dxa"/>
            <w:tcBorders>
              <w:top w:val="single" w:color="auto" w:sz="4" w:space="0"/>
              <w:left w:val="single" w:color="auto" w:sz="4" w:space="0"/>
              <w:bottom w:val="single" w:color="auto" w:sz="4" w:space="0"/>
              <w:right w:val="single" w:color="auto" w:sz="4" w:space="0"/>
            </w:tcBorders>
            <w:noWrap w:val="0"/>
            <w:vAlign w:val="center"/>
          </w:tcPr>
          <w:p w14:paraId="12F32456">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【督导巡课管理】</w:t>
            </w:r>
          </w:p>
          <w:p w14:paraId="4D150409">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1.支持自定义设置评课表，支持发布、停用，设为默认、编辑、删除操作等。</w:t>
            </w:r>
          </w:p>
          <w:p w14:paraId="6C823E7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2.系统预置“教师课堂评课表模版”；支持自定义一级评价维度和二级评价指标内容，二级评价指标可添加评分题和主观题，评分题可自定义分值等。</w:t>
            </w:r>
          </w:p>
          <w:p w14:paraId="2B49CC2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3.支持查看单次评价统计记录，包括评价时间、参评老师、课程名称、学院、主讲老师、评分值等；课堂详情支持查看量表评价各指标得分、主观答题内容、打点评价记录等；支持批量导出评价记录数据表格。</w:t>
            </w:r>
          </w:p>
          <w:p w14:paraId="26E560AC">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4.支持管理员设置督导员的学院巡课权限，设置成功后，督导员在课堂巡课时只能查看到对应学院权限下的课程内容。</w:t>
            </w:r>
          </w:p>
          <w:p w14:paraId="06D50A1F">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5.支持用户通过搜索课程名称、学院、教室、教师、上课时间等查找课堂，支持查看进行中的实时课堂音视频和已结束的课堂音视频。</w:t>
            </w:r>
          </w:p>
          <w:p w14:paraId="3174B6A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6.支持按建筑-教室的二级目录树查找教室，通过颜色图标区分设备是否在线；支持预览实时画面和授课信息，授课信息包括：课程名称、学院、教师、班级、上课时间等；具备督导任务管理和校外专家巡课功能。</w:t>
            </w:r>
          </w:p>
          <w:p w14:paraId="3156BA8A">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7.教室巡课时支持≥3种类型的画面分屏模式，支持选择三分屏、二分屏、单屏模式等；支持查看教室内的教师画面、学生画面、电脑画面等；支持通过鼠标拖动切换主画面。</w:t>
            </w:r>
          </w:p>
          <w:p w14:paraId="5320C919">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8.支持通过评课表对课程进行评价，包括评分题打分评价、主观题发表文字和上传图片评价等，提交后系统自动计算得出评价得分。</w:t>
            </w:r>
          </w:p>
          <w:p w14:paraId="6566D56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9.支持多维度筛选评价记录；支持进入全屏模式自动轮播教室画面内容，可以多画面显示；支持设置自定义轮播频率；支持点击教室画面跳转至巡课详情界面。</w:t>
            </w:r>
          </w:p>
        </w:tc>
        <w:tc>
          <w:tcPr>
            <w:tcW w:w="981" w:type="dxa"/>
            <w:tcBorders>
              <w:top w:val="single" w:color="auto" w:sz="4" w:space="0"/>
              <w:left w:val="single" w:color="auto" w:sz="4" w:space="0"/>
              <w:bottom w:val="single" w:color="auto" w:sz="4" w:space="0"/>
              <w:right w:val="single" w:color="auto" w:sz="4" w:space="0"/>
            </w:tcBorders>
            <w:noWrap/>
            <w:vAlign w:val="center"/>
          </w:tcPr>
          <w:p w14:paraId="4D6986CD">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359EC7C2">
            <w:pPr>
              <w:widowControl/>
              <w:jc w:val="center"/>
              <w:rPr>
                <w:rFonts w:hint="eastAsia" w:ascii="宋体" w:hAnsi="宋体" w:eastAsia="宋体" w:cs="宋体"/>
                <w:color w:val="auto"/>
                <w:sz w:val="24"/>
                <w:highlight w:val="none"/>
              </w:rPr>
            </w:pPr>
          </w:p>
        </w:tc>
      </w:tr>
      <w:tr w14:paraId="770C4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4" w:type="dxa"/>
            <w:vMerge w:val="continue"/>
            <w:tcBorders>
              <w:left w:val="single" w:color="auto" w:sz="4" w:space="0"/>
              <w:right w:val="single" w:color="auto" w:sz="4" w:space="0"/>
            </w:tcBorders>
            <w:noWrap w:val="0"/>
            <w:vAlign w:val="center"/>
          </w:tcPr>
          <w:p w14:paraId="2CC40AF5">
            <w:pPr>
              <w:jc w:val="center"/>
              <w:rPr>
                <w:rFonts w:hint="eastAsia" w:ascii="宋体" w:hAnsi="宋体" w:eastAsia="宋体" w:cs="宋体"/>
                <w:color w:val="auto"/>
                <w:sz w:val="24"/>
                <w:highlight w:val="none"/>
              </w:rPr>
            </w:pPr>
          </w:p>
        </w:tc>
        <w:tc>
          <w:tcPr>
            <w:tcW w:w="866" w:type="dxa"/>
            <w:vMerge w:val="continue"/>
            <w:tcBorders>
              <w:left w:val="single" w:color="auto" w:sz="4" w:space="0"/>
              <w:right w:val="single" w:color="auto" w:sz="4" w:space="0"/>
            </w:tcBorders>
            <w:noWrap w:val="0"/>
            <w:vAlign w:val="center"/>
          </w:tcPr>
          <w:p w14:paraId="22931C01">
            <w:pPr>
              <w:jc w:val="center"/>
              <w:rPr>
                <w:rFonts w:hint="eastAsia" w:ascii="宋体" w:hAnsi="宋体" w:eastAsia="宋体" w:cs="宋体"/>
                <w:color w:val="auto"/>
                <w:sz w:val="24"/>
                <w:highlight w:val="none"/>
              </w:rPr>
            </w:pPr>
          </w:p>
        </w:tc>
        <w:tc>
          <w:tcPr>
            <w:tcW w:w="6000" w:type="dxa"/>
            <w:tcBorders>
              <w:top w:val="single" w:color="auto" w:sz="4" w:space="0"/>
              <w:left w:val="single" w:color="auto" w:sz="4" w:space="0"/>
              <w:bottom w:val="single" w:color="auto" w:sz="4" w:space="0"/>
              <w:right w:val="single" w:color="auto" w:sz="4" w:space="0"/>
            </w:tcBorders>
            <w:noWrap w:val="0"/>
            <w:vAlign w:val="center"/>
          </w:tcPr>
          <w:p w14:paraId="4C197D31">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【直播中心管理】</w:t>
            </w:r>
          </w:p>
          <w:p w14:paraId="5978DD6E">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1.支持用户创建直播并提前设置直播信息，支持获取直播地址及二维码海报，可通过地址和海报查看直播信息。</w:t>
            </w:r>
          </w:p>
          <w:p w14:paraId="79C2BAF1">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2.支持分类显示所有直播的当前状态，包括未开始、进行中、已结束等；支持通过状态筛选不同的直播进行编辑管理。</w:t>
            </w:r>
          </w:p>
          <w:p w14:paraId="031C2A58">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3.支持输入与直播名称相关的关键字，搜索直播活动；在直播结束前，支持教师修改直播的结束时间、名称、封面、直播简介设置、原直播地址等。</w:t>
            </w:r>
          </w:p>
          <w:p w14:paraId="110E695F">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4.支持一键生成链接并进行分享，支持通过链接登录观看直播视频；支持开启直播回放功能；开启后可在原有直播的分享链接中查看已结束的直播内容；支持删除直播，删除后原有的直播分享链接失效。</w:t>
            </w:r>
          </w:p>
        </w:tc>
        <w:tc>
          <w:tcPr>
            <w:tcW w:w="981" w:type="dxa"/>
            <w:tcBorders>
              <w:top w:val="single" w:color="auto" w:sz="4" w:space="0"/>
              <w:left w:val="single" w:color="auto" w:sz="4" w:space="0"/>
              <w:bottom w:val="single" w:color="auto" w:sz="4" w:space="0"/>
              <w:right w:val="single" w:color="auto" w:sz="4" w:space="0"/>
            </w:tcBorders>
            <w:noWrap/>
            <w:vAlign w:val="center"/>
          </w:tcPr>
          <w:p w14:paraId="3EB68957">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0F3FACDE">
            <w:pPr>
              <w:widowControl/>
              <w:jc w:val="center"/>
              <w:rPr>
                <w:rFonts w:hint="eastAsia" w:ascii="宋体" w:hAnsi="宋体" w:eastAsia="宋体" w:cs="宋体"/>
                <w:color w:val="auto"/>
                <w:sz w:val="24"/>
                <w:highlight w:val="none"/>
              </w:rPr>
            </w:pPr>
          </w:p>
        </w:tc>
      </w:tr>
      <w:tr w14:paraId="0A00B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4" w:type="dxa"/>
            <w:vMerge w:val="continue"/>
            <w:tcBorders>
              <w:left w:val="single" w:color="auto" w:sz="4" w:space="0"/>
              <w:right w:val="single" w:color="auto" w:sz="4" w:space="0"/>
            </w:tcBorders>
            <w:noWrap w:val="0"/>
            <w:vAlign w:val="center"/>
          </w:tcPr>
          <w:p w14:paraId="624A9C35">
            <w:pPr>
              <w:jc w:val="center"/>
              <w:rPr>
                <w:rFonts w:hint="eastAsia" w:ascii="宋体" w:hAnsi="宋体" w:eastAsia="宋体" w:cs="宋体"/>
                <w:color w:val="auto"/>
                <w:sz w:val="24"/>
                <w:highlight w:val="none"/>
              </w:rPr>
            </w:pPr>
          </w:p>
        </w:tc>
        <w:tc>
          <w:tcPr>
            <w:tcW w:w="866" w:type="dxa"/>
            <w:vMerge w:val="continue"/>
            <w:tcBorders>
              <w:left w:val="single" w:color="auto" w:sz="4" w:space="0"/>
              <w:right w:val="single" w:color="auto" w:sz="4" w:space="0"/>
            </w:tcBorders>
            <w:noWrap w:val="0"/>
            <w:vAlign w:val="center"/>
          </w:tcPr>
          <w:p w14:paraId="722B76F9">
            <w:pPr>
              <w:jc w:val="center"/>
              <w:rPr>
                <w:rFonts w:hint="eastAsia" w:ascii="宋体" w:hAnsi="宋体" w:eastAsia="宋体" w:cs="宋体"/>
                <w:color w:val="auto"/>
                <w:sz w:val="24"/>
                <w:highlight w:val="none"/>
              </w:rPr>
            </w:pPr>
          </w:p>
        </w:tc>
        <w:tc>
          <w:tcPr>
            <w:tcW w:w="6000" w:type="dxa"/>
            <w:tcBorders>
              <w:top w:val="single" w:color="auto" w:sz="4" w:space="0"/>
              <w:left w:val="single" w:color="auto" w:sz="4" w:space="0"/>
              <w:bottom w:val="single" w:color="auto" w:sz="4" w:space="0"/>
              <w:right w:val="single" w:color="auto" w:sz="4" w:space="0"/>
            </w:tcBorders>
            <w:noWrap w:val="0"/>
            <w:vAlign w:val="center"/>
          </w:tcPr>
          <w:p w14:paraId="0BC7FBA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【督导巡课看板】</w:t>
            </w:r>
          </w:p>
          <w:p w14:paraId="56097FA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1.支持查看督导评课数据，包括累计完成督导课程数、督导课节节数、受评教师人数、敏感词检测次数等。</w:t>
            </w:r>
          </w:p>
          <w:p w14:paraId="41EA381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2.支持统计每周累计评价课节数，并以折线图等方式显示每周评课数量变化趋势。</w:t>
            </w:r>
          </w:p>
          <w:p w14:paraId="05896AD1">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3.支持自定义督导低分阈值，并显示平均分低于阈值的课程名单，名单中包含课程名称、授课讲师、课程平均分等信息；支持按评课数据督导评分平均分高低显示课程排行榜。</w:t>
            </w:r>
          </w:p>
          <w:p w14:paraId="5FF51210">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4.支持滚动展示不同用户评价动态，动态包括评价人、评价日期时间、课程所属学院、授课讲师、课程名称等；支持统计并通过柱状图等方式展示不同开课单位累计受评课程节数。</w:t>
            </w:r>
          </w:p>
        </w:tc>
        <w:tc>
          <w:tcPr>
            <w:tcW w:w="981" w:type="dxa"/>
            <w:tcBorders>
              <w:top w:val="single" w:color="auto" w:sz="4" w:space="0"/>
              <w:left w:val="single" w:color="auto" w:sz="4" w:space="0"/>
              <w:bottom w:val="single" w:color="auto" w:sz="4" w:space="0"/>
              <w:right w:val="single" w:color="auto" w:sz="4" w:space="0"/>
            </w:tcBorders>
            <w:noWrap/>
            <w:vAlign w:val="center"/>
          </w:tcPr>
          <w:p w14:paraId="0AEA6A0D">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48B653D1">
            <w:pPr>
              <w:widowControl/>
              <w:jc w:val="center"/>
              <w:rPr>
                <w:rFonts w:hint="eastAsia" w:ascii="宋体" w:hAnsi="宋体" w:eastAsia="宋体" w:cs="宋体"/>
                <w:color w:val="auto"/>
                <w:sz w:val="24"/>
                <w:highlight w:val="none"/>
              </w:rPr>
            </w:pPr>
          </w:p>
        </w:tc>
      </w:tr>
      <w:tr w14:paraId="01172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4" w:type="dxa"/>
            <w:vMerge w:val="continue"/>
            <w:tcBorders>
              <w:left w:val="single" w:color="auto" w:sz="4" w:space="0"/>
              <w:right w:val="single" w:color="auto" w:sz="4" w:space="0"/>
            </w:tcBorders>
            <w:noWrap w:val="0"/>
            <w:vAlign w:val="center"/>
          </w:tcPr>
          <w:p w14:paraId="1014BA8D">
            <w:pPr>
              <w:jc w:val="center"/>
              <w:rPr>
                <w:rFonts w:hint="eastAsia" w:ascii="宋体" w:hAnsi="宋体" w:eastAsia="宋体" w:cs="宋体"/>
                <w:color w:val="auto"/>
                <w:sz w:val="24"/>
                <w:highlight w:val="none"/>
              </w:rPr>
            </w:pPr>
          </w:p>
        </w:tc>
        <w:tc>
          <w:tcPr>
            <w:tcW w:w="866" w:type="dxa"/>
            <w:vMerge w:val="continue"/>
            <w:tcBorders>
              <w:left w:val="single" w:color="auto" w:sz="4" w:space="0"/>
              <w:right w:val="single" w:color="auto" w:sz="4" w:space="0"/>
            </w:tcBorders>
            <w:noWrap w:val="0"/>
            <w:vAlign w:val="center"/>
          </w:tcPr>
          <w:p w14:paraId="3E58C254">
            <w:pPr>
              <w:jc w:val="center"/>
              <w:rPr>
                <w:rFonts w:hint="eastAsia" w:ascii="宋体" w:hAnsi="宋体" w:eastAsia="宋体" w:cs="宋体"/>
                <w:color w:val="auto"/>
                <w:sz w:val="24"/>
                <w:highlight w:val="none"/>
              </w:rPr>
            </w:pPr>
          </w:p>
        </w:tc>
        <w:tc>
          <w:tcPr>
            <w:tcW w:w="6000" w:type="dxa"/>
            <w:tcBorders>
              <w:top w:val="single" w:color="auto" w:sz="4" w:space="0"/>
              <w:left w:val="single" w:color="auto" w:sz="4" w:space="0"/>
              <w:bottom w:val="single" w:color="auto" w:sz="4" w:space="0"/>
              <w:right w:val="single" w:color="auto" w:sz="4" w:space="0"/>
            </w:tcBorders>
            <w:noWrap w:val="0"/>
            <w:vAlign w:val="center"/>
          </w:tcPr>
          <w:p w14:paraId="6CF6359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【移动巡课管理】</w:t>
            </w:r>
          </w:p>
          <w:p w14:paraId="4704258B">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1.平台支持通过H5链接提供移动端听评课功能；支持通过微信、手机浏览器打开，支持对课程视频进行上课中和已下课筛选。</w:t>
            </w:r>
          </w:p>
          <w:p w14:paraId="21574E9F">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2.支持与平台的课表数据对接，支持根据课程名称、学院、授课教师、班级和课节时间等信息查找课堂；巡课时支持自主切换教师全景、学生全景和电脑画面通道等。</w:t>
            </w:r>
          </w:p>
          <w:p w14:paraId="5DA1AE3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3.支持查看管理员分配的督导任务，任务可显示规定完成时间、任务数量、任务类型、任务状态等。</w:t>
            </w:r>
          </w:p>
          <w:p w14:paraId="2C1B4B3B">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4.支持移动端线下评课，评课后的数据自动回传至平台，可在平台上查看评价记录。</w:t>
            </w:r>
          </w:p>
          <w:p w14:paraId="622B6A2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5.移动端支持查看我的评价记录，包括评价的课程信息、评价量表、评分及回放视频等。</w:t>
            </w:r>
          </w:p>
          <w:p w14:paraId="5DAC5CE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6.支持输入关键词搜索课程名称或老师进行搜索；支持查看历史记录，查询历史关键词信息；支持根据上课状态、上课时间、学院、建筑、场地条件等筛选课程。</w:t>
            </w:r>
          </w:p>
        </w:tc>
        <w:tc>
          <w:tcPr>
            <w:tcW w:w="981" w:type="dxa"/>
            <w:tcBorders>
              <w:top w:val="single" w:color="auto" w:sz="4" w:space="0"/>
              <w:left w:val="single" w:color="auto" w:sz="4" w:space="0"/>
              <w:bottom w:val="single" w:color="auto" w:sz="4" w:space="0"/>
              <w:right w:val="single" w:color="auto" w:sz="4" w:space="0"/>
            </w:tcBorders>
            <w:noWrap/>
            <w:vAlign w:val="center"/>
          </w:tcPr>
          <w:p w14:paraId="69ED43FC">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5932E046">
            <w:pPr>
              <w:widowControl/>
              <w:jc w:val="center"/>
              <w:rPr>
                <w:rFonts w:hint="eastAsia" w:ascii="宋体" w:hAnsi="宋体" w:eastAsia="宋体" w:cs="宋体"/>
                <w:color w:val="auto"/>
                <w:sz w:val="24"/>
                <w:highlight w:val="none"/>
              </w:rPr>
            </w:pPr>
          </w:p>
        </w:tc>
      </w:tr>
      <w:tr w14:paraId="015E5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1" w:hRule="atLeast"/>
          <w:jc w:val="center"/>
        </w:trPr>
        <w:tc>
          <w:tcPr>
            <w:tcW w:w="704" w:type="dxa"/>
            <w:vMerge w:val="continue"/>
            <w:tcBorders>
              <w:left w:val="single" w:color="auto" w:sz="4" w:space="0"/>
              <w:right w:val="single" w:color="auto" w:sz="4" w:space="0"/>
            </w:tcBorders>
            <w:noWrap w:val="0"/>
            <w:vAlign w:val="center"/>
          </w:tcPr>
          <w:p w14:paraId="162B4673">
            <w:pPr>
              <w:jc w:val="center"/>
              <w:rPr>
                <w:rFonts w:hint="eastAsia" w:ascii="宋体" w:hAnsi="宋体" w:eastAsia="宋体" w:cs="宋体"/>
                <w:color w:val="auto"/>
                <w:sz w:val="24"/>
                <w:highlight w:val="none"/>
              </w:rPr>
            </w:pPr>
          </w:p>
        </w:tc>
        <w:tc>
          <w:tcPr>
            <w:tcW w:w="866" w:type="dxa"/>
            <w:vMerge w:val="continue"/>
            <w:tcBorders>
              <w:left w:val="single" w:color="auto" w:sz="4" w:space="0"/>
              <w:right w:val="single" w:color="auto" w:sz="4" w:space="0"/>
            </w:tcBorders>
            <w:noWrap w:val="0"/>
            <w:vAlign w:val="center"/>
          </w:tcPr>
          <w:p w14:paraId="6A6B2B8D">
            <w:pPr>
              <w:jc w:val="center"/>
              <w:rPr>
                <w:rFonts w:hint="eastAsia" w:ascii="宋体" w:hAnsi="宋体" w:eastAsia="宋体" w:cs="宋体"/>
                <w:color w:val="auto"/>
                <w:sz w:val="24"/>
                <w:highlight w:val="none"/>
              </w:rPr>
            </w:pPr>
          </w:p>
        </w:tc>
        <w:tc>
          <w:tcPr>
            <w:tcW w:w="6000" w:type="dxa"/>
            <w:tcBorders>
              <w:top w:val="single" w:color="auto" w:sz="4" w:space="0"/>
              <w:left w:val="single" w:color="auto" w:sz="4" w:space="0"/>
              <w:right w:val="single" w:color="auto" w:sz="4" w:space="0"/>
            </w:tcBorders>
            <w:noWrap w:val="0"/>
            <w:vAlign w:val="center"/>
          </w:tcPr>
          <w:p w14:paraId="2E8AC761">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【语音转写管理】</w:t>
            </w:r>
          </w:p>
          <w:p w14:paraId="0E883EE8">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1.支持基于课堂实录视频，将课堂语音转写成文字；语音转写窗口支持将语音识别后的文本和视频时间对齐，点击文本跳转至对应视频时间点播放。</w:t>
            </w:r>
          </w:p>
          <w:p w14:paraId="1F65554B">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2.语音转写窗口支持搜索文字内容，匹配语音识别后的文本内容。</w:t>
            </w:r>
          </w:p>
          <w:p w14:paraId="20C182FF">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3.语音转写文本支持对系统输入敏感词词库检测，若存在敏感词内容，自动高亮提醒；数据看板页面支持统计每个敏感词出现的次数。</w:t>
            </w:r>
          </w:p>
        </w:tc>
        <w:tc>
          <w:tcPr>
            <w:tcW w:w="981" w:type="dxa"/>
            <w:tcBorders>
              <w:top w:val="single" w:color="auto" w:sz="4" w:space="0"/>
              <w:left w:val="single" w:color="auto" w:sz="4" w:space="0"/>
              <w:right w:val="single" w:color="auto" w:sz="4" w:space="0"/>
            </w:tcBorders>
            <w:noWrap/>
            <w:vAlign w:val="center"/>
          </w:tcPr>
          <w:p w14:paraId="7B41E37D">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right w:val="single" w:color="auto" w:sz="4" w:space="0"/>
            </w:tcBorders>
            <w:noWrap w:val="0"/>
            <w:vAlign w:val="center"/>
          </w:tcPr>
          <w:p w14:paraId="497004A6">
            <w:pPr>
              <w:widowControl/>
              <w:jc w:val="center"/>
              <w:rPr>
                <w:rFonts w:hint="eastAsia" w:ascii="宋体" w:hAnsi="宋体" w:eastAsia="宋体" w:cs="宋体"/>
                <w:color w:val="auto"/>
                <w:sz w:val="24"/>
                <w:highlight w:val="none"/>
              </w:rPr>
            </w:pPr>
          </w:p>
        </w:tc>
      </w:tr>
      <w:tr w14:paraId="24F3B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4" w:type="dxa"/>
            <w:vMerge w:val="restart"/>
            <w:tcBorders>
              <w:top w:val="single" w:color="auto" w:sz="4" w:space="0"/>
              <w:left w:val="single" w:color="auto" w:sz="4" w:space="0"/>
              <w:right w:val="single" w:color="auto" w:sz="4" w:space="0"/>
            </w:tcBorders>
            <w:noWrap w:val="0"/>
            <w:vAlign w:val="center"/>
          </w:tcPr>
          <w:p w14:paraId="13B7141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866" w:type="dxa"/>
            <w:vMerge w:val="restart"/>
            <w:tcBorders>
              <w:top w:val="single" w:color="auto" w:sz="4" w:space="0"/>
              <w:left w:val="single" w:color="auto" w:sz="4" w:space="0"/>
              <w:right w:val="single" w:color="auto" w:sz="4" w:space="0"/>
            </w:tcBorders>
            <w:noWrap w:val="0"/>
            <w:vAlign w:val="center"/>
          </w:tcPr>
          <w:p w14:paraId="152C72AA">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AI教学评价系统</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.5分</w:t>
            </w:r>
            <w:r>
              <w:rPr>
                <w:rFonts w:hint="eastAsia" w:ascii="宋体" w:hAnsi="宋体" w:eastAsia="宋体" w:cs="宋体"/>
                <w:color w:val="auto"/>
                <w:sz w:val="24"/>
                <w:highlight w:val="none"/>
                <w:lang w:eastAsia="zh-CN"/>
              </w:rPr>
              <w:t>）</w:t>
            </w:r>
          </w:p>
        </w:tc>
        <w:tc>
          <w:tcPr>
            <w:tcW w:w="6000" w:type="dxa"/>
            <w:tcBorders>
              <w:top w:val="single" w:color="auto" w:sz="4" w:space="0"/>
              <w:left w:val="single" w:color="auto" w:sz="4" w:space="0"/>
              <w:bottom w:val="single" w:color="auto" w:sz="4" w:space="0"/>
              <w:right w:val="single" w:color="auto" w:sz="4" w:space="0"/>
            </w:tcBorders>
            <w:noWrap w:val="0"/>
            <w:vAlign w:val="center"/>
          </w:tcPr>
          <w:p w14:paraId="0378AEF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【AI量表设置】</w:t>
            </w:r>
          </w:p>
          <w:p w14:paraId="597A36A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1.提供AI分析指标库，指标数量≥10，指标观测点不少于20个；支持≥4个评分标准等级，评分标准等级支持开启或停用；支持用户自定义修改阈值范围。</w:t>
            </w:r>
          </w:p>
          <w:p w14:paraId="679BB41F">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2.支持用户自定义AI教评模版，可自定义填写维度名称、维度权重、选择维度下需观测指标、每项指标分数等。</w:t>
            </w:r>
          </w:p>
          <w:p w14:paraId="3131652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3.支持设置指标是否纳入AI评分，或仅在报告展示而不纳入评分；支持手动开启或停用AI分析量表；</w:t>
            </w:r>
            <w:r>
              <w:rPr>
                <w:rFonts w:hint="eastAsia" w:ascii="宋体" w:hAnsi="宋体" w:eastAsia="宋体" w:cs="宋体"/>
                <w:color w:val="auto"/>
                <w:sz w:val="24"/>
                <w:highlight w:val="none"/>
                <w:lang w:eastAsia="zh-Hans"/>
              </w:rPr>
              <w:t>支持</w:t>
            </w:r>
            <w:r>
              <w:rPr>
                <w:rFonts w:hint="eastAsia" w:ascii="宋体" w:hAnsi="宋体" w:eastAsia="宋体" w:cs="宋体"/>
                <w:color w:val="auto"/>
                <w:sz w:val="24"/>
                <w:highlight w:val="none"/>
              </w:rPr>
              <w:t>“AI总结设置”，</w:t>
            </w:r>
            <w:r>
              <w:rPr>
                <w:rFonts w:hint="eastAsia" w:ascii="宋体" w:hAnsi="宋体" w:eastAsia="宋体" w:cs="宋体"/>
                <w:color w:val="auto"/>
                <w:sz w:val="24"/>
                <w:highlight w:val="none"/>
                <w:lang w:eastAsia="zh-Hans"/>
              </w:rPr>
              <w:t>支持设置</w:t>
            </w:r>
            <w:r>
              <w:rPr>
                <w:rFonts w:hint="eastAsia" w:ascii="宋体" w:hAnsi="宋体" w:eastAsia="宋体" w:cs="宋体"/>
                <w:color w:val="auto"/>
                <w:sz w:val="24"/>
                <w:highlight w:val="none"/>
              </w:rPr>
              <w:t>显示分数+总结</w:t>
            </w:r>
            <w:r>
              <w:rPr>
                <w:rFonts w:hint="eastAsia" w:ascii="宋体" w:hAnsi="宋体" w:eastAsia="宋体" w:cs="宋体"/>
                <w:color w:val="auto"/>
                <w:sz w:val="24"/>
                <w:highlight w:val="none"/>
                <w:lang w:eastAsia="zh-Hans"/>
              </w:rPr>
              <w:t>或</w:t>
            </w:r>
            <w:r>
              <w:rPr>
                <w:rFonts w:hint="eastAsia" w:ascii="宋体" w:hAnsi="宋体" w:eastAsia="宋体" w:cs="宋体"/>
                <w:color w:val="auto"/>
                <w:sz w:val="24"/>
                <w:highlight w:val="none"/>
              </w:rPr>
              <w:t>仅显示分数等</w:t>
            </w:r>
            <w:r>
              <w:rPr>
                <w:rFonts w:hint="eastAsia" w:ascii="宋体" w:hAnsi="宋体" w:eastAsia="宋体" w:cs="宋体"/>
                <w:color w:val="auto"/>
                <w:sz w:val="24"/>
                <w:highlight w:val="none"/>
                <w:lang w:eastAsia="zh-Hans"/>
              </w:rPr>
              <w:t>。</w:t>
            </w:r>
          </w:p>
        </w:tc>
        <w:tc>
          <w:tcPr>
            <w:tcW w:w="981" w:type="dxa"/>
            <w:tcBorders>
              <w:top w:val="single" w:color="auto" w:sz="4" w:space="0"/>
              <w:left w:val="single" w:color="auto" w:sz="4" w:space="0"/>
              <w:bottom w:val="single" w:color="auto" w:sz="4" w:space="0"/>
              <w:right w:val="single" w:color="auto" w:sz="4" w:space="0"/>
            </w:tcBorders>
            <w:noWrap/>
            <w:vAlign w:val="center"/>
          </w:tcPr>
          <w:p w14:paraId="7B763066">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6AEF4129">
            <w:pPr>
              <w:widowControl/>
              <w:jc w:val="center"/>
              <w:rPr>
                <w:rFonts w:hint="eastAsia" w:ascii="宋体" w:hAnsi="宋体" w:eastAsia="宋体" w:cs="宋体"/>
                <w:color w:val="auto"/>
                <w:sz w:val="24"/>
                <w:highlight w:val="none"/>
              </w:rPr>
            </w:pPr>
          </w:p>
        </w:tc>
      </w:tr>
      <w:tr w14:paraId="4DC77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4" w:type="dxa"/>
            <w:vMerge w:val="continue"/>
            <w:tcBorders>
              <w:left w:val="single" w:color="auto" w:sz="4" w:space="0"/>
              <w:right w:val="single" w:color="auto" w:sz="4" w:space="0"/>
            </w:tcBorders>
            <w:noWrap w:val="0"/>
            <w:vAlign w:val="center"/>
          </w:tcPr>
          <w:p w14:paraId="5954B732">
            <w:pPr>
              <w:jc w:val="center"/>
              <w:rPr>
                <w:rFonts w:hint="eastAsia" w:ascii="宋体" w:hAnsi="宋体" w:eastAsia="宋体" w:cs="宋体"/>
                <w:color w:val="auto"/>
                <w:sz w:val="24"/>
                <w:highlight w:val="none"/>
              </w:rPr>
            </w:pPr>
          </w:p>
        </w:tc>
        <w:tc>
          <w:tcPr>
            <w:tcW w:w="866" w:type="dxa"/>
            <w:vMerge w:val="continue"/>
            <w:tcBorders>
              <w:left w:val="single" w:color="auto" w:sz="4" w:space="0"/>
              <w:right w:val="single" w:color="auto" w:sz="4" w:space="0"/>
            </w:tcBorders>
            <w:noWrap w:val="0"/>
            <w:vAlign w:val="center"/>
          </w:tcPr>
          <w:p w14:paraId="733E5163">
            <w:pPr>
              <w:jc w:val="center"/>
              <w:rPr>
                <w:rFonts w:hint="eastAsia" w:ascii="宋体" w:hAnsi="宋体" w:eastAsia="宋体" w:cs="宋体"/>
                <w:color w:val="auto"/>
                <w:sz w:val="24"/>
                <w:highlight w:val="none"/>
              </w:rPr>
            </w:pPr>
          </w:p>
        </w:tc>
        <w:tc>
          <w:tcPr>
            <w:tcW w:w="6000" w:type="dxa"/>
            <w:tcBorders>
              <w:top w:val="single" w:color="auto" w:sz="4" w:space="0"/>
              <w:left w:val="single" w:color="auto" w:sz="4" w:space="0"/>
              <w:bottom w:val="single" w:color="auto" w:sz="4" w:space="0"/>
              <w:right w:val="single" w:color="auto" w:sz="4" w:space="0"/>
            </w:tcBorders>
            <w:noWrap w:val="0"/>
            <w:vAlign w:val="center"/>
          </w:tcPr>
          <w:p w14:paraId="2CAB7990">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【分析报告】</w:t>
            </w:r>
          </w:p>
          <w:p w14:paraId="7B4A5A7A">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1.支持巡课页面查看巡课视频，并展示课堂分析报告；分析报告至少包括教师出勤情况、教师异常行为（</w:t>
            </w:r>
            <w:r>
              <w:rPr>
                <w:rFonts w:hint="eastAsia" w:ascii="宋体" w:hAnsi="宋体" w:eastAsia="宋体" w:cs="宋体"/>
                <w:color w:val="auto"/>
                <w:sz w:val="24"/>
                <w:highlight w:val="none"/>
                <w:lang w:eastAsia="zh-Hans"/>
              </w:rPr>
              <w:t>看手机、拨打电话、吸烟行为</w:t>
            </w:r>
            <w:r>
              <w:rPr>
                <w:rFonts w:hint="eastAsia" w:ascii="宋体" w:hAnsi="宋体" w:eastAsia="宋体" w:cs="宋体"/>
                <w:color w:val="auto"/>
                <w:sz w:val="24"/>
                <w:highlight w:val="none"/>
              </w:rPr>
              <w:t>等）、教师教学姿态（</w:t>
            </w:r>
            <w:r>
              <w:rPr>
                <w:rFonts w:hint="eastAsia" w:ascii="宋体" w:hAnsi="宋体" w:eastAsia="宋体" w:cs="宋体"/>
                <w:color w:val="auto"/>
                <w:sz w:val="24"/>
                <w:highlight w:val="none"/>
                <w:lang w:eastAsia="zh-Hans"/>
              </w:rPr>
              <w:t>站立、走动、就坐行为</w:t>
            </w:r>
            <w:r>
              <w:rPr>
                <w:rFonts w:hint="eastAsia" w:ascii="宋体" w:hAnsi="宋体" w:eastAsia="宋体" w:cs="宋体"/>
                <w:color w:val="auto"/>
                <w:sz w:val="24"/>
                <w:highlight w:val="none"/>
              </w:rPr>
              <w:t>等</w:t>
            </w:r>
            <w:r>
              <w:rPr>
                <w:rFonts w:hint="eastAsia" w:ascii="宋体" w:hAnsi="宋体" w:eastAsia="宋体" w:cs="宋体"/>
                <w:color w:val="auto"/>
                <w:sz w:val="24"/>
                <w:highlight w:val="none"/>
                <w:lang w:eastAsia="zh-Hans"/>
              </w:rPr>
              <w:t>，并且可以统计</w:t>
            </w:r>
            <w:r>
              <w:rPr>
                <w:rFonts w:hint="eastAsia" w:ascii="宋体" w:hAnsi="宋体" w:eastAsia="宋体" w:cs="宋体"/>
                <w:color w:val="auto"/>
                <w:sz w:val="24"/>
                <w:highlight w:val="none"/>
              </w:rPr>
              <w:t>相应</w:t>
            </w:r>
            <w:r>
              <w:rPr>
                <w:rFonts w:hint="eastAsia" w:ascii="宋体" w:hAnsi="宋体" w:eastAsia="宋体" w:cs="宋体"/>
                <w:color w:val="auto"/>
                <w:sz w:val="24"/>
                <w:highlight w:val="none"/>
                <w:lang w:eastAsia="zh-Hans"/>
              </w:rPr>
              <w:t>时长</w:t>
            </w:r>
            <w:r>
              <w:rPr>
                <w:rFonts w:hint="eastAsia" w:ascii="宋体" w:hAnsi="宋体" w:eastAsia="宋体" w:cs="宋体"/>
                <w:color w:val="auto"/>
                <w:sz w:val="24"/>
                <w:highlight w:val="none"/>
              </w:rPr>
              <w:t>）、教师在课堂中</w:t>
            </w:r>
            <w:r>
              <w:rPr>
                <w:rFonts w:hint="eastAsia" w:ascii="宋体" w:hAnsi="宋体" w:eastAsia="宋体" w:cs="宋体"/>
                <w:color w:val="auto"/>
                <w:sz w:val="24"/>
                <w:highlight w:val="none"/>
                <w:lang w:eastAsia="zh-Hans"/>
              </w:rPr>
              <w:t>的巡堂轨迹</w:t>
            </w:r>
            <w:r>
              <w:rPr>
                <w:rFonts w:hint="eastAsia" w:ascii="宋体" w:hAnsi="宋体" w:eastAsia="宋体" w:cs="宋体"/>
                <w:color w:val="auto"/>
                <w:sz w:val="24"/>
                <w:highlight w:val="none"/>
              </w:rPr>
              <w:t>、教师对课堂管理的情况、教学互动分析、课堂板书情况等。</w:t>
            </w:r>
          </w:p>
          <w:p w14:paraId="242DC53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2.支持展示教师授课过程中出现敏感词数量及提及次数，并可展示对应时间点及语音转写的内容。</w:t>
            </w:r>
          </w:p>
          <w:p w14:paraId="3F0872EB">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3.课程目标和重难点管理，支持分析本节课程的目标，根据教师语音转写，总结教师本节课的课程目标内容及对应时间点等；支持总结本节课程教师讲授的重难点知识，根据时间点展示重难点内容。</w:t>
            </w:r>
          </w:p>
        </w:tc>
        <w:tc>
          <w:tcPr>
            <w:tcW w:w="981" w:type="dxa"/>
            <w:tcBorders>
              <w:top w:val="single" w:color="auto" w:sz="4" w:space="0"/>
              <w:left w:val="single" w:color="auto" w:sz="4" w:space="0"/>
              <w:bottom w:val="single" w:color="auto" w:sz="4" w:space="0"/>
              <w:right w:val="single" w:color="auto" w:sz="4" w:space="0"/>
            </w:tcBorders>
            <w:noWrap/>
            <w:vAlign w:val="center"/>
          </w:tcPr>
          <w:p w14:paraId="0B88E037">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45E97EC0">
            <w:pPr>
              <w:widowControl/>
              <w:jc w:val="center"/>
              <w:rPr>
                <w:rFonts w:hint="eastAsia" w:ascii="宋体" w:hAnsi="宋体" w:eastAsia="宋体" w:cs="宋体"/>
                <w:color w:val="auto"/>
                <w:sz w:val="24"/>
                <w:highlight w:val="none"/>
              </w:rPr>
            </w:pPr>
          </w:p>
        </w:tc>
      </w:tr>
      <w:tr w14:paraId="64A72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4" w:type="dxa"/>
            <w:vMerge w:val="continue"/>
            <w:tcBorders>
              <w:left w:val="single" w:color="auto" w:sz="4" w:space="0"/>
              <w:right w:val="single" w:color="auto" w:sz="4" w:space="0"/>
            </w:tcBorders>
            <w:noWrap w:val="0"/>
            <w:vAlign w:val="center"/>
          </w:tcPr>
          <w:p w14:paraId="0E48DDE9">
            <w:pPr>
              <w:jc w:val="center"/>
              <w:rPr>
                <w:rFonts w:hint="eastAsia" w:ascii="宋体" w:hAnsi="宋体" w:eastAsia="宋体" w:cs="宋体"/>
                <w:color w:val="auto"/>
                <w:sz w:val="24"/>
                <w:highlight w:val="none"/>
              </w:rPr>
            </w:pPr>
          </w:p>
        </w:tc>
        <w:tc>
          <w:tcPr>
            <w:tcW w:w="866" w:type="dxa"/>
            <w:vMerge w:val="continue"/>
            <w:tcBorders>
              <w:left w:val="single" w:color="auto" w:sz="4" w:space="0"/>
              <w:right w:val="single" w:color="auto" w:sz="4" w:space="0"/>
            </w:tcBorders>
            <w:noWrap w:val="0"/>
            <w:vAlign w:val="center"/>
          </w:tcPr>
          <w:p w14:paraId="49CA7DA8">
            <w:pPr>
              <w:jc w:val="center"/>
              <w:rPr>
                <w:rFonts w:hint="eastAsia" w:ascii="宋体" w:hAnsi="宋体" w:eastAsia="宋体" w:cs="宋体"/>
                <w:color w:val="auto"/>
                <w:sz w:val="24"/>
                <w:highlight w:val="none"/>
              </w:rPr>
            </w:pPr>
          </w:p>
        </w:tc>
        <w:tc>
          <w:tcPr>
            <w:tcW w:w="6000" w:type="dxa"/>
            <w:tcBorders>
              <w:top w:val="single" w:color="auto" w:sz="4" w:space="0"/>
              <w:left w:val="single" w:color="auto" w:sz="4" w:space="0"/>
              <w:bottom w:val="single" w:color="auto" w:sz="4" w:space="0"/>
              <w:right w:val="single" w:color="auto" w:sz="4" w:space="0"/>
            </w:tcBorders>
            <w:noWrap w:val="0"/>
            <w:vAlign w:val="center"/>
          </w:tcPr>
          <w:p w14:paraId="0296897C">
            <w:pPr>
              <w:widowControl/>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4.所投产品支持根据课堂分析内容得出总分，并生成AI评语</w:t>
            </w:r>
            <w:r>
              <w:rPr>
                <w:rFonts w:hint="eastAsia" w:ascii="宋体" w:hAnsi="宋体" w:eastAsia="宋体" w:cs="宋体"/>
                <w:color w:val="auto"/>
                <w:sz w:val="24"/>
                <w:highlight w:val="none"/>
                <w:lang w:eastAsia="zh-Hans"/>
              </w:rPr>
              <w:t>，评语包括优势点、不足点以及基于课堂分析情况提供建议</w:t>
            </w:r>
            <w:r>
              <w:rPr>
                <w:rFonts w:hint="eastAsia" w:ascii="宋体" w:hAnsi="宋体" w:eastAsia="宋体" w:cs="宋体"/>
                <w:color w:val="auto"/>
                <w:sz w:val="24"/>
                <w:highlight w:val="none"/>
              </w:rPr>
              <w:t>等。</w:t>
            </w:r>
            <w:r>
              <w:rPr>
                <w:rFonts w:hint="eastAsia" w:ascii="宋体" w:hAnsi="宋体" w:eastAsia="宋体" w:cs="宋体"/>
                <w:b/>
                <w:bCs/>
                <w:color w:val="auto"/>
                <w:sz w:val="24"/>
                <w:highlight w:val="none"/>
              </w:rPr>
              <w:t>（提供系统功能截图加盖投标人公章）</w:t>
            </w:r>
          </w:p>
        </w:tc>
        <w:tc>
          <w:tcPr>
            <w:tcW w:w="981" w:type="dxa"/>
            <w:tcBorders>
              <w:top w:val="single" w:color="auto" w:sz="4" w:space="0"/>
              <w:left w:val="single" w:color="auto" w:sz="4" w:space="0"/>
              <w:bottom w:val="single" w:color="auto" w:sz="4" w:space="0"/>
              <w:right w:val="single" w:color="auto" w:sz="4" w:space="0"/>
            </w:tcBorders>
            <w:noWrap/>
            <w:vAlign w:val="center"/>
          </w:tcPr>
          <w:p w14:paraId="085948D6">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6F2973C1">
            <w:pPr>
              <w:widowControl/>
              <w:jc w:val="center"/>
              <w:rPr>
                <w:rFonts w:hint="eastAsia" w:ascii="宋体" w:hAnsi="宋体" w:eastAsia="宋体" w:cs="宋体"/>
                <w:color w:val="auto"/>
                <w:sz w:val="24"/>
                <w:highlight w:val="none"/>
              </w:rPr>
            </w:pPr>
          </w:p>
        </w:tc>
      </w:tr>
      <w:tr w14:paraId="6717D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4" w:type="dxa"/>
            <w:vMerge w:val="continue"/>
            <w:tcBorders>
              <w:left w:val="single" w:color="auto" w:sz="4" w:space="0"/>
              <w:right w:val="single" w:color="auto" w:sz="4" w:space="0"/>
            </w:tcBorders>
            <w:noWrap w:val="0"/>
            <w:vAlign w:val="center"/>
          </w:tcPr>
          <w:p w14:paraId="2E8224C1">
            <w:pPr>
              <w:jc w:val="center"/>
              <w:rPr>
                <w:rFonts w:hint="eastAsia" w:ascii="宋体" w:hAnsi="宋体" w:eastAsia="宋体" w:cs="宋体"/>
                <w:color w:val="auto"/>
                <w:sz w:val="24"/>
                <w:highlight w:val="none"/>
              </w:rPr>
            </w:pPr>
          </w:p>
        </w:tc>
        <w:tc>
          <w:tcPr>
            <w:tcW w:w="866" w:type="dxa"/>
            <w:vMerge w:val="continue"/>
            <w:tcBorders>
              <w:left w:val="single" w:color="auto" w:sz="4" w:space="0"/>
              <w:right w:val="single" w:color="auto" w:sz="4" w:space="0"/>
            </w:tcBorders>
            <w:noWrap w:val="0"/>
            <w:vAlign w:val="center"/>
          </w:tcPr>
          <w:p w14:paraId="68E3375B">
            <w:pPr>
              <w:jc w:val="center"/>
              <w:rPr>
                <w:rFonts w:hint="eastAsia" w:ascii="宋体" w:hAnsi="宋体" w:eastAsia="宋体" w:cs="宋体"/>
                <w:color w:val="auto"/>
                <w:sz w:val="24"/>
                <w:highlight w:val="none"/>
              </w:rPr>
            </w:pPr>
          </w:p>
        </w:tc>
        <w:tc>
          <w:tcPr>
            <w:tcW w:w="6000" w:type="dxa"/>
            <w:tcBorders>
              <w:top w:val="single" w:color="auto" w:sz="4" w:space="0"/>
              <w:left w:val="single" w:color="auto" w:sz="4" w:space="0"/>
              <w:bottom w:val="single" w:color="auto" w:sz="4" w:space="0"/>
              <w:right w:val="single" w:color="auto" w:sz="4" w:space="0"/>
            </w:tcBorders>
            <w:noWrap w:val="0"/>
            <w:vAlign w:val="center"/>
          </w:tcPr>
          <w:p w14:paraId="3582F169">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【课堂监测】</w:t>
            </w:r>
          </w:p>
          <w:p w14:paraId="405D4C1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1.支持自定义设置监测值范围，监测状态维度≥4个；设置后可自动筛查出符合监测值的课堂记录与分析报告。</w:t>
            </w:r>
          </w:p>
          <w:p w14:paraId="4D49AF94">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支持选择日期范围查询异常课堂，或选择开课学院、搜索课程名称与教师名等查询异常课堂；异常课堂展示课堂信息、异常类型、AI评分等；异常类型可选择≥4种，并且可以针对异常课堂的存储视频进行集中处理。</w:t>
            </w:r>
          </w:p>
          <w:p w14:paraId="60D05FC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3.支持选择日期范围查询示范课堂，或选择开课学院、搜索课程名称与教师名等查询异常示范课堂；示范课堂展示课堂信息、异常类型、AI评分等。</w:t>
            </w:r>
          </w:p>
        </w:tc>
        <w:tc>
          <w:tcPr>
            <w:tcW w:w="981" w:type="dxa"/>
            <w:tcBorders>
              <w:top w:val="single" w:color="auto" w:sz="4" w:space="0"/>
              <w:left w:val="single" w:color="auto" w:sz="4" w:space="0"/>
              <w:bottom w:val="single" w:color="auto" w:sz="4" w:space="0"/>
              <w:right w:val="single" w:color="auto" w:sz="4" w:space="0"/>
            </w:tcBorders>
            <w:noWrap/>
            <w:vAlign w:val="center"/>
          </w:tcPr>
          <w:p w14:paraId="6ED32A0B">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37AF479C">
            <w:pPr>
              <w:widowControl/>
              <w:jc w:val="center"/>
              <w:rPr>
                <w:rFonts w:hint="eastAsia" w:ascii="宋体" w:hAnsi="宋体" w:eastAsia="宋体" w:cs="宋体"/>
                <w:color w:val="auto"/>
                <w:sz w:val="24"/>
                <w:highlight w:val="none"/>
              </w:rPr>
            </w:pPr>
          </w:p>
        </w:tc>
      </w:tr>
      <w:tr w14:paraId="5C312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4" w:type="dxa"/>
            <w:vMerge w:val="continue"/>
            <w:tcBorders>
              <w:left w:val="single" w:color="auto" w:sz="4" w:space="0"/>
              <w:right w:val="single" w:color="auto" w:sz="4" w:space="0"/>
            </w:tcBorders>
            <w:noWrap w:val="0"/>
            <w:vAlign w:val="center"/>
          </w:tcPr>
          <w:p w14:paraId="38A13F4B">
            <w:pPr>
              <w:jc w:val="center"/>
              <w:rPr>
                <w:rFonts w:hint="eastAsia" w:ascii="宋体" w:hAnsi="宋体" w:eastAsia="宋体" w:cs="宋体"/>
                <w:color w:val="auto"/>
                <w:sz w:val="24"/>
                <w:highlight w:val="none"/>
              </w:rPr>
            </w:pPr>
          </w:p>
        </w:tc>
        <w:tc>
          <w:tcPr>
            <w:tcW w:w="866" w:type="dxa"/>
            <w:vMerge w:val="continue"/>
            <w:tcBorders>
              <w:left w:val="single" w:color="auto" w:sz="4" w:space="0"/>
              <w:right w:val="single" w:color="auto" w:sz="4" w:space="0"/>
            </w:tcBorders>
            <w:noWrap w:val="0"/>
            <w:vAlign w:val="center"/>
          </w:tcPr>
          <w:p w14:paraId="3B8039DE">
            <w:pPr>
              <w:jc w:val="center"/>
              <w:rPr>
                <w:rFonts w:hint="eastAsia" w:ascii="宋体" w:hAnsi="宋体" w:eastAsia="宋体" w:cs="宋体"/>
                <w:color w:val="auto"/>
                <w:sz w:val="24"/>
                <w:highlight w:val="none"/>
              </w:rPr>
            </w:pPr>
          </w:p>
        </w:tc>
        <w:tc>
          <w:tcPr>
            <w:tcW w:w="6000" w:type="dxa"/>
            <w:tcBorders>
              <w:top w:val="single" w:color="auto" w:sz="4" w:space="0"/>
              <w:left w:val="single" w:color="auto" w:sz="4" w:space="0"/>
              <w:bottom w:val="single" w:color="auto" w:sz="4" w:space="0"/>
              <w:right w:val="single" w:color="auto" w:sz="4" w:space="0"/>
            </w:tcBorders>
            <w:noWrap w:val="0"/>
            <w:vAlign w:val="center"/>
          </w:tcPr>
          <w:p w14:paraId="590F00C0">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【学情分析】</w:t>
            </w:r>
          </w:p>
          <w:p w14:paraId="45A47C59">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1.展示本节课程的</w:t>
            </w:r>
            <w:r>
              <w:rPr>
                <w:rFonts w:hint="eastAsia" w:ascii="宋体" w:hAnsi="宋体" w:eastAsia="宋体" w:cs="宋体"/>
                <w:color w:val="auto"/>
                <w:sz w:val="24"/>
                <w:highlight w:val="none"/>
                <w:lang w:eastAsia="zh-Hans"/>
              </w:rPr>
              <w:t>整体学习参与度</w:t>
            </w:r>
            <w:r>
              <w:rPr>
                <w:rFonts w:hint="eastAsia" w:ascii="宋体" w:hAnsi="宋体" w:eastAsia="宋体" w:cs="宋体"/>
                <w:color w:val="auto"/>
                <w:sz w:val="24"/>
                <w:highlight w:val="none"/>
              </w:rPr>
              <w:t>率，</w:t>
            </w:r>
            <w:r>
              <w:rPr>
                <w:rFonts w:hint="eastAsia" w:ascii="宋体" w:hAnsi="宋体" w:eastAsia="宋体" w:cs="宋体"/>
                <w:color w:val="auto"/>
                <w:sz w:val="24"/>
                <w:highlight w:val="none"/>
                <w:lang w:eastAsia="zh-Hans"/>
              </w:rPr>
              <w:t>支持展示基础参与度、有效参与度、深度参与度</w:t>
            </w:r>
            <w:r>
              <w:rPr>
                <w:rFonts w:hint="eastAsia" w:ascii="宋体" w:hAnsi="宋体" w:eastAsia="宋体" w:cs="宋体"/>
                <w:color w:val="auto"/>
                <w:sz w:val="24"/>
                <w:highlight w:val="none"/>
              </w:rPr>
              <w:t>等</w:t>
            </w:r>
            <w:r>
              <w:rPr>
                <w:rFonts w:hint="eastAsia" w:ascii="宋体" w:hAnsi="宋体" w:eastAsia="宋体" w:cs="宋体"/>
                <w:color w:val="auto"/>
                <w:sz w:val="24"/>
                <w:highlight w:val="none"/>
                <w:lang w:eastAsia="zh-Hans"/>
              </w:rPr>
              <w:t>，</w:t>
            </w:r>
            <w:r>
              <w:rPr>
                <w:rFonts w:hint="eastAsia" w:ascii="宋体" w:hAnsi="宋体" w:eastAsia="宋体" w:cs="宋体"/>
                <w:color w:val="auto"/>
                <w:sz w:val="24"/>
                <w:highlight w:val="none"/>
              </w:rPr>
              <w:t>并可通过曲线图查看每个时间段的学生</w:t>
            </w:r>
            <w:r>
              <w:rPr>
                <w:rFonts w:hint="eastAsia" w:ascii="宋体" w:hAnsi="宋体" w:eastAsia="宋体" w:cs="宋体"/>
                <w:color w:val="auto"/>
                <w:sz w:val="24"/>
                <w:highlight w:val="none"/>
                <w:lang w:eastAsia="zh-Hans"/>
              </w:rPr>
              <w:t>参与度</w:t>
            </w:r>
            <w:r>
              <w:rPr>
                <w:rFonts w:hint="eastAsia" w:ascii="宋体" w:hAnsi="宋体" w:eastAsia="宋体" w:cs="宋体"/>
                <w:color w:val="auto"/>
                <w:sz w:val="24"/>
                <w:highlight w:val="none"/>
              </w:rPr>
              <w:t>情况，分析课堂</w:t>
            </w:r>
            <w:r>
              <w:rPr>
                <w:rFonts w:hint="eastAsia" w:ascii="宋体" w:hAnsi="宋体" w:eastAsia="宋体" w:cs="宋体"/>
                <w:color w:val="auto"/>
                <w:sz w:val="24"/>
                <w:highlight w:val="none"/>
                <w:lang w:eastAsia="zh-Hans"/>
              </w:rPr>
              <w:t>学习参与</w:t>
            </w:r>
            <w:r>
              <w:rPr>
                <w:rFonts w:hint="eastAsia" w:ascii="宋体" w:hAnsi="宋体" w:eastAsia="宋体" w:cs="宋体"/>
                <w:color w:val="auto"/>
                <w:sz w:val="24"/>
                <w:highlight w:val="none"/>
              </w:rPr>
              <w:t>度。</w:t>
            </w:r>
          </w:p>
          <w:p w14:paraId="307C8194">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展示本节课程的应到人数、实到人数、缺勤人数、早退人数等，统计学生出勤率；展示本节课程的学生前排就坐率；展示本节课程的平均抬头率，并可通过曲线图查看每个时间段的学生抬头情况，分析课堂专注度。</w:t>
            </w:r>
          </w:p>
          <w:p w14:paraId="7182CDCA">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展示本节课程的学习金字塔，基于学习金字塔理论，识别学生的学习行为，包括听讲、阅读、视听、演示、讨论、实践以及教给他人等，支持展示学习行为时序图暂时对应行为课堂时序情况以及各行为持续时长。</w:t>
            </w:r>
          </w:p>
          <w:p w14:paraId="271E1139">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eastAsia="zh-Hans"/>
              </w:rPr>
              <w:t>.所投产品支持展示学生在课堂中的行为识别，包括但不限于抬头、低头、回头、举手、书写以及站立</w:t>
            </w:r>
            <w:r>
              <w:rPr>
                <w:rFonts w:hint="eastAsia" w:ascii="宋体" w:hAnsi="宋体" w:eastAsia="宋体" w:cs="宋体"/>
                <w:color w:val="auto"/>
                <w:sz w:val="24"/>
                <w:highlight w:val="none"/>
              </w:rPr>
              <w:t>等</w:t>
            </w:r>
            <w:r>
              <w:rPr>
                <w:rFonts w:hint="eastAsia" w:ascii="宋体" w:hAnsi="宋体" w:eastAsia="宋体" w:cs="宋体"/>
                <w:color w:val="auto"/>
                <w:sz w:val="24"/>
                <w:highlight w:val="none"/>
                <w:lang w:eastAsia="zh-Hans"/>
              </w:rPr>
              <w:t>，并且可以统计行为出现的次数，并可通过曲线图查看每个时间段的学生行为分布情况。</w:t>
            </w:r>
          </w:p>
        </w:tc>
        <w:tc>
          <w:tcPr>
            <w:tcW w:w="981" w:type="dxa"/>
            <w:tcBorders>
              <w:top w:val="single" w:color="auto" w:sz="4" w:space="0"/>
              <w:left w:val="single" w:color="auto" w:sz="4" w:space="0"/>
              <w:bottom w:val="single" w:color="auto" w:sz="4" w:space="0"/>
              <w:right w:val="single" w:color="auto" w:sz="4" w:space="0"/>
            </w:tcBorders>
            <w:noWrap/>
            <w:vAlign w:val="center"/>
          </w:tcPr>
          <w:p w14:paraId="0445DDB0">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171B0305">
            <w:pPr>
              <w:widowControl/>
              <w:jc w:val="center"/>
              <w:rPr>
                <w:rFonts w:hint="eastAsia" w:ascii="宋体" w:hAnsi="宋体" w:eastAsia="宋体" w:cs="宋体"/>
                <w:color w:val="auto"/>
                <w:sz w:val="24"/>
                <w:highlight w:val="none"/>
              </w:rPr>
            </w:pPr>
          </w:p>
        </w:tc>
      </w:tr>
      <w:tr w14:paraId="55F0F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4" w:type="dxa"/>
            <w:vMerge w:val="continue"/>
            <w:tcBorders>
              <w:left w:val="single" w:color="auto" w:sz="4" w:space="0"/>
              <w:right w:val="single" w:color="auto" w:sz="4" w:space="0"/>
            </w:tcBorders>
            <w:noWrap w:val="0"/>
            <w:vAlign w:val="center"/>
          </w:tcPr>
          <w:p w14:paraId="53AB7405">
            <w:pPr>
              <w:jc w:val="center"/>
              <w:rPr>
                <w:rFonts w:hint="eastAsia" w:ascii="宋体" w:hAnsi="宋体" w:eastAsia="宋体" w:cs="宋体"/>
                <w:color w:val="auto"/>
                <w:sz w:val="24"/>
                <w:highlight w:val="none"/>
              </w:rPr>
            </w:pPr>
          </w:p>
        </w:tc>
        <w:tc>
          <w:tcPr>
            <w:tcW w:w="866" w:type="dxa"/>
            <w:vMerge w:val="continue"/>
            <w:tcBorders>
              <w:left w:val="single" w:color="auto" w:sz="4" w:space="0"/>
              <w:right w:val="single" w:color="auto" w:sz="4" w:space="0"/>
            </w:tcBorders>
            <w:noWrap w:val="0"/>
            <w:vAlign w:val="center"/>
          </w:tcPr>
          <w:p w14:paraId="673E7A92">
            <w:pPr>
              <w:jc w:val="center"/>
              <w:rPr>
                <w:rFonts w:hint="eastAsia" w:ascii="宋体" w:hAnsi="宋体" w:eastAsia="宋体" w:cs="宋体"/>
                <w:color w:val="auto"/>
                <w:sz w:val="24"/>
                <w:highlight w:val="none"/>
              </w:rPr>
            </w:pPr>
          </w:p>
        </w:tc>
        <w:tc>
          <w:tcPr>
            <w:tcW w:w="6000" w:type="dxa"/>
            <w:tcBorders>
              <w:top w:val="single" w:color="auto" w:sz="4" w:space="0"/>
              <w:left w:val="single" w:color="auto" w:sz="4" w:space="0"/>
              <w:bottom w:val="single" w:color="auto" w:sz="4" w:space="0"/>
              <w:right w:val="single" w:color="auto" w:sz="4" w:space="0"/>
            </w:tcBorders>
            <w:noWrap w:val="0"/>
            <w:vAlign w:val="center"/>
          </w:tcPr>
          <w:p w14:paraId="79020C70">
            <w:pPr>
              <w:widowControl/>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eastAsia="zh-Hans"/>
              </w:rPr>
              <w:t>▲</w:t>
            </w:r>
            <w:r>
              <w:rPr>
                <w:rFonts w:hint="eastAsia" w:ascii="宋体" w:hAnsi="宋体" w:eastAsia="宋体" w:cs="宋体"/>
                <w:color w:val="auto"/>
                <w:sz w:val="24"/>
                <w:highlight w:val="none"/>
                <w:lang w:eastAsia="zh-Hans"/>
              </w:rPr>
              <w:t>5.展示学生在课堂中的异常行为识别，包括但不限于看手机、睡觉、交头接耳、吃东西、随意走动、吸烟行为</w:t>
            </w:r>
            <w:r>
              <w:rPr>
                <w:rFonts w:hint="eastAsia" w:ascii="宋体" w:hAnsi="宋体" w:eastAsia="宋体" w:cs="宋体"/>
                <w:color w:val="auto"/>
                <w:sz w:val="24"/>
                <w:highlight w:val="none"/>
              </w:rPr>
              <w:t>等</w:t>
            </w:r>
            <w:r>
              <w:rPr>
                <w:rFonts w:hint="eastAsia" w:ascii="宋体" w:hAnsi="宋体" w:eastAsia="宋体" w:cs="宋体"/>
                <w:color w:val="auto"/>
                <w:sz w:val="24"/>
                <w:highlight w:val="none"/>
                <w:lang w:eastAsia="zh-Hans"/>
              </w:rPr>
              <w:t>，并且可以统计行为出现的次数，支持查看对应学生出现异常行为的图片。</w:t>
            </w:r>
            <w:r>
              <w:rPr>
                <w:rFonts w:hint="eastAsia" w:ascii="宋体" w:hAnsi="宋体" w:eastAsia="宋体" w:cs="宋体"/>
                <w:b/>
                <w:bCs/>
                <w:color w:val="auto"/>
                <w:sz w:val="24"/>
                <w:highlight w:val="none"/>
                <w:lang w:eastAsia="zh-Hans"/>
              </w:rPr>
              <w:t>（提供系统</w:t>
            </w:r>
            <w:r>
              <w:rPr>
                <w:rFonts w:hint="eastAsia" w:ascii="宋体" w:hAnsi="宋体" w:eastAsia="宋体" w:cs="宋体"/>
                <w:b/>
                <w:bCs/>
                <w:color w:val="auto"/>
                <w:sz w:val="24"/>
                <w:highlight w:val="none"/>
              </w:rPr>
              <w:t>功能</w:t>
            </w:r>
            <w:r>
              <w:rPr>
                <w:rFonts w:hint="eastAsia" w:ascii="宋体" w:hAnsi="宋体" w:eastAsia="宋体" w:cs="宋体"/>
                <w:b/>
                <w:bCs/>
                <w:color w:val="auto"/>
                <w:sz w:val="24"/>
                <w:highlight w:val="none"/>
                <w:lang w:eastAsia="zh-Hans"/>
              </w:rPr>
              <w:t>截图加盖投标人公章）</w:t>
            </w:r>
          </w:p>
        </w:tc>
        <w:tc>
          <w:tcPr>
            <w:tcW w:w="981" w:type="dxa"/>
            <w:tcBorders>
              <w:top w:val="single" w:color="auto" w:sz="4" w:space="0"/>
              <w:left w:val="single" w:color="auto" w:sz="4" w:space="0"/>
              <w:bottom w:val="single" w:color="auto" w:sz="4" w:space="0"/>
              <w:right w:val="single" w:color="auto" w:sz="4" w:space="0"/>
            </w:tcBorders>
            <w:noWrap/>
            <w:vAlign w:val="center"/>
          </w:tcPr>
          <w:p w14:paraId="55BFD3C5">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775CE0BA">
            <w:pPr>
              <w:widowControl/>
              <w:jc w:val="center"/>
              <w:rPr>
                <w:rFonts w:hint="eastAsia" w:ascii="宋体" w:hAnsi="宋体" w:eastAsia="宋体" w:cs="宋体"/>
                <w:color w:val="auto"/>
                <w:sz w:val="24"/>
                <w:highlight w:val="none"/>
              </w:rPr>
            </w:pPr>
          </w:p>
        </w:tc>
      </w:tr>
      <w:tr w14:paraId="0B7A5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4" w:type="dxa"/>
            <w:vMerge w:val="continue"/>
            <w:tcBorders>
              <w:left w:val="single" w:color="auto" w:sz="4" w:space="0"/>
              <w:bottom w:val="single" w:color="auto" w:sz="4" w:space="0"/>
              <w:right w:val="single" w:color="auto" w:sz="4" w:space="0"/>
            </w:tcBorders>
            <w:noWrap w:val="0"/>
            <w:vAlign w:val="center"/>
          </w:tcPr>
          <w:p w14:paraId="29F409BE">
            <w:pPr>
              <w:widowControl/>
              <w:jc w:val="center"/>
              <w:rPr>
                <w:rFonts w:hint="eastAsia" w:ascii="宋体" w:hAnsi="宋体" w:eastAsia="宋体" w:cs="宋体"/>
                <w:color w:val="auto"/>
                <w:sz w:val="24"/>
                <w:highlight w:val="none"/>
              </w:rPr>
            </w:pPr>
          </w:p>
        </w:tc>
        <w:tc>
          <w:tcPr>
            <w:tcW w:w="866" w:type="dxa"/>
            <w:vMerge w:val="continue"/>
            <w:tcBorders>
              <w:left w:val="single" w:color="auto" w:sz="4" w:space="0"/>
              <w:bottom w:val="single" w:color="auto" w:sz="4" w:space="0"/>
              <w:right w:val="single" w:color="auto" w:sz="4" w:space="0"/>
            </w:tcBorders>
            <w:noWrap w:val="0"/>
            <w:vAlign w:val="center"/>
          </w:tcPr>
          <w:p w14:paraId="15D9247A">
            <w:pPr>
              <w:widowControl/>
              <w:jc w:val="center"/>
              <w:rPr>
                <w:rFonts w:hint="eastAsia" w:ascii="宋体" w:hAnsi="宋体" w:eastAsia="宋体" w:cs="宋体"/>
                <w:color w:val="auto"/>
                <w:sz w:val="24"/>
                <w:highlight w:val="none"/>
              </w:rPr>
            </w:pPr>
          </w:p>
        </w:tc>
        <w:tc>
          <w:tcPr>
            <w:tcW w:w="6000" w:type="dxa"/>
            <w:tcBorders>
              <w:top w:val="single" w:color="auto" w:sz="4" w:space="0"/>
              <w:left w:val="single" w:color="auto" w:sz="4" w:space="0"/>
              <w:bottom w:val="single" w:color="auto" w:sz="4" w:space="0"/>
              <w:right w:val="single" w:color="auto" w:sz="4" w:space="0"/>
            </w:tcBorders>
            <w:noWrap w:val="0"/>
            <w:vAlign w:val="center"/>
          </w:tcPr>
          <w:p w14:paraId="4AF983E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【其他功能】</w:t>
            </w:r>
          </w:p>
          <w:p w14:paraId="3AD5383C">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1.支持统计教室的实时人数；客户端页面中的教室状态包含上课中、考试中、借用中和空闲中等；使用中的教室显示课程信息。</w:t>
            </w:r>
          </w:p>
          <w:p w14:paraId="58BF4AC0">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2.支持显示每间教室当天各节课的使用情况，按照上课中、考试中、借用中、空闲中等状态进行分类显示。</w:t>
            </w:r>
          </w:p>
          <w:p w14:paraId="1BB8B974">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3.客户端页面展示二维码，支持用户在手机端扫码打开教室实时统计页面，手机端页面支持与学校应用对接。</w:t>
            </w:r>
          </w:p>
          <w:p w14:paraId="655B1ECF">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4.支持windows客户端、安卓客户端；支持在一体机、电视机、显示器终端上运行。</w:t>
            </w:r>
          </w:p>
          <w:p w14:paraId="7B6043B8">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5.数据安全要求：师生数据本地化存储，不出境；数据传输采用加密协议；支持数据脱敏和匿名化处理；设置数据保留期限，超期自动删除；支持学校自主导出和删除数据。</w:t>
            </w:r>
          </w:p>
        </w:tc>
        <w:tc>
          <w:tcPr>
            <w:tcW w:w="981" w:type="dxa"/>
            <w:tcBorders>
              <w:top w:val="single" w:color="auto" w:sz="4" w:space="0"/>
              <w:left w:val="single" w:color="auto" w:sz="4" w:space="0"/>
              <w:bottom w:val="single" w:color="auto" w:sz="4" w:space="0"/>
              <w:right w:val="single" w:color="auto" w:sz="4" w:space="0"/>
            </w:tcBorders>
            <w:noWrap/>
            <w:vAlign w:val="center"/>
          </w:tcPr>
          <w:p w14:paraId="6BCDE029">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500B4786">
            <w:pPr>
              <w:widowControl/>
              <w:jc w:val="center"/>
              <w:rPr>
                <w:rFonts w:hint="eastAsia" w:ascii="宋体" w:hAnsi="宋体" w:eastAsia="宋体" w:cs="宋体"/>
                <w:color w:val="auto"/>
                <w:sz w:val="24"/>
                <w:highlight w:val="none"/>
              </w:rPr>
            </w:pPr>
          </w:p>
        </w:tc>
      </w:tr>
      <w:tr w14:paraId="55FFC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797" w:type="dxa"/>
            <w:gridSpan w:val="5"/>
            <w:tcBorders>
              <w:top w:val="single" w:color="auto" w:sz="4" w:space="0"/>
              <w:left w:val="single" w:color="auto" w:sz="4" w:space="0"/>
              <w:bottom w:val="single" w:color="auto" w:sz="4" w:space="0"/>
              <w:right w:val="single" w:color="auto" w:sz="4" w:space="0"/>
            </w:tcBorders>
            <w:noWrap w:val="0"/>
            <w:vAlign w:val="center"/>
          </w:tcPr>
          <w:p w14:paraId="474C34B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六、系统集成、施工及辅材</w:t>
            </w:r>
          </w:p>
        </w:tc>
      </w:tr>
      <w:tr w14:paraId="0F52B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04" w:type="dxa"/>
            <w:tcBorders>
              <w:top w:val="single" w:color="auto" w:sz="4" w:space="0"/>
              <w:left w:val="single" w:color="auto" w:sz="4" w:space="0"/>
              <w:bottom w:val="single" w:color="auto" w:sz="4" w:space="0"/>
              <w:right w:val="single" w:color="auto" w:sz="4" w:space="0"/>
            </w:tcBorders>
            <w:noWrap w:val="0"/>
            <w:vAlign w:val="center"/>
          </w:tcPr>
          <w:p w14:paraId="2675AF92">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8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F439423">
            <w:pPr>
              <w:widowControl/>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系统集成对接服务</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0.5分</w:t>
            </w:r>
            <w:r>
              <w:rPr>
                <w:rFonts w:hint="eastAsia" w:ascii="宋体" w:hAnsi="宋体" w:eastAsia="宋体" w:cs="宋体"/>
                <w:color w:val="auto"/>
                <w:sz w:val="24"/>
                <w:highlight w:val="none"/>
                <w:lang w:eastAsia="zh-CN"/>
              </w:rPr>
              <w:t>）</w:t>
            </w:r>
          </w:p>
        </w:tc>
        <w:tc>
          <w:tcPr>
            <w:tcW w:w="60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44BB204">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教务数据对接调试：对接学校数据中台API接口（江苏金智教育数据中台1.3.7版本）获取录播主机、AI教学评价系统、教学质量管理平台、中控管理平台等系统中的相关功能所需的教务数据。</w:t>
            </w:r>
          </w:p>
          <w:p w14:paraId="1DF51401">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一卡通数据对接调试：对接一卡通系统（新开普一卡通），通过人脸认证服务API接口获取人脸识别身份鉴权所需一卡通数据。</w:t>
            </w:r>
          </w:p>
          <w:p w14:paraId="1BFD20E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人员信息数据对接调试：对接学校数据中台API接口（江苏金智教育数据中台1.3.7版本）获取人员信息数据。</w:t>
            </w:r>
          </w:p>
          <w:p w14:paraId="0D55643B">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单点登录对接调试：对接学校统一身份认证平台（江苏金智教育IDS7），满足系统单点登录需求。</w:t>
            </w:r>
          </w:p>
          <w:p w14:paraId="4A21AB59">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融合门户对接调试：系统相关功能集成进学校融合门户（江苏金智融合门户CASPv3.7.4.SP9），方便教师、学生在PC端及移动端使用。</w:t>
            </w:r>
          </w:p>
          <w:p w14:paraId="7F361C70">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智慧教室设备运行数据子类表”数据对接调试：通过数据接口提供职业院校数字基座高职数据标准及接口规范中表73“智慧教室设备运行数据子类表”中涉及的智慧教室教学设备运行情况基本数据，满足教育部职教基座数据上报要求。</w:t>
            </w:r>
          </w:p>
        </w:tc>
        <w:tc>
          <w:tcPr>
            <w:tcW w:w="98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A7284B">
            <w:pPr>
              <w:widowControl/>
              <w:jc w:val="center"/>
              <w:rPr>
                <w:rFonts w:hint="eastAsia" w:ascii="宋体" w:hAnsi="宋体" w:eastAsia="宋体" w:cs="宋体"/>
                <w:color w:val="auto"/>
                <w:sz w:val="24"/>
                <w:highlight w:val="none"/>
              </w:rPr>
            </w:pPr>
          </w:p>
        </w:tc>
        <w:tc>
          <w:tcPr>
            <w:tcW w:w="124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F417492">
            <w:pPr>
              <w:widowControl/>
              <w:jc w:val="center"/>
              <w:rPr>
                <w:rFonts w:hint="eastAsia" w:ascii="宋体" w:hAnsi="宋体" w:eastAsia="宋体" w:cs="宋体"/>
                <w:color w:val="auto"/>
                <w:sz w:val="24"/>
                <w:highlight w:val="none"/>
              </w:rPr>
            </w:pPr>
          </w:p>
        </w:tc>
      </w:tr>
    </w:tbl>
    <w:p w14:paraId="2FB65BF6">
      <w:pPr>
        <w:spacing w:line="480" w:lineRule="exact"/>
        <w:jc w:val="both"/>
        <w:rPr>
          <w:rFonts w:hint="eastAsia" w:ascii="宋体" w:hAnsi="宋体" w:cs="宋体"/>
          <w:b/>
          <w:color w:val="auto"/>
          <w:sz w:val="28"/>
          <w:szCs w:val="28"/>
          <w:highlight w:val="none"/>
        </w:rPr>
      </w:pPr>
    </w:p>
    <w:p w14:paraId="4B3E1309">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附件4-1  证明材料1，证明材料2，……</w:t>
      </w:r>
    </w:p>
    <w:p w14:paraId="233CEA4E">
      <w:pPr>
        <w:spacing w:line="480" w:lineRule="exact"/>
        <w:rPr>
          <w:rFonts w:hint="eastAsia" w:ascii="宋体" w:hAnsi="宋体" w:cs="宋体"/>
          <w:color w:val="auto"/>
          <w:sz w:val="28"/>
          <w:szCs w:val="28"/>
          <w:highlight w:val="none"/>
        </w:rPr>
      </w:pPr>
    </w:p>
    <w:p w14:paraId="06590B28">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备注：</w:t>
      </w:r>
    </w:p>
    <w:p w14:paraId="318E9AA5">
      <w:pPr>
        <w:spacing w:line="480" w:lineRule="exact"/>
        <w:outlineLvl w:val="2"/>
        <w:rPr>
          <w:rFonts w:hint="eastAsia" w:ascii="宋体" w:hAnsi="宋体" w:cs="宋体"/>
          <w:color w:val="auto"/>
          <w:sz w:val="28"/>
          <w:szCs w:val="28"/>
          <w:highlight w:val="none"/>
        </w:rPr>
      </w:pPr>
      <w:r>
        <w:rPr>
          <w:rFonts w:hint="eastAsia" w:ascii="宋体" w:hAnsi="宋体" w:cs="宋体"/>
          <w:color w:val="auto"/>
          <w:sz w:val="28"/>
          <w:szCs w:val="28"/>
          <w:highlight w:val="none"/>
        </w:rPr>
        <w:t>1.投标人需对技术要求逐条做出明确响应。</w:t>
      </w:r>
    </w:p>
    <w:p w14:paraId="55F74D4C">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2.如果招标文件要求提供证明材料，投标人需将证明材料列于该表之下。</w:t>
      </w:r>
    </w:p>
    <w:p w14:paraId="68D43EB8">
      <w:pPr>
        <w:spacing w:line="480" w:lineRule="exact"/>
        <w:rPr>
          <w:rFonts w:hint="eastAsia" w:ascii="宋体" w:hAnsi="宋体" w:cs="宋体"/>
          <w:color w:val="auto"/>
          <w:sz w:val="28"/>
          <w:szCs w:val="28"/>
          <w:highlight w:val="none"/>
        </w:rPr>
      </w:pPr>
    </w:p>
    <w:p w14:paraId="02E22EC2">
      <w:pPr>
        <w:spacing w:line="480" w:lineRule="exact"/>
        <w:outlineLvl w:val="3"/>
        <w:rPr>
          <w:rFonts w:hint="eastAsia" w:ascii="宋体" w:hAnsi="宋体" w:cs="宋体"/>
          <w:b/>
          <w:color w:val="auto"/>
          <w:sz w:val="28"/>
          <w:szCs w:val="28"/>
          <w:highlight w:val="none"/>
        </w:rPr>
        <w:sectPr>
          <w:pgSz w:w="11907" w:h="16839"/>
          <w:pgMar w:top="1440" w:right="1800" w:bottom="1440" w:left="1800" w:header="720" w:footer="720" w:gutter="0"/>
          <w:cols w:space="720" w:num="1"/>
          <w:docGrid w:linePitch="360" w:charSpace="0"/>
        </w:sectPr>
      </w:pPr>
    </w:p>
    <w:p w14:paraId="41378067">
      <w:pPr>
        <w:spacing w:line="480" w:lineRule="exact"/>
        <w:outlineLvl w:val="3"/>
        <w:rPr>
          <w:rFonts w:hint="eastAsia" w:ascii="宋体" w:hAnsi="宋体" w:cs="宋体"/>
          <w:b/>
          <w:color w:val="auto"/>
          <w:sz w:val="28"/>
          <w:szCs w:val="28"/>
          <w:highlight w:val="none"/>
        </w:rPr>
      </w:pPr>
      <w:r>
        <w:rPr>
          <w:rFonts w:hint="eastAsia" w:ascii="宋体" w:hAnsi="宋体" w:cs="宋体"/>
          <w:b/>
          <w:color w:val="auto"/>
          <w:sz w:val="28"/>
          <w:szCs w:val="28"/>
          <w:highlight w:val="none"/>
        </w:rPr>
        <w:t>附件5</w:t>
      </w:r>
    </w:p>
    <w:p w14:paraId="0CE5A25D">
      <w:pPr>
        <w:spacing w:line="48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商务要求响应及偏离表</w:t>
      </w:r>
    </w:p>
    <w:tbl>
      <w:tblPr>
        <w:tblStyle w:val="49"/>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2999"/>
        <w:gridCol w:w="2320"/>
      </w:tblGrid>
      <w:tr w14:paraId="3E55F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375B7A22">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序号</w:t>
            </w:r>
          </w:p>
        </w:tc>
        <w:tc>
          <w:tcPr>
            <w:tcW w:w="3063" w:type="dxa"/>
            <w:noWrap w:val="0"/>
            <w:vAlign w:val="center"/>
          </w:tcPr>
          <w:p w14:paraId="0B884DC0">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商务要求</w:t>
            </w:r>
          </w:p>
        </w:tc>
        <w:tc>
          <w:tcPr>
            <w:tcW w:w="2999" w:type="dxa"/>
            <w:noWrap w:val="0"/>
            <w:vAlign w:val="center"/>
          </w:tcPr>
          <w:p w14:paraId="524FB3ED">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投标响应情况</w:t>
            </w:r>
          </w:p>
        </w:tc>
        <w:tc>
          <w:tcPr>
            <w:tcW w:w="2320" w:type="dxa"/>
            <w:noWrap w:val="0"/>
            <w:vAlign w:val="center"/>
          </w:tcPr>
          <w:p w14:paraId="0E6F5B3E">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超出、符合或偏离</w:t>
            </w:r>
          </w:p>
        </w:tc>
      </w:tr>
      <w:tr w14:paraId="480A7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30D4BE89">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1</w:t>
            </w:r>
          </w:p>
        </w:tc>
        <w:tc>
          <w:tcPr>
            <w:tcW w:w="3063" w:type="dxa"/>
            <w:noWrap w:val="0"/>
          </w:tcPr>
          <w:p w14:paraId="03AD41A6">
            <w:pPr>
              <w:spacing w:line="480" w:lineRule="exact"/>
              <w:jc w:val="center"/>
              <w:rPr>
                <w:rFonts w:hint="eastAsia" w:ascii="宋体" w:hAnsi="宋体" w:cs="宋体"/>
                <w:color w:val="auto"/>
                <w:sz w:val="28"/>
                <w:szCs w:val="28"/>
                <w:highlight w:val="none"/>
              </w:rPr>
            </w:pPr>
          </w:p>
        </w:tc>
        <w:tc>
          <w:tcPr>
            <w:tcW w:w="2999" w:type="dxa"/>
            <w:noWrap w:val="0"/>
          </w:tcPr>
          <w:p w14:paraId="73C02356">
            <w:pPr>
              <w:spacing w:line="480" w:lineRule="exact"/>
              <w:jc w:val="center"/>
              <w:rPr>
                <w:rFonts w:hint="eastAsia" w:ascii="宋体" w:hAnsi="宋体" w:cs="宋体"/>
                <w:color w:val="auto"/>
                <w:sz w:val="28"/>
                <w:szCs w:val="28"/>
                <w:highlight w:val="none"/>
              </w:rPr>
            </w:pPr>
          </w:p>
        </w:tc>
        <w:tc>
          <w:tcPr>
            <w:tcW w:w="2320" w:type="dxa"/>
            <w:noWrap w:val="0"/>
          </w:tcPr>
          <w:p w14:paraId="58BFDEE8">
            <w:pPr>
              <w:spacing w:line="480" w:lineRule="exact"/>
              <w:jc w:val="center"/>
              <w:rPr>
                <w:rFonts w:hint="eastAsia" w:ascii="宋体" w:hAnsi="宋体" w:cs="宋体"/>
                <w:color w:val="auto"/>
                <w:sz w:val="28"/>
                <w:szCs w:val="28"/>
                <w:highlight w:val="none"/>
              </w:rPr>
            </w:pPr>
          </w:p>
        </w:tc>
      </w:tr>
      <w:tr w14:paraId="1661E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7B6EAAA6">
            <w:pPr>
              <w:spacing w:line="480" w:lineRule="exact"/>
              <w:jc w:val="center"/>
              <w:rPr>
                <w:rFonts w:hint="eastAsia" w:ascii="宋体" w:hAnsi="宋体" w:cs="宋体"/>
                <w:color w:val="auto"/>
                <w:sz w:val="28"/>
                <w:szCs w:val="28"/>
                <w:highlight w:val="none"/>
              </w:rPr>
            </w:pPr>
          </w:p>
        </w:tc>
        <w:tc>
          <w:tcPr>
            <w:tcW w:w="3063" w:type="dxa"/>
            <w:noWrap w:val="0"/>
          </w:tcPr>
          <w:p w14:paraId="0B8F8B47">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w:t>
            </w:r>
          </w:p>
        </w:tc>
        <w:tc>
          <w:tcPr>
            <w:tcW w:w="2999" w:type="dxa"/>
            <w:noWrap w:val="0"/>
          </w:tcPr>
          <w:p w14:paraId="4D8C051E">
            <w:pPr>
              <w:spacing w:line="480" w:lineRule="exact"/>
              <w:jc w:val="center"/>
              <w:rPr>
                <w:rFonts w:hint="eastAsia" w:ascii="宋体" w:hAnsi="宋体" w:cs="宋体"/>
                <w:color w:val="auto"/>
                <w:sz w:val="28"/>
                <w:szCs w:val="28"/>
                <w:highlight w:val="none"/>
              </w:rPr>
            </w:pPr>
          </w:p>
        </w:tc>
        <w:tc>
          <w:tcPr>
            <w:tcW w:w="2320" w:type="dxa"/>
            <w:noWrap w:val="0"/>
          </w:tcPr>
          <w:p w14:paraId="2D1C3480">
            <w:pPr>
              <w:spacing w:line="480" w:lineRule="exact"/>
              <w:jc w:val="center"/>
              <w:rPr>
                <w:rFonts w:hint="eastAsia" w:ascii="宋体" w:hAnsi="宋体" w:cs="宋体"/>
                <w:color w:val="auto"/>
                <w:sz w:val="28"/>
                <w:szCs w:val="28"/>
                <w:highlight w:val="none"/>
              </w:rPr>
            </w:pPr>
          </w:p>
        </w:tc>
      </w:tr>
    </w:tbl>
    <w:p w14:paraId="740573E1">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附件5-1  证明材料1，证明材料2，……</w:t>
      </w:r>
    </w:p>
    <w:p w14:paraId="135F4EBA">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备注：</w:t>
      </w:r>
    </w:p>
    <w:p w14:paraId="2CA55CCE">
      <w:pPr>
        <w:spacing w:line="480" w:lineRule="exact"/>
        <w:outlineLvl w:val="2"/>
        <w:rPr>
          <w:rFonts w:hint="eastAsia" w:ascii="宋体" w:hAnsi="宋体" w:cs="宋体"/>
          <w:color w:val="auto"/>
          <w:sz w:val="28"/>
          <w:szCs w:val="28"/>
          <w:highlight w:val="none"/>
        </w:rPr>
      </w:pPr>
      <w:bookmarkStart w:id="175" w:name="_Toc12886"/>
      <w:r>
        <w:rPr>
          <w:rFonts w:hint="eastAsia" w:ascii="宋体" w:hAnsi="宋体" w:cs="宋体"/>
          <w:color w:val="auto"/>
          <w:sz w:val="28"/>
          <w:szCs w:val="28"/>
          <w:highlight w:val="none"/>
        </w:rPr>
        <w:t>1.投标人需对商务要求逐条做出明确响应。</w:t>
      </w:r>
      <w:bookmarkEnd w:id="175"/>
    </w:p>
    <w:p w14:paraId="65613A7C">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2.如果招标文件要求提供证明材料，投标人需将证明材料列于该表之下。</w:t>
      </w:r>
    </w:p>
    <w:p w14:paraId="1BECE500">
      <w:pPr>
        <w:spacing w:line="480" w:lineRule="exact"/>
        <w:rPr>
          <w:rFonts w:hint="eastAsia" w:ascii="宋体" w:hAnsi="宋体" w:cs="宋体"/>
          <w:b/>
          <w:color w:val="auto"/>
          <w:sz w:val="28"/>
          <w:szCs w:val="28"/>
          <w:highlight w:val="none"/>
        </w:rPr>
      </w:pPr>
    </w:p>
    <w:p w14:paraId="22C479E6">
      <w:pPr>
        <w:spacing w:line="300" w:lineRule="auto"/>
        <w:contextualSpacing/>
        <w:rPr>
          <w:rFonts w:hint="eastAsia" w:ascii="宋体" w:hAnsi="宋体" w:cs="宋体"/>
          <w:color w:val="auto"/>
          <w:sz w:val="28"/>
          <w:szCs w:val="28"/>
          <w:highlight w:val="none"/>
        </w:rPr>
      </w:pPr>
    </w:p>
    <w:p w14:paraId="22C25EE4">
      <w:pPr>
        <w:pStyle w:val="47"/>
        <w:ind w:firstLine="240"/>
        <w:rPr>
          <w:rFonts w:hint="eastAsia" w:ascii="宋体" w:hAnsi="宋体" w:cs="宋体"/>
          <w:color w:val="auto"/>
          <w:highlight w:val="none"/>
        </w:rPr>
      </w:pPr>
    </w:p>
    <w:p w14:paraId="28D565F0">
      <w:pPr>
        <w:tabs>
          <w:tab w:val="left" w:pos="1260"/>
        </w:tabs>
        <w:spacing w:line="460" w:lineRule="exact"/>
        <w:ind w:firstLine="560"/>
        <w:contextualSpacing/>
        <w:rPr>
          <w:rFonts w:hint="eastAsia" w:ascii="宋体" w:hAnsi="宋体" w:cs="宋体"/>
          <w:bCs/>
          <w:color w:val="auto"/>
          <w:sz w:val="28"/>
          <w:szCs w:val="28"/>
          <w:highlight w:val="none"/>
        </w:rPr>
        <w:sectPr>
          <w:pgSz w:w="11907" w:h="16839"/>
          <w:pgMar w:top="1440" w:right="1800" w:bottom="1440" w:left="1800" w:header="720" w:footer="720" w:gutter="0"/>
          <w:cols w:space="720" w:num="1"/>
          <w:docGrid w:linePitch="360" w:charSpace="0"/>
        </w:sectPr>
      </w:pPr>
      <w:r>
        <w:rPr>
          <w:rFonts w:hint="eastAsia" w:ascii="宋体" w:hAnsi="宋体" w:cs="宋体"/>
          <w:bCs/>
          <w:color w:val="auto"/>
          <w:sz w:val="28"/>
          <w:szCs w:val="28"/>
          <w:highlight w:val="none"/>
        </w:rPr>
        <w:br w:type="page" w:clear="all"/>
      </w:r>
    </w:p>
    <w:p w14:paraId="69FCE042">
      <w:pPr>
        <w:tabs>
          <w:tab w:val="left" w:pos="1260"/>
        </w:tabs>
        <w:spacing w:line="460" w:lineRule="exact"/>
        <w:ind w:firstLine="560"/>
        <w:contextualSpacing/>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附件6</w:t>
      </w:r>
    </w:p>
    <w:p w14:paraId="7DFFFB82">
      <w:pPr>
        <w:pStyle w:val="333"/>
        <w:ind w:firstLine="0"/>
        <w:jc w:val="center"/>
        <w:rPr>
          <w:rFonts w:eastAsia="宋体"/>
          <w:b/>
          <w:color w:val="auto"/>
          <w:sz w:val="32"/>
          <w:szCs w:val="32"/>
          <w:highlight w:val="none"/>
          <w:lang w:val="zh-CN" w:bidi="ar"/>
        </w:rPr>
      </w:pPr>
      <w:r>
        <w:rPr>
          <w:rFonts w:eastAsia="宋体"/>
          <w:b/>
          <w:color w:val="auto"/>
          <w:sz w:val="32"/>
          <w:szCs w:val="32"/>
          <w:highlight w:val="none"/>
          <w:lang w:val="zh-CN" w:bidi="ar"/>
        </w:rPr>
        <w:t>主要施工辅材规格参数清单明细表</w:t>
      </w:r>
    </w:p>
    <w:p w14:paraId="58E58E7B">
      <w:pPr>
        <w:pStyle w:val="333"/>
        <w:ind w:firstLine="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bidi="ar"/>
        </w:rPr>
        <w:t>投标人加盖ca电子公章：</w:t>
      </w:r>
    </w:p>
    <w:tbl>
      <w:tblPr>
        <w:tblStyle w:val="49"/>
        <w:tblW w:w="0" w:type="auto"/>
        <w:tblInd w:w="-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51"/>
        <w:gridCol w:w="2312"/>
        <w:gridCol w:w="1375"/>
        <w:gridCol w:w="1554"/>
        <w:gridCol w:w="1447"/>
      </w:tblGrid>
      <w:tr w14:paraId="1D85A4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trPr>
        <w:tc>
          <w:tcPr>
            <w:tcW w:w="1051" w:type="dxa"/>
            <w:noWrap w:val="0"/>
            <w:tcMar>
              <w:top w:w="57" w:type="dxa"/>
              <w:left w:w="57" w:type="dxa"/>
              <w:bottom w:w="57" w:type="dxa"/>
              <w:right w:w="57" w:type="dxa"/>
            </w:tcMar>
            <w:vAlign w:val="center"/>
          </w:tcPr>
          <w:p w14:paraId="6DE1041A">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序号</w:t>
            </w:r>
          </w:p>
        </w:tc>
        <w:tc>
          <w:tcPr>
            <w:tcW w:w="2312" w:type="dxa"/>
            <w:noWrap w:val="0"/>
            <w:tcMar>
              <w:top w:w="57" w:type="dxa"/>
              <w:left w:w="57" w:type="dxa"/>
              <w:bottom w:w="57" w:type="dxa"/>
              <w:right w:w="57" w:type="dxa"/>
            </w:tcMar>
            <w:vAlign w:val="center"/>
          </w:tcPr>
          <w:p w14:paraId="36DD7A1A">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材料名称</w:t>
            </w:r>
          </w:p>
        </w:tc>
        <w:tc>
          <w:tcPr>
            <w:tcW w:w="1375" w:type="dxa"/>
            <w:noWrap w:val="0"/>
            <w:tcMar>
              <w:top w:w="57" w:type="dxa"/>
              <w:left w:w="57" w:type="dxa"/>
              <w:bottom w:w="57" w:type="dxa"/>
              <w:right w:w="57" w:type="dxa"/>
            </w:tcMar>
            <w:vAlign w:val="center"/>
          </w:tcPr>
          <w:p w14:paraId="16A43649">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规格型号</w:t>
            </w:r>
          </w:p>
        </w:tc>
        <w:tc>
          <w:tcPr>
            <w:tcW w:w="1554" w:type="dxa"/>
            <w:noWrap w:val="0"/>
            <w:tcMar>
              <w:top w:w="57" w:type="dxa"/>
              <w:left w:w="57" w:type="dxa"/>
              <w:bottom w:w="57" w:type="dxa"/>
              <w:right w:w="57" w:type="dxa"/>
            </w:tcMar>
            <w:vAlign w:val="center"/>
          </w:tcPr>
          <w:p w14:paraId="37A32F46">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响应品牌</w:t>
            </w:r>
          </w:p>
        </w:tc>
        <w:tc>
          <w:tcPr>
            <w:tcW w:w="1447" w:type="dxa"/>
            <w:noWrap w:val="0"/>
            <w:tcMar>
              <w:top w:w="57" w:type="dxa"/>
              <w:left w:w="57" w:type="dxa"/>
              <w:bottom w:w="57" w:type="dxa"/>
              <w:right w:w="57" w:type="dxa"/>
            </w:tcMar>
            <w:vAlign w:val="center"/>
          </w:tcPr>
          <w:p w14:paraId="5BFE1D89">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生产厂家</w:t>
            </w:r>
          </w:p>
        </w:tc>
      </w:tr>
      <w:tr w14:paraId="44B12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1051" w:type="dxa"/>
            <w:noWrap w:val="0"/>
            <w:tcMar>
              <w:top w:w="57" w:type="dxa"/>
              <w:left w:w="57" w:type="dxa"/>
              <w:bottom w:w="57" w:type="dxa"/>
              <w:right w:w="57" w:type="dxa"/>
            </w:tcMar>
            <w:vAlign w:val="center"/>
          </w:tcPr>
          <w:p w14:paraId="2C914F08">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1</w:t>
            </w:r>
          </w:p>
        </w:tc>
        <w:tc>
          <w:tcPr>
            <w:tcW w:w="2312" w:type="dxa"/>
            <w:shd w:val="clear" w:color="auto" w:fill="auto"/>
            <w:noWrap w:val="0"/>
            <w:tcMar>
              <w:top w:w="57" w:type="dxa"/>
              <w:left w:w="57" w:type="dxa"/>
              <w:bottom w:w="57" w:type="dxa"/>
              <w:right w:w="57" w:type="dxa"/>
            </w:tcMar>
            <w:vAlign w:val="center"/>
          </w:tcPr>
          <w:p w14:paraId="664A7B85">
            <w:pPr>
              <w:jc w:val="center"/>
              <w:rPr>
                <w:rFonts w:hint="eastAsia" w:ascii="宋体" w:hAnsi="宋体" w:eastAsia="宋体" w:cs="宋体"/>
                <w:color w:val="auto"/>
                <w:position w:val="-50"/>
                <w:sz w:val="28"/>
                <w:szCs w:val="28"/>
                <w:highlight w:val="none"/>
              </w:rPr>
            </w:pPr>
            <w:r>
              <w:rPr>
                <w:rFonts w:hint="eastAsia" w:ascii="宋体" w:hAnsi="宋体" w:cs="宋体"/>
                <w:color w:val="auto"/>
                <w:position w:val="-50"/>
                <w:sz w:val="28"/>
                <w:szCs w:val="28"/>
                <w:highlight w:val="none"/>
              </w:rPr>
              <w:t>4K高清HDMI信号线</w:t>
            </w:r>
          </w:p>
        </w:tc>
        <w:tc>
          <w:tcPr>
            <w:tcW w:w="1375" w:type="dxa"/>
            <w:noWrap w:val="0"/>
            <w:tcMar>
              <w:top w:w="57" w:type="dxa"/>
              <w:left w:w="57" w:type="dxa"/>
              <w:bottom w:w="57" w:type="dxa"/>
              <w:right w:w="57" w:type="dxa"/>
            </w:tcMar>
            <w:vAlign w:val="center"/>
          </w:tcPr>
          <w:p w14:paraId="3DD07EA1">
            <w:pPr>
              <w:jc w:val="center"/>
              <w:rPr>
                <w:rFonts w:hint="eastAsia" w:ascii="宋体" w:hAnsi="宋体" w:eastAsia="宋体" w:cs="宋体"/>
                <w:b/>
                <w:bCs/>
                <w:color w:val="auto"/>
                <w:position w:val="-50"/>
                <w:sz w:val="28"/>
                <w:szCs w:val="28"/>
                <w:highlight w:val="none"/>
              </w:rPr>
            </w:pPr>
          </w:p>
        </w:tc>
        <w:tc>
          <w:tcPr>
            <w:tcW w:w="1554" w:type="dxa"/>
            <w:noWrap w:val="0"/>
            <w:tcMar>
              <w:top w:w="57" w:type="dxa"/>
              <w:left w:w="57" w:type="dxa"/>
              <w:bottom w:w="57" w:type="dxa"/>
              <w:right w:w="57" w:type="dxa"/>
            </w:tcMar>
            <w:vAlign w:val="center"/>
          </w:tcPr>
          <w:p w14:paraId="016C4DB8">
            <w:pPr>
              <w:pStyle w:val="334"/>
              <w:spacing w:line="360" w:lineRule="auto"/>
              <w:ind w:firstLine="0"/>
              <w:jc w:val="center"/>
              <w:rPr>
                <w:rFonts w:hint="eastAsia" w:ascii="宋体" w:hAnsi="宋体" w:eastAsia="宋体" w:cs="宋体"/>
                <w:b/>
                <w:bCs/>
                <w:color w:val="auto"/>
                <w:position w:val="-50"/>
                <w:sz w:val="28"/>
                <w:szCs w:val="28"/>
                <w:highlight w:val="none"/>
              </w:rPr>
            </w:pPr>
          </w:p>
        </w:tc>
        <w:tc>
          <w:tcPr>
            <w:tcW w:w="1447" w:type="dxa"/>
            <w:noWrap w:val="0"/>
            <w:tcMar>
              <w:top w:w="57" w:type="dxa"/>
              <w:left w:w="57" w:type="dxa"/>
              <w:bottom w:w="57" w:type="dxa"/>
              <w:right w:w="57" w:type="dxa"/>
            </w:tcMar>
            <w:vAlign w:val="center"/>
          </w:tcPr>
          <w:p w14:paraId="64BD286F">
            <w:pPr>
              <w:pStyle w:val="334"/>
              <w:spacing w:line="360" w:lineRule="auto"/>
              <w:ind w:firstLine="0"/>
              <w:jc w:val="center"/>
              <w:rPr>
                <w:rFonts w:hint="eastAsia" w:ascii="宋体" w:hAnsi="宋体" w:eastAsia="宋体" w:cs="宋体"/>
                <w:color w:val="auto"/>
                <w:sz w:val="28"/>
                <w:szCs w:val="28"/>
                <w:highlight w:val="none"/>
              </w:rPr>
            </w:pPr>
          </w:p>
        </w:tc>
      </w:tr>
      <w:tr w14:paraId="27A68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1051" w:type="dxa"/>
            <w:noWrap w:val="0"/>
            <w:tcMar>
              <w:top w:w="57" w:type="dxa"/>
              <w:left w:w="57" w:type="dxa"/>
              <w:bottom w:w="57" w:type="dxa"/>
              <w:right w:w="57" w:type="dxa"/>
            </w:tcMar>
            <w:vAlign w:val="center"/>
          </w:tcPr>
          <w:p w14:paraId="4A85EB92">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2</w:t>
            </w:r>
          </w:p>
        </w:tc>
        <w:tc>
          <w:tcPr>
            <w:tcW w:w="2312" w:type="dxa"/>
            <w:noWrap w:val="0"/>
            <w:tcMar>
              <w:top w:w="57" w:type="dxa"/>
              <w:left w:w="57" w:type="dxa"/>
              <w:bottom w:w="57" w:type="dxa"/>
              <w:right w:w="57" w:type="dxa"/>
            </w:tcMar>
            <w:vAlign w:val="center"/>
          </w:tcPr>
          <w:p w14:paraId="4E11CCDF">
            <w:pPr>
              <w:jc w:val="center"/>
              <w:rPr>
                <w:rFonts w:hint="eastAsia" w:ascii="宋体" w:hAnsi="宋体" w:eastAsia="宋体" w:cs="宋体"/>
                <w:color w:val="auto"/>
                <w:position w:val="-50"/>
                <w:sz w:val="28"/>
                <w:szCs w:val="28"/>
                <w:highlight w:val="none"/>
              </w:rPr>
            </w:pPr>
            <w:r>
              <w:rPr>
                <w:rFonts w:hint="eastAsia" w:ascii="宋体" w:hAnsi="宋体" w:cs="宋体"/>
                <w:color w:val="auto"/>
                <w:position w:val="-50"/>
                <w:sz w:val="28"/>
                <w:szCs w:val="28"/>
                <w:highlight w:val="none"/>
              </w:rPr>
              <w:t>YJV-0.45/0.75KV 3X1.5平方电源线</w:t>
            </w:r>
          </w:p>
        </w:tc>
        <w:tc>
          <w:tcPr>
            <w:tcW w:w="1375" w:type="dxa"/>
            <w:noWrap w:val="0"/>
            <w:tcMar>
              <w:top w:w="57" w:type="dxa"/>
              <w:left w:w="57" w:type="dxa"/>
              <w:bottom w:w="57" w:type="dxa"/>
              <w:right w:w="57" w:type="dxa"/>
            </w:tcMar>
            <w:vAlign w:val="center"/>
          </w:tcPr>
          <w:p w14:paraId="05C9D57D">
            <w:pPr>
              <w:jc w:val="center"/>
              <w:rPr>
                <w:rFonts w:hint="eastAsia" w:ascii="宋体" w:hAnsi="宋体" w:eastAsia="宋体" w:cs="宋体"/>
                <w:b/>
                <w:bCs/>
                <w:color w:val="auto"/>
                <w:position w:val="-50"/>
                <w:sz w:val="28"/>
                <w:szCs w:val="28"/>
                <w:highlight w:val="none"/>
              </w:rPr>
            </w:pPr>
          </w:p>
        </w:tc>
        <w:tc>
          <w:tcPr>
            <w:tcW w:w="1554" w:type="dxa"/>
            <w:noWrap w:val="0"/>
            <w:tcMar>
              <w:top w:w="57" w:type="dxa"/>
              <w:left w:w="57" w:type="dxa"/>
              <w:bottom w:w="57" w:type="dxa"/>
              <w:right w:w="57" w:type="dxa"/>
            </w:tcMar>
            <w:vAlign w:val="center"/>
          </w:tcPr>
          <w:p w14:paraId="224B30BC">
            <w:pPr>
              <w:pStyle w:val="334"/>
              <w:spacing w:line="360" w:lineRule="auto"/>
              <w:ind w:firstLine="0"/>
              <w:jc w:val="center"/>
              <w:rPr>
                <w:rFonts w:hint="eastAsia" w:ascii="宋体" w:hAnsi="宋体" w:eastAsia="宋体" w:cs="宋体"/>
                <w:b/>
                <w:bCs/>
                <w:color w:val="auto"/>
                <w:position w:val="-50"/>
                <w:sz w:val="28"/>
                <w:szCs w:val="28"/>
                <w:highlight w:val="none"/>
              </w:rPr>
            </w:pPr>
          </w:p>
        </w:tc>
        <w:tc>
          <w:tcPr>
            <w:tcW w:w="1447" w:type="dxa"/>
            <w:noWrap w:val="0"/>
            <w:tcMar>
              <w:top w:w="57" w:type="dxa"/>
              <w:left w:w="57" w:type="dxa"/>
              <w:bottom w:w="57" w:type="dxa"/>
              <w:right w:w="57" w:type="dxa"/>
            </w:tcMar>
            <w:vAlign w:val="center"/>
          </w:tcPr>
          <w:p w14:paraId="1076625D">
            <w:pPr>
              <w:pStyle w:val="334"/>
              <w:spacing w:line="360" w:lineRule="auto"/>
              <w:ind w:firstLine="0"/>
              <w:jc w:val="center"/>
              <w:rPr>
                <w:rFonts w:hint="eastAsia" w:ascii="宋体" w:hAnsi="宋体" w:eastAsia="宋体" w:cs="宋体"/>
                <w:color w:val="auto"/>
                <w:sz w:val="28"/>
                <w:szCs w:val="28"/>
                <w:highlight w:val="none"/>
              </w:rPr>
            </w:pPr>
          </w:p>
        </w:tc>
      </w:tr>
      <w:tr w14:paraId="57B4F1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 w:hRule="atLeast"/>
        </w:trPr>
        <w:tc>
          <w:tcPr>
            <w:tcW w:w="1051" w:type="dxa"/>
            <w:noWrap w:val="0"/>
            <w:tcMar>
              <w:top w:w="57" w:type="dxa"/>
              <w:left w:w="57" w:type="dxa"/>
              <w:bottom w:w="57" w:type="dxa"/>
              <w:right w:w="57" w:type="dxa"/>
            </w:tcMar>
            <w:vAlign w:val="center"/>
          </w:tcPr>
          <w:p w14:paraId="1F75D196">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3</w:t>
            </w:r>
          </w:p>
        </w:tc>
        <w:tc>
          <w:tcPr>
            <w:tcW w:w="2312" w:type="dxa"/>
            <w:noWrap w:val="0"/>
            <w:tcMar>
              <w:top w:w="57" w:type="dxa"/>
              <w:left w:w="57" w:type="dxa"/>
              <w:bottom w:w="57" w:type="dxa"/>
              <w:right w:w="57" w:type="dxa"/>
            </w:tcMar>
            <w:vAlign w:val="center"/>
          </w:tcPr>
          <w:p w14:paraId="0B2DF9ED">
            <w:pPr>
              <w:jc w:val="center"/>
              <w:rPr>
                <w:rFonts w:hint="eastAsia" w:ascii="宋体" w:hAnsi="宋体" w:eastAsia="宋体" w:cs="宋体"/>
                <w:color w:val="auto"/>
                <w:position w:val="-50"/>
                <w:sz w:val="28"/>
                <w:szCs w:val="28"/>
                <w:highlight w:val="none"/>
              </w:rPr>
            </w:pPr>
            <w:r>
              <w:rPr>
                <w:rFonts w:hint="eastAsia" w:ascii="宋体" w:hAnsi="宋体" w:cs="宋体"/>
                <w:color w:val="auto"/>
                <w:position w:val="-50"/>
                <w:sz w:val="28"/>
                <w:szCs w:val="28"/>
                <w:highlight w:val="none"/>
              </w:rPr>
              <w:t>6类非屏蔽双绞线</w:t>
            </w:r>
          </w:p>
        </w:tc>
        <w:tc>
          <w:tcPr>
            <w:tcW w:w="1375" w:type="dxa"/>
            <w:noWrap w:val="0"/>
            <w:tcMar>
              <w:top w:w="57" w:type="dxa"/>
              <w:left w:w="57" w:type="dxa"/>
              <w:bottom w:w="57" w:type="dxa"/>
              <w:right w:w="57" w:type="dxa"/>
            </w:tcMar>
            <w:vAlign w:val="center"/>
          </w:tcPr>
          <w:p w14:paraId="2C7BAD28">
            <w:pPr>
              <w:jc w:val="center"/>
              <w:rPr>
                <w:rFonts w:hint="eastAsia" w:ascii="宋体" w:hAnsi="宋体" w:eastAsia="宋体" w:cs="宋体"/>
                <w:b/>
                <w:bCs/>
                <w:color w:val="auto"/>
                <w:position w:val="-50"/>
                <w:sz w:val="28"/>
                <w:szCs w:val="28"/>
                <w:highlight w:val="none"/>
              </w:rPr>
            </w:pPr>
          </w:p>
        </w:tc>
        <w:tc>
          <w:tcPr>
            <w:tcW w:w="1554" w:type="dxa"/>
            <w:noWrap w:val="0"/>
            <w:tcMar>
              <w:top w:w="57" w:type="dxa"/>
              <w:left w:w="57" w:type="dxa"/>
              <w:bottom w:w="57" w:type="dxa"/>
              <w:right w:w="57" w:type="dxa"/>
            </w:tcMar>
            <w:vAlign w:val="center"/>
          </w:tcPr>
          <w:p w14:paraId="44B6447F">
            <w:pPr>
              <w:pStyle w:val="334"/>
              <w:spacing w:line="360" w:lineRule="auto"/>
              <w:ind w:firstLine="0"/>
              <w:jc w:val="center"/>
              <w:rPr>
                <w:rFonts w:hint="eastAsia" w:ascii="宋体" w:hAnsi="宋体" w:eastAsia="宋体" w:cs="宋体"/>
                <w:b/>
                <w:bCs/>
                <w:color w:val="auto"/>
                <w:position w:val="-50"/>
                <w:sz w:val="28"/>
                <w:szCs w:val="28"/>
                <w:highlight w:val="none"/>
              </w:rPr>
            </w:pPr>
          </w:p>
        </w:tc>
        <w:tc>
          <w:tcPr>
            <w:tcW w:w="1447" w:type="dxa"/>
            <w:noWrap w:val="0"/>
            <w:tcMar>
              <w:top w:w="57" w:type="dxa"/>
              <w:left w:w="57" w:type="dxa"/>
              <w:bottom w:w="57" w:type="dxa"/>
              <w:right w:w="57" w:type="dxa"/>
            </w:tcMar>
            <w:vAlign w:val="center"/>
          </w:tcPr>
          <w:p w14:paraId="0F806758">
            <w:pPr>
              <w:pStyle w:val="334"/>
              <w:spacing w:line="360" w:lineRule="auto"/>
              <w:ind w:firstLine="0"/>
              <w:jc w:val="center"/>
              <w:rPr>
                <w:rFonts w:hint="eastAsia" w:ascii="宋体" w:hAnsi="宋体" w:eastAsia="宋体" w:cs="宋体"/>
                <w:color w:val="auto"/>
                <w:sz w:val="28"/>
                <w:szCs w:val="28"/>
                <w:highlight w:val="none"/>
              </w:rPr>
            </w:pPr>
          </w:p>
        </w:tc>
      </w:tr>
      <w:tr w14:paraId="59B7A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051" w:type="dxa"/>
            <w:noWrap w:val="0"/>
            <w:tcMar>
              <w:top w:w="57" w:type="dxa"/>
              <w:left w:w="57" w:type="dxa"/>
              <w:bottom w:w="57" w:type="dxa"/>
              <w:right w:w="57" w:type="dxa"/>
            </w:tcMar>
            <w:vAlign w:val="center"/>
          </w:tcPr>
          <w:p w14:paraId="6572049E">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4</w:t>
            </w:r>
          </w:p>
        </w:tc>
        <w:tc>
          <w:tcPr>
            <w:tcW w:w="2312" w:type="dxa"/>
            <w:noWrap w:val="0"/>
            <w:tcMar>
              <w:top w:w="57" w:type="dxa"/>
              <w:left w:w="57" w:type="dxa"/>
              <w:bottom w:w="57" w:type="dxa"/>
              <w:right w:w="57" w:type="dxa"/>
            </w:tcMar>
            <w:vAlign w:val="center"/>
          </w:tcPr>
          <w:p w14:paraId="32FE1E36">
            <w:pPr>
              <w:jc w:val="center"/>
              <w:rPr>
                <w:rFonts w:hint="eastAsia" w:ascii="宋体" w:hAnsi="宋体" w:eastAsia="宋体" w:cs="宋体"/>
                <w:color w:val="auto"/>
                <w:position w:val="-50"/>
                <w:sz w:val="28"/>
                <w:szCs w:val="28"/>
                <w:highlight w:val="none"/>
              </w:rPr>
            </w:pPr>
            <w:r>
              <w:rPr>
                <w:rFonts w:hint="eastAsia" w:ascii="宋体" w:hAnsi="宋体" w:cs="宋体"/>
                <w:color w:val="auto"/>
                <w:position w:val="-50"/>
                <w:sz w:val="28"/>
                <w:szCs w:val="28"/>
                <w:highlight w:val="none"/>
              </w:rPr>
              <w:t>USB信号线</w:t>
            </w:r>
          </w:p>
        </w:tc>
        <w:tc>
          <w:tcPr>
            <w:tcW w:w="1375" w:type="dxa"/>
            <w:noWrap w:val="0"/>
            <w:tcMar>
              <w:top w:w="57" w:type="dxa"/>
              <w:left w:w="57" w:type="dxa"/>
              <w:bottom w:w="57" w:type="dxa"/>
              <w:right w:w="57" w:type="dxa"/>
            </w:tcMar>
            <w:vAlign w:val="center"/>
          </w:tcPr>
          <w:p w14:paraId="71F95936">
            <w:pPr>
              <w:jc w:val="center"/>
              <w:rPr>
                <w:rFonts w:hint="eastAsia" w:ascii="宋体" w:hAnsi="宋体" w:eastAsia="宋体" w:cs="宋体"/>
                <w:b/>
                <w:bCs/>
                <w:color w:val="auto"/>
                <w:position w:val="-50"/>
                <w:sz w:val="28"/>
                <w:szCs w:val="28"/>
                <w:highlight w:val="none"/>
              </w:rPr>
            </w:pPr>
          </w:p>
        </w:tc>
        <w:tc>
          <w:tcPr>
            <w:tcW w:w="1554" w:type="dxa"/>
            <w:noWrap w:val="0"/>
            <w:tcMar>
              <w:top w:w="57" w:type="dxa"/>
              <w:left w:w="57" w:type="dxa"/>
              <w:bottom w:w="57" w:type="dxa"/>
              <w:right w:w="57" w:type="dxa"/>
            </w:tcMar>
            <w:vAlign w:val="center"/>
          </w:tcPr>
          <w:p w14:paraId="09D6B0DB">
            <w:pPr>
              <w:pStyle w:val="334"/>
              <w:spacing w:line="360" w:lineRule="auto"/>
              <w:ind w:firstLine="0"/>
              <w:jc w:val="center"/>
              <w:rPr>
                <w:rFonts w:hint="eastAsia" w:ascii="宋体" w:hAnsi="宋体" w:eastAsia="宋体" w:cs="宋体"/>
                <w:b/>
                <w:bCs/>
                <w:color w:val="auto"/>
                <w:position w:val="-50"/>
                <w:sz w:val="28"/>
                <w:szCs w:val="28"/>
                <w:highlight w:val="none"/>
              </w:rPr>
            </w:pPr>
          </w:p>
        </w:tc>
        <w:tc>
          <w:tcPr>
            <w:tcW w:w="1447" w:type="dxa"/>
            <w:noWrap w:val="0"/>
            <w:tcMar>
              <w:top w:w="57" w:type="dxa"/>
              <w:left w:w="57" w:type="dxa"/>
              <w:bottom w:w="57" w:type="dxa"/>
              <w:right w:w="57" w:type="dxa"/>
            </w:tcMar>
            <w:vAlign w:val="center"/>
          </w:tcPr>
          <w:p w14:paraId="6F037AE6">
            <w:pPr>
              <w:pStyle w:val="334"/>
              <w:spacing w:line="360" w:lineRule="auto"/>
              <w:ind w:firstLine="0"/>
              <w:jc w:val="center"/>
              <w:rPr>
                <w:rFonts w:hint="eastAsia" w:ascii="宋体" w:hAnsi="宋体" w:eastAsia="宋体" w:cs="宋体"/>
                <w:color w:val="auto"/>
                <w:sz w:val="28"/>
                <w:szCs w:val="28"/>
                <w:highlight w:val="none"/>
              </w:rPr>
            </w:pPr>
          </w:p>
        </w:tc>
      </w:tr>
      <w:tr w14:paraId="7DBC8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 w:hRule="atLeast"/>
        </w:trPr>
        <w:tc>
          <w:tcPr>
            <w:tcW w:w="1051" w:type="dxa"/>
            <w:noWrap w:val="0"/>
            <w:tcMar>
              <w:top w:w="57" w:type="dxa"/>
              <w:left w:w="57" w:type="dxa"/>
              <w:bottom w:w="57" w:type="dxa"/>
              <w:right w:w="57" w:type="dxa"/>
            </w:tcMar>
            <w:vAlign w:val="center"/>
          </w:tcPr>
          <w:p w14:paraId="726DD665">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5</w:t>
            </w:r>
          </w:p>
        </w:tc>
        <w:tc>
          <w:tcPr>
            <w:tcW w:w="2312" w:type="dxa"/>
            <w:noWrap w:val="0"/>
            <w:tcMar>
              <w:top w:w="57" w:type="dxa"/>
              <w:left w:w="57" w:type="dxa"/>
              <w:bottom w:w="57" w:type="dxa"/>
              <w:right w:w="57" w:type="dxa"/>
            </w:tcMar>
            <w:vAlign w:val="center"/>
          </w:tcPr>
          <w:p w14:paraId="6455725B">
            <w:pPr>
              <w:jc w:val="center"/>
              <w:rPr>
                <w:rFonts w:hint="eastAsia" w:ascii="宋体" w:hAnsi="宋体" w:eastAsia="宋体" w:cs="宋体"/>
                <w:color w:val="auto"/>
                <w:position w:val="-50"/>
                <w:sz w:val="28"/>
                <w:szCs w:val="28"/>
                <w:highlight w:val="none"/>
              </w:rPr>
            </w:pPr>
            <w:r>
              <w:rPr>
                <w:rFonts w:hint="eastAsia" w:ascii="宋体" w:hAnsi="宋体" w:cs="宋体"/>
                <w:color w:val="auto"/>
                <w:position w:val="-50"/>
                <w:sz w:val="28"/>
                <w:szCs w:val="28"/>
                <w:highlight w:val="none"/>
              </w:rPr>
              <w:t>120双绕双棉37芯音频线</w:t>
            </w:r>
          </w:p>
        </w:tc>
        <w:tc>
          <w:tcPr>
            <w:tcW w:w="1375" w:type="dxa"/>
            <w:noWrap w:val="0"/>
            <w:tcMar>
              <w:top w:w="57" w:type="dxa"/>
              <w:left w:w="57" w:type="dxa"/>
              <w:bottom w:w="57" w:type="dxa"/>
              <w:right w:w="57" w:type="dxa"/>
            </w:tcMar>
            <w:vAlign w:val="center"/>
          </w:tcPr>
          <w:p w14:paraId="38ACE7C6">
            <w:pPr>
              <w:jc w:val="center"/>
              <w:rPr>
                <w:rFonts w:hint="eastAsia" w:ascii="宋体" w:hAnsi="宋体" w:eastAsia="宋体" w:cs="宋体"/>
                <w:b/>
                <w:bCs/>
                <w:color w:val="auto"/>
                <w:position w:val="-50"/>
                <w:sz w:val="28"/>
                <w:szCs w:val="28"/>
                <w:highlight w:val="none"/>
              </w:rPr>
            </w:pPr>
          </w:p>
        </w:tc>
        <w:tc>
          <w:tcPr>
            <w:tcW w:w="1554" w:type="dxa"/>
            <w:noWrap w:val="0"/>
            <w:tcMar>
              <w:top w:w="57" w:type="dxa"/>
              <w:left w:w="57" w:type="dxa"/>
              <w:bottom w:w="57" w:type="dxa"/>
              <w:right w:w="57" w:type="dxa"/>
            </w:tcMar>
            <w:vAlign w:val="center"/>
          </w:tcPr>
          <w:p w14:paraId="0847FBAF">
            <w:pPr>
              <w:pStyle w:val="334"/>
              <w:spacing w:line="360" w:lineRule="auto"/>
              <w:ind w:firstLine="0"/>
              <w:jc w:val="center"/>
              <w:rPr>
                <w:rFonts w:hint="eastAsia" w:ascii="宋体" w:hAnsi="宋体" w:eastAsia="宋体" w:cs="宋体"/>
                <w:b/>
                <w:bCs/>
                <w:color w:val="auto"/>
                <w:position w:val="-50"/>
                <w:sz w:val="28"/>
                <w:szCs w:val="28"/>
                <w:highlight w:val="none"/>
              </w:rPr>
            </w:pPr>
          </w:p>
        </w:tc>
        <w:tc>
          <w:tcPr>
            <w:tcW w:w="1447" w:type="dxa"/>
            <w:noWrap w:val="0"/>
            <w:tcMar>
              <w:top w:w="57" w:type="dxa"/>
              <w:left w:w="57" w:type="dxa"/>
              <w:bottom w:w="57" w:type="dxa"/>
              <w:right w:w="57" w:type="dxa"/>
            </w:tcMar>
            <w:vAlign w:val="center"/>
          </w:tcPr>
          <w:p w14:paraId="164EDA49">
            <w:pPr>
              <w:pStyle w:val="334"/>
              <w:spacing w:line="360" w:lineRule="auto"/>
              <w:ind w:firstLine="0"/>
              <w:jc w:val="center"/>
              <w:rPr>
                <w:rFonts w:hint="eastAsia" w:ascii="宋体" w:hAnsi="宋体" w:eastAsia="宋体" w:cs="宋体"/>
                <w:color w:val="auto"/>
                <w:sz w:val="28"/>
                <w:szCs w:val="28"/>
                <w:highlight w:val="none"/>
              </w:rPr>
            </w:pPr>
          </w:p>
        </w:tc>
      </w:tr>
      <w:tr w14:paraId="2FCE84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051" w:type="dxa"/>
            <w:noWrap w:val="0"/>
            <w:tcMar>
              <w:top w:w="57" w:type="dxa"/>
              <w:left w:w="57" w:type="dxa"/>
              <w:bottom w:w="57" w:type="dxa"/>
              <w:right w:w="57" w:type="dxa"/>
            </w:tcMar>
            <w:vAlign w:val="center"/>
          </w:tcPr>
          <w:p w14:paraId="2EDD8001">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6</w:t>
            </w:r>
          </w:p>
        </w:tc>
        <w:tc>
          <w:tcPr>
            <w:tcW w:w="2312" w:type="dxa"/>
            <w:noWrap w:val="0"/>
            <w:tcMar>
              <w:top w:w="57" w:type="dxa"/>
              <w:left w:w="57" w:type="dxa"/>
              <w:bottom w:w="57" w:type="dxa"/>
              <w:right w:w="57" w:type="dxa"/>
            </w:tcMar>
            <w:vAlign w:val="center"/>
          </w:tcPr>
          <w:p w14:paraId="45A89B0B">
            <w:pPr>
              <w:jc w:val="center"/>
              <w:rPr>
                <w:rFonts w:hint="eastAsia" w:ascii="宋体" w:hAnsi="宋体" w:eastAsia="宋体" w:cs="宋体"/>
                <w:color w:val="auto"/>
                <w:position w:val="-50"/>
                <w:sz w:val="28"/>
                <w:szCs w:val="28"/>
                <w:highlight w:val="none"/>
              </w:rPr>
            </w:pPr>
            <w:r>
              <w:rPr>
                <w:rFonts w:hint="eastAsia" w:ascii="宋体" w:hAnsi="宋体" w:cs="宋体"/>
                <w:color w:val="auto"/>
                <w:position w:val="-50"/>
                <w:sz w:val="28"/>
                <w:szCs w:val="28"/>
                <w:highlight w:val="none"/>
              </w:rPr>
              <w:t>200*0.1无氧铜音响线</w:t>
            </w:r>
          </w:p>
        </w:tc>
        <w:tc>
          <w:tcPr>
            <w:tcW w:w="1375" w:type="dxa"/>
            <w:noWrap w:val="0"/>
            <w:tcMar>
              <w:top w:w="57" w:type="dxa"/>
              <w:left w:w="57" w:type="dxa"/>
              <w:bottom w:w="57" w:type="dxa"/>
              <w:right w:w="57" w:type="dxa"/>
            </w:tcMar>
            <w:vAlign w:val="center"/>
          </w:tcPr>
          <w:p w14:paraId="6693C577">
            <w:pPr>
              <w:jc w:val="center"/>
              <w:rPr>
                <w:rFonts w:hint="eastAsia" w:ascii="宋体" w:hAnsi="宋体" w:eastAsia="宋体" w:cs="宋体"/>
                <w:b/>
                <w:bCs/>
                <w:color w:val="auto"/>
                <w:position w:val="-50"/>
                <w:sz w:val="28"/>
                <w:szCs w:val="28"/>
                <w:highlight w:val="none"/>
              </w:rPr>
            </w:pPr>
          </w:p>
        </w:tc>
        <w:tc>
          <w:tcPr>
            <w:tcW w:w="1554" w:type="dxa"/>
            <w:noWrap w:val="0"/>
            <w:tcMar>
              <w:top w:w="57" w:type="dxa"/>
              <w:left w:w="57" w:type="dxa"/>
              <w:bottom w:w="57" w:type="dxa"/>
              <w:right w:w="57" w:type="dxa"/>
            </w:tcMar>
            <w:vAlign w:val="center"/>
          </w:tcPr>
          <w:p w14:paraId="39D1A859">
            <w:pPr>
              <w:pStyle w:val="334"/>
              <w:spacing w:line="360" w:lineRule="auto"/>
              <w:ind w:firstLine="0"/>
              <w:jc w:val="center"/>
              <w:rPr>
                <w:rFonts w:hint="eastAsia" w:ascii="宋体" w:hAnsi="宋体" w:eastAsia="宋体" w:cs="宋体"/>
                <w:b/>
                <w:bCs/>
                <w:color w:val="auto"/>
                <w:position w:val="-50"/>
                <w:sz w:val="28"/>
                <w:szCs w:val="28"/>
                <w:highlight w:val="none"/>
              </w:rPr>
            </w:pPr>
          </w:p>
        </w:tc>
        <w:tc>
          <w:tcPr>
            <w:tcW w:w="1447" w:type="dxa"/>
            <w:noWrap w:val="0"/>
            <w:tcMar>
              <w:top w:w="57" w:type="dxa"/>
              <w:left w:w="57" w:type="dxa"/>
              <w:bottom w:w="57" w:type="dxa"/>
              <w:right w:w="57" w:type="dxa"/>
            </w:tcMar>
            <w:vAlign w:val="center"/>
          </w:tcPr>
          <w:p w14:paraId="1B866D7A">
            <w:pPr>
              <w:pStyle w:val="334"/>
              <w:spacing w:line="360" w:lineRule="auto"/>
              <w:ind w:firstLine="0"/>
              <w:jc w:val="center"/>
              <w:rPr>
                <w:rFonts w:hint="eastAsia" w:ascii="宋体" w:hAnsi="宋体" w:eastAsia="宋体" w:cs="宋体"/>
                <w:color w:val="auto"/>
                <w:sz w:val="28"/>
                <w:szCs w:val="28"/>
                <w:highlight w:val="none"/>
              </w:rPr>
            </w:pPr>
          </w:p>
        </w:tc>
      </w:tr>
      <w:tr w14:paraId="6046F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1051" w:type="dxa"/>
            <w:noWrap w:val="0"/>
            <w:tcMar>
              <w:top w:w="57" w:type="dxa"/>
              <w:left w:w="57" w:type="dxa"/>
              <w:bottom w:w="57" w:type="dxa"/>
              <w:right w:w="57" w:type="dxa"/>
            </w:tcMar>
            <w:vAlign w:val="center"/>
          </w:tcPr>
          <w:p w14:paraId="51B8E58A">
            <w:pPr>
              <w:pStyle w:val="334"/>
              <w:spacing w:line="360" w:lineRule="auto"/>
              <w:ind w:firstLine="0"/>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7</w:t>
            </w:r>
          </w:p>
        </w:tc>
        <w:tc>
          <w:tcPr>
            <w:tcW w:w="2312" w:type="dxa"/>
            <w:noWrap w:val="0"/>
            <w:tcMar>
              <w:top w:w="57" w:type="dxa"/>
              <w:left w:w="57" w:type="dxa"/>
              <w:bottom w:w="57" w:type="dxa"/>
              <w:right w:w="57" w:type="dxa"/>
            </w:tcMar>
            <w:vAlign w:val="center"/>
          </w:tcPr>
          <w:p w14:paraId="01074ABF">
            <w:pPr>
              <w:pStyle w:val="334"/>
              <w:spacing w:line="360" w:lineRule="auto"/>
              <w:ind w:firstLine="0"/>
              <w:jc w:val="both"/>
              <w:rPr>
                <w:rFonts w:hint="eastAsia" w:ascii="宋体" w:hAnsi="宋体" w:eastAsia="宋体" w:cs="宋体"/>
                <w:b/>
                <w:bCs/>
                <w:color w:val="auto"/>
                <w:position w:val="-50"/>
                <w:sz w:val="28"/>
                <w:szCs w:val="28"/>
                <w:highlight w:val="none"/>
              </w:rPr>
            </w:pPr>
          </w:p>
        </w:tc>
        <w:tc>
          <w:tcPr>
            <w:tcW w:w="1375" w:type="dxa"/>
            <w:noWrap w:val="0"/>
            <w:tcMar>
              <w:top w:w="57" w:type="dxa"/>
              <w:left w:w="57" w:type="dxa"/>
              <w:bottom w:w="57" w:type="dxa"/>
              <w:right w:w="57" w:type="dxa"/>
            </w:tcMar>
            <w:vAlign w:val="center"/>
          </w:tcPr>
          <w:p w14:paraId="6BD1B976">
            <w:pPr>
              <w:pStyle w:val="334"/>
              <w:spacing w:line="360" w:lineRule="auto"/>
              <w:ind w:firstLine="0"/>
              <w:jc w:val="center"/>
              <w:rPr>
                <w:rFonts w:hint="eastAsia" w:ascii="宋体" w:hAnsi="宋体" w:eastAsia="宋体" w:cs="宋体"/>
                <w:b/>
                <w:bCs/>
                <w:color w:val="auto"/>
                <w:position w:val="-50"/>
                <w:sz w:val="28"/>
                <w:szCs w:val="28"/>
                <w:highlight w:val="none"/>
              </w:rPr>
            </w:pPr>
          </w:p>
        </w:tc>
        <w:tc>
          <w:tcPr>
            <w:tcW w:w="1554" w:type="dxa"/>
            <w:noWrap w:val="0"/>
            <w:tcMar>
              <w:top w:w="57" w:type="dxa"/>
              <w:left w:w="57" w:type="dxa"/>
              <w:bottom w:w="57" w:type="dxa"/>
              <w:right w:w="57" w:type="dxa"/>
            </w:tcMar>
            <w:vAlign w:val="center"/>
          </w:tcPr>
          <w:p w14:paraId="0F4ED9A0">
            <w:pPr>
              <w:pStyle w:val="334"/>
              <w:spacing w:line="360" w:lineRule="auto"/>
              <w:ind w:firstLine="0"/>
              <w:jc w:val="center"/>
              <w:rPr>
                <w:rFonts w:hint="eastAsia" w:ascii="宋体" w:hAnsi="宋体" w:eastAsia="宋体" w:cs="宋体"/>
                <w:b/>
                <w:bCs/>
                <w:color w:val="auto"/>
                <w:position w:val="-50"/>
                <w:sz w:val="28"/>
                <w:szCs w:val="28"/>
                <w:highlight w:val="none"/>
              </w:rPr>
            </w:pPr>
          </w:p>
        </w:tc>
        <w:tc>
          <w:tcPr>
            <w:tcW w:w="1447" w:type="dxa"/>
            <w:noWrap w:val="0"/>
            <w:tcMar>
              <w:top w:w="57" w:type="dxa"/>
              <w:left w:w="57" w:type="dxa"/>
              <w:bottom w:w="57" w:type="dxa"/>
              <w:right w:w="57" w:type="dxa"/>
            </w:tcMar>
            <w:vAlign w:val="center"/>
          </w:tcPr>
          <w:p w14:paraId="3E682650">
            <w:pPr>
              <w:pStyle w:val="334"/>
              <w:spacing w:line="360" w:lineRule="auto"/>
              <w:ind w:firstLine="0"/>
              <w:jc w:val="center"/>
              <w:rPr>
                <w:rFonts w:hint="eastAsia" w:ascii="宋体" w:hAnsi="宋体" w:eastAsia="宋体" w:cs="宋体"/>
                <w:color w:val="auto"/>
                <w:sz w:val="28"/>
                <w:szCs w:val="28"/>
                <w:highlight w:val="none"/>
              </w:rPr>
            </w:pPr>
          </w:p>
        </w:tc>
      </w:tr>
      <w:tr w14:paraId="1D42A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atLeast"/>
        </w:trPr>
        <w:tc>
          <w:tcPr>
            <w:tcW w:w="1051" w:type="dxa"/>
            <w:noWrap w:val="0"/>
            <w:tcMar>
              <w:top w:w="57" w:type="dxa"/>
              <w:left w:w="57" w:type="dxa"/>
              <w:bottom w:w="57" w:type="dxa"/>
              <w:right w:w="57" w:type="dxa"/>
            </w:tcMar>
            <w:vAlign w:val="center"/>
          </w:tcPr>
          <w:p w14:paraId="436F7A42">
            <w:pPr>
              <w:pStyle w:val="334"/>
              <w:spacing w:line="360" w:lineRule="auto"/>
              <w:ind w:firstLine="0"/>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8</w:t>
            </w:r>
          </w:p>
        </w:tc>
        <w:tc>
          <w:tcPr>
            <w:tcW w:w="2312" w:type="dxa"/>
            <w:noWrap w:val="0"/>
            <w:tcMar>
              <w:top w:w="57" w:type="dxa"/>
              <w:left w:w="57" w:type="dxa"/>
              <w:bottom w:w="57" w:type="dxa"/>
              <w:right w:w="57" w:type="dxa"/>
            </w:tcMar>
            <w:vAlign w:val="center"/>
          </w:tcPr>
          <w:p w14:paraId="31DF6B0C">
            <w:pPr>
              <w:pStyle w:val="334"/>
              <w:spacing w:line="360" w:lineRule="auto"/>
              <w:ind w:firstLine="0"/>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sz w:val="28"/>
                <w:szCs w:val="28"/>
                <w:highlight w:val="none"/>
                <w:lang w:bidi="ar"/>
              </w:rPr>
              <w:t>...</w:t>
            </w:r>
          </w:p>
        </w:tc>
        <w:tc>
          <w:tcPr>
            <w:tcW w:w="1375" w:type="dxa"/>
            <w:noWrap w:val="0"/>
            <w:tcMar>
              <w:top w:w="57" w:type="dxa"/>
              <w:left w:w="57" w:type="dxa"/>
              <w:bottom w:w="57" w:type="dxa"/>
              <w:right w:w="57" w:type="dxa"/>
            </w:tcMar>
            <w:vAlign w:val="center"/>
          </w:tcPr>
          <w:p w14:paraId="2F628E4C">
            <w:pPr>
              <w:pStyle w:val="334"/>
              <w:spacing w:line="360" w:lineRule="auto"/>
              <w:ind w:firstLine="0"/>
              <w:jc w:val="center"/>
              <w:rPr>
                <w:rFonts w:hint="eastAsia" w:ascii="宋体" w:hAnsi="宋体" w:eastAsia="宋体" w:cs="宋体"/>
                <w:b/>
                <w:bCs/>
                <w:color w:val="auto"/>
                <w:position w:val="-50"/>
                <w:sz w:val="28"/>
                <w:szCs w:val="28"/>
                <w:highlight w:val="none"/>
              </w:rPr>
            </w:pPr>
          </w:p>
        </w:tc>
        <w:tc>
          <w:tcPr>
            <w:tcW w:w="1554" w:type="dxa"/>
            <w:noWrap w:val="0"/>
            <w:tcMar>
              <w:top w:w="57" w:type="dxa"/>
              <w:left w:w="57" w:type="dxa"/>
              <w:bottom w:w="57" w:type="dxa"/>
              <w:right w:w="57" w:type="dxa"/>
            </w:tcMar>
            <w:vAlign w:val="center"/>
          </w:tcPr>
          <w:p w14:paraId="7F12C88C">
            <w:pPr>
              <w:pStyle w:val="334"/>
              <w:spacing w:line="360" w:lineRule="auto"/>
              <w:ind w:firstLine="0"/>
              <w:jc w:val="center"/>
              <w:rPr>
                <w:rFonts w:hint="eastAsia" w:ascii="宋体" w:hAnsi="宋体" w:eastAsia="宋体" w:cs="宋体"/>
                <w:b/>
                <w:bCs/>
                <w:color w:val="auto"/>
                <w:position w:val="-50"/>
                <w:sz w:val="28"/>
                <w:szCs w:val="28"/>
                <w:highlight w:val="none"/>
              </w:rPr>
            </w:pPr>
          </w:p>
        </w:tc>
        <w:tc>
          <w:tcPr>
            <w:tcW w:w="1447" w:type="dxa"/>
            <w:noWrap w:val="0"/>
            <w:tcMar>
              <w:top w:w="57" w:type="dxa"/>
              <w:left w:w="57" w:type="dxa"/>
              <w:bottom w:w="57" w:type="dxa"/>
              <w:right w:w="57" w:type="dxa"/>
            </w:tcMar>
            <w:vAlign w:val="center"/>
          </w:tcPr>
          <w:p w14:paraId="56C3D0A3">
            <w:pPr>
              <w:pStyle w:val="334"/>
              <w:spacing w:line="360" w:lineRule="auto"/>
              <w:ind w:firstLine="0"/>
              <w:jc w:val="center"/>
              <w:rPr>
                <w:rFonts w:hint="eastAsia" w:ascii="宋体" w:hAnsi="宋体" w:eastAsia="宋体" w:cs="宋体"/>
                <w:color w:val="auto"/>
                <w:sz w:val="28"/>
                <w:szCs w:val="28"/>
                <w:highlight w:val="none"/>
              </w:rPr>
            </w:pPr>
          </w:p>
        </w:tc>
      </w:tr>
      <w:tr w14:paraId="70833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trPr>
        <w:tc>
          <w:tcPr>
            <w:tcW w:w="1051" w:type="dxa"/>
            <w:noWrap w:val="0"/>
            <w:tcMar>
              <w:top w:w="57" w:type="dxa"/>
              <w:left w:w="57" w:type="dxa"/>
              <w:bottom w:w="57" w:type="dxa"/>
              <w:right w:w="57" w:type="dxa"/>
            </w:tcMar>
            <w:vAlign w:val="center"/>
          </w:tcPr>
          <w:p w14:paraId="2FF00539">
            <w:pPr>
              <w:pStyle w:val="334"/>
              <w:spacing w:line="360" w:lineRule="auto"/>
              <w:ind w:firstLine="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9</w:t>
            </w:r>
          </w:p>
        </w:tc>
        <w:tc>
          <w:tcPr>
            <w:tcW w:w="2312" w:type="dxa"/>
            <w:noWrap w:val="0"/>
            <w:tcMar>
              <w:top w:w="57" w:type="dxa"/>
              <w:left w:w="57" w:type="dxa"/>
              <w:bottom w:w="57" w:type="dxa"/>
              <w:right w:w="57" w:type="dxa"/>
            </w:tcMar>
            <w:vAlign w:val="center"/>
          </w:tcPr>
          <w:p w14:paraId="5EF3CA66">
            <w:pPr>
              <w:pStyle w:val="334"/>
              <w:spacing w:line="360" w:lineRule="auto"/>
              <w:ind w:firstLine="0"/>
              <w:jc w:val="center"/>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bidi="ar"/>
              </w:rPr>
              <w:t>...</w:t>
            </w:r>
          </w:p>
        </w:tc>
        <w:tc>
          <w:tcPr>
            <w:tcW w:w="1375" w:type="dxa"/>
            <w:noWrap w:val="0"/>
            <w:tcMar>
              <w:top w:w="57" w:type="dxa"/>
              <w:left w:w="57" w:type="dxa"/>
              <w:bottom w:w="57" w:type="dxa"/>
              <w:right w:w="57" w:type="dxa"/>
            </w:tcMar>
            <w:vAlign w:val="center"/>
          </w:tcPr>
          <w:p w14:paraId="3CE51479">
            <w:pPr>
              <w:pStyle w:val="334"/>
              <w:spacing w:line="360" w:lineRule="auto"/>
              <w:ind w:firstLine="0"/>
              <w:jc w:val="center"/>
              <w:rPr>
                <w:rFonts w:hint="eastAsia" w:ascii="宋体" w:hAnsi="宋体" w:eastAsia="宋体" w:cs="宋体"/>
                <w:color w:val="auto"/>
                <w:sz w:val="28"/>
                <w:szCs w:val="28"/>
                <w:highlight w:val="none"/>
              </w:rPr>
            </w:pPr>
          </w:p>
        </w:tc>
        <w:tc>
          <w:tcPr>
            <w:tcW w:w="1554" w:type="dxa"/>
            <w:noWrap w:val="0"/>
            <w:tcMar>
              <w:top w:w="57" w:type="dxa"/>
              <w:left w:w="57" w:type="dxa"/>
              <w:bottom w:w="57" w:type="dxa"/>
              <w:right w:w="57" w:type="dxa"/>
            </w:tcMar>
            <w:vAlign w:val="center"/>
          </w:tcPr>
          <w:p w14:paraId="4266A9CA">
            <w:pPr>
              <w:pStyle w:val="334"/>
              <w:spacing w:line="360" w:lineRule="auto"/>
              <w:ind w:firstLine="0"/>
              <w:jc w:val="center"/>
              <w:rPr>
                <w:rFonts w:hint="eastAsia" w:ascii="宋体" w:hAnsi="宋体" w:eastAsia="宋体" w:cs="宋体"/>
                <w:color w:val="auto"/>
                <w:sz w:val="28"/>
                <w:szCs w:val="28"/>
                <w:highlight w:val="none"/>
              </w:rPr>
            </w:pPr>
          </w:p>
        </w:tc>
        <w:tc>
          <w:tcPr>
            <w:tcW w:w="1447" w:type="dxa"/>
            <w:noWrap w:val="0"/>
            <w:tcMar>
              <w:top w:w="57" w:type="dxa"/>
              <w:left w:w="57" w:type="dxa"/>
              <w:bottom w:w="57" w:type="dxa"/>
              <w:right w:w="57" w:type="dxa"/>
            </w:tcMar>
            <w:vAlign w:val="center"/>
          </w:tcPr>
          <w:p w14:paraId="01AFFE26">
            <w:pPr>
              <w:pStyle w:val="334"/>
              <w:spacing w:line="360" w:lineRule="auto"/>
              <w:ind w:left="1260" w:firstLine="0"/>
              <w:jc w:val="center"/>
              <w:rPr>
                <w:rFonts w:hint="eastAsia" w:ascii="宋体" w:hAnsi="宋体" w:eastAsia="宋体" w:cs="宋体"/>
                <w:color w:val="auto"/>
                <w:sz w:val="28"/>
                <w:szCs w:val="28"/>
                <w:highlight w:val="none"/>
              </w:rPr>
            </w:pPr>
          </w:p>
        </w:tc>
      </w:tr>
      <w:tr w14:paraId="3456D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trPr>
        <w:tc>
          <w:tcPr>
            <w:tcW w:w="1051" w:type="dxa"/>
            <w:noWrap w:val="0"/>
            <w:tcMar>
              <w:top w:w="57" w:type="dxa"/>
              <w:left w:w="57" w:type="dxa"/>
              <w:bottom w:w="57" w:type="dxa"/>
              <w:right w:w="57" w:type="dxa"/>
            </w:tcMar>
            <w:vAlign w:val="center"/>
          </w:tcPr>
          <w:p w14:paraId="45D1D518">
            <w:pPr>
              <w:pStyle w:val="334"/>
              <w:spacing w:line="360" w:lineRule="auto"/>
              <w:ind w:firstLine="0"/>
              <w:jc w:val="center"/>
              <w:rPr>
                <w:rFonts w:hint="eastAsia" w:ascii="宋体" w:hAnsi="宋体" w:eastAsia="宋体" w:cs="宋体"/>
                <w:color w:val="auto"/>
                <w:sz w:val="28"/>
                <w:szCs w:val="28"/>
                <w:highlight w:val="none"/>
              </w:rPr>
            </w:pPr>
          </w:p>
        </w:tc>
        <w:tc>
          <w:tcPr>
            <w:tcW w:w="2312" w:type="dxa"/>
            <w:noWrap w:val="0"/>
            <w:tcMar>
              <w:top w:w="57" w:type="dxa"/>
              <w:left w:w="57" w:type="dxa"/>
              <w:bottom w:w="57" w:type="dxa"/>
              <w:right w:w="57" w:type="dxa"/>
            </w:tcMar>
            <w:vAlign w:val="center"/>
          </w:tcPr>
          <w:p w14:paraId="3D63D82A">
            <w:pPr>
              <w:pStyle w:val="334"/>
              <w:spacing w:line="360" w:lineRule="auto"/>
              <w:ind w:firstLine="0"/>
              <w:jc w:val="center"/>
              <w:rPr>
                <w:rFonts w:hint="eastAsia" w:ascii="宋体" w:hAnsi="宋体" w:eastAsia="宋体" w:cs="宋体"/>
                <w:color w:val="auto"/>
                <w:sz w:val="28"/>
                <w:szCs w:val="28"/>
                <w:highlight w:val="none"/>
              </w:rPr>
            </w:pPr>
          </w:p>
        </w:tc>
        <w:tc>
          <w:tcPr>
            <w:tcW w:w="1375" w:type="dxa"/>
            <w:noWrap w:val="0"/>
            <w:tcMar>
              <w:top w:w="57" w:type="dxa"/>
              <w:left w:w="57" w:type="dxa"/>
              <w:bottom w:w="57" w:type="dxa"/>
              <w:right w:w="57" w:type="dxa"/>
            </w:tcMar>
            <w:vAlign w:val="center"/>
          </w:tcPr>
          <w:p w14:paraId="01224314">
            <w:pPr>
              <w:pStyle w:val="334"/>
              <w:spacing w:line="360" w:lineRule="auto"/>
              <w:ind w:firstLine="0"/>
              <w:jc w:val="center"/>
              <w:rPr>
                <w:rFonts w:hint="eastAsia" w:ascii="宋体" w:hAnsi="宋体" w:eastAsia="宋体" w:cs="宋体"/>
                <w:color w:val="auto"/>
                <w:sz w:val="28"/>
                <w:szCs w:val="28"/>
                <w:highlight w:val="none"/>
              </w:rPr>
            </w:pPr>
          </w:p>
        </w:tc>
        <w:tc>
          <w:tcPr>
            <w:tcW w:w="1554" w:type="dxa"/>
            <w:noWrap w:val="0"/>
            <w:tcMar>
              <w:top w:w="57" w:type="dxa"/>
              <w:left w:w="57" w:type="dxa"/>
              <w:bottom w:w="57" w:type="dxa"/>
              <w:right w:w="57" w:type="dxa"/>
            </w:tcMar>
            <w:vAlign w:val="center"/>
          </w:tcPr>
          <w:p w14:paraId="31B7E0A1">
            <w:pPr>
              <w:pStyle w:val="334"/>
              <w:spacing w:line="360" w:lineRule="auto"/>
              <w:ind w:firstLine="0"/>
              <w:jc w:val="center"/>
              <w:rPr>
                <w:rFonts w:hint="eastAsia" w:ascii="宋体" w:hAnsi="宋体" w:eastAsia="宋体" w:cs="宋体"/>
                <w:color w:val="auto"/>
                <w:sz w:val="28"/>
                <w:szCs w:val="28"/>
                <w:highlight w:val="none"/>
              </w:rPr>
            </w:pPr>
          </w:p>
        </w:tc>
        <w:tc>
          <w:tcPr>
            <w:tcW w:w="1447" w:type="dxa"/>
            <w:noWrap w:val="0"/>
            <w:tcMar>
              <w:top w:w="57" w:type="dxa"/>
              <w:left w:w="57" w:type="dxa"/>
              <w:bottom w:w="57" w:type="dxa"/>
              <w:right w:w="57" w:type="dxa"/>
            </w:tcMar>
            <w:vAlign w:val="center"/>
          </w:tcPr>
          <w:p w14:paraId="43FB221B">
            <w:pPr>
              <w:pStyle w:val="334"/>
              <w:spacing w:line="360" w:lineRule="auto"/>
              <w:ind w:left="1260" w:firstLine="0"/>
              <w:jc w:val="center"/>
              <w:rPr>
                <w:rFonts w:hint="eastAsia" w:ascii="宋体" w:hAnsi="宋体" w:eastAsia="宋体" w:cs="宋体"/>
                <w:color w:val="auto"/>
                <w:sz w:val="28"/>
                <w:szCs w:val="28"/>
                <w:highlight w:val="none"/>
              </w:rPr>
            </w:pPr>
          </w:p>
        </w:tc>
      </w:tr>
      <w:tr w14:paraId="3AEF9D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trPr>
        <w:tc>
          <w:tcPr>
            <w:tcW w:w="1051" w:type="dxa"/>
            <w:noWrap w:val="0"/>
            <w:tcMar>
              <w:top w:w="57" w:type="dxa"/>
              <w:left w:w="57" w:type="dxa"/>
              <w:bottom w:w="57" w:type="dxa"/>
              <w:right w:w="57" w:type="dxa"/>
            </w:tcMar>
            <w:vAlign w:val="center"/>
          </w:tcPr>
          <w:p w14:paraId="3833D662">
            <w:pPr>
              <w:pStyle w:val="334"/>
              <w:spacing w:line="360" w:lineRule="auto"/>
              <w:ind w:firstLine="0"/>
              <w:jc w:val="center"/>
              <w:rPr>
                <w:rFonts w:hint="eastAsia" w:ascii="宋体" w:hAnsi="宋体" w:eastAsia="宋体" w:cs="宋体"/>
                <w:color w:val="auto"/>
                <w:sz w:val="28"/>
                <w:szCs w:val="28"/>
                <w:highlight w:val="none"/>
              </w:rPr>
            </w:pPr>
          </w:p>
        </w:tc>
        <w:tc>
          <w:tcPr>
            <w:tcW w:w="2312" w:type="dxa"/>
            <w:noWrap w:val="0"/>
            <w:tcMar>
              <w:top w:w="57" w:type="dxa"/>
              <w:left w:w="57" w:type="dxa"/>
              <w:bottom w:w="57" w:type="dxa"/>
              <w:right w:w="57" w:type="dxa"/>
            </w:tcMar>
            <w:vAlign w:val="center"/>
          </w:tcPr>
          <w:p w14:paraId="7961874E">
            <w:pPr>
              <w:pStyle w:val="334"/>
              <w:spacing w:line="360" w:lineRule="auto"/>
              <w:ind w:firstLine="0"/>
              <w:jc w:val="center"/>
              <w:rPr>
                <w:rFonts w:hint="eastAsia" w:ascii="宋体" w:hAnsi="宋体" w:eastAsia="宋体" w:cs="宋体"/>
                <w:color w:val="auto"/>
                <w:sz w:val="28"/>
                <w:szCs w:val="28"/>
                <w:highlight w:val="none"/>
              </w:rPr>
            </w:pPr>
          </w:p>
        </w:tc>
        <w:tc>
          <w:tcPr>
            <w:tcW w:w="1375" w:type="dxa"/>
            <w:noWrap w:val="0"/>
            <w:tcMar>
              <w:top w:w="57" w:type="dxa"/>
              <w:left w:w="57" w:type="dxa"/>
              <w:bottom w:w="57" w:type="dxa"/>
              <w:right w:w="57" w:type="dxa"/>
            </w:tcMar>
            <w:vAlign w:val="center"/>
          </w:tcPr>
          <w:p w14:paraId="5D033C36">
            <w:pPr>
              <w:pStyle w:val="334"/>
              <w:spacing w:line="360" w:lineRule="auto"/>
              <w:ind w:firstLine="0"/>
              <w:jc w:val="center"/>
              <w:rPr>
                <w:rFonts w:hint="eastAsia" w:ascii="宋体" w:hAnsi="宋体" w:eastAsia="宋体" w:cs="宋体"/>
                <w:color w:val="auto"/>
                <w:sz w:val="28"/>
                <w:szCs w:val="28"/>
                <w:highlight w:val="none"/>
              </w:rPr>
            </w:pPr>
          </w:p>
        </w:tc>
        <w:tc>
          <w:tcPr>
            <w:tcW w:w="1554" w:type="dxa"/>
            <w:noWrap w:val="0"/>
            <w:tcMar>
              <w:top w:w="57" w:type="dxa"/>
              <w:left w:w="57" w:type="dxa"/>
              <w:bottom w:w="57" w:type="dxa"/>
              <w:right w:w="57" w:type="dxa"/>
            </w:tcMar>
            <w:vAlign w:val="center"/>
          </w:tcPr>
          <w:p w14:paraId="1427677E">
            <w:pPr>
              <w:pStyle w:val="334"/>
              <w:spacing w:line="360" w:lineRule="auto"/>
              <w:ind w:firstLine="0"/>
              <w:jc w:val="center"/>
              <w:rPr>
                <w:rFonts w:hint="eastAsia" w:ascii="宋体" w:hAnsi="宋体" w:eastAsia="宋体" w:cs="宋体"/>
                <w:color w:val="auto"/>
                <w:sz w:val="28"/>
                <w:szCs w:val="28"/>
                <w:highlight w:val="none"/>
              </w:rPr>
            </w:pPr>
          </w:p>
        </w:tc>
        <w:tc>
          <w:tcPr>
            <w:tcW w:w="1447" w:type="dxa"/>
            <w:noWrap w:val="0"/>
            <w:tcMar>
              <w:top w:w="57" w:type="dxa"/>
              <w:left w:w="57" w:type="dxa"/>
              <w:bottom w:w="57" w:type="dxa"/>
              <w:right w:w="57" w:type="dxa"/>
            </w:tcMar>
            <w:vAlign w:val="center"/>
          </w:tcPr>
          <w:p w14:paraId="2FEFC275">
            <w:pPr>
              <w:pStyle w:val="334"/>
              <w:spacing w:line="360" w:lineRule="auto"/>
              <w:ind w:left="1260" w:firstLine="0"/>
              <w:jc w:val="center"/>
              <w:rPr>
                <w:rFonts w:hint="eastAsia" w:ascii="宋体" w:hAnsi="宋体" w:eastAsia="宋体" w:cs="宋体"/>
                <w:color w:val="auto"/>
                <w:sz w:val="28"/>
                <w:szCs w:val="28"/>
                <w:highlight w:val="none"/>
              </w:rPr>
            </w:pPr>
          </w:p>
        </w:tc>
      </w:tr>
    </w:tbl>
    <w:p w14:paraId="184283BE">
      <w:pPr>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备注：投标人根据采购需求和各自的施工方案据实填，但不限于上述材料。施工主要辅材须经采购人验收合格后方能投入施工。</w:t>
      </w:r>
    </w:p>
    <w:p w14:paraId="33A35211">
      <w:pPr>
        <w:rPr>
          <w:rFonts w:hint="eastAsia" w:ascii="宋体" w:hAnsi="宋体" w:eastAsia="宋体" w:cs="宋体"/>
          <w:color w:val="auto"/>
          <w:sz w:val="28"/>
          <w:szCs w:val="28"/>
          <w:highlight w:val="none"/>
          <w:lang w:val="en-US" w:eastAsia="zh-CN"/>
        </w:rPr>
        <w:sectPr>
          <w:pgSz w:w="11907" w:h="16839"/>
          <w:pgMar w:top="1440" w:right="1800" w:bottom="1440" w:left="1800" w:header="720" w:footer="720" w:gutter="0"/>
          <w:cols w:space="720" w:num="1"/>
          <w:docGrid w:linePitch="360" w:charSpace="0"/>
        </w:sectPr>
      </w:pPr>
    </w:p>
    <w:p w14:paraId="7945DE6F">
      <w:pPr>
        <w:tabs>
          <w:tab w:val="left" w:pos="1260"/>
        </w:tabs>
        <w:spacing w:line="460" w:lineRule="exact"/>
        <w:ind w:firstLine="560"/>
        <w:contextualSpacing/>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附件</w:t>
      </w:r>
      <w:r>
        <w:rPr>
          <w:rFonts w:hint="eastAsia" w:ascii="宋体" w:hAnsi="宋体" w:cs="宋体"/>
          <w:bCs/>
          <w:color w:val="auto"/>
          <w:sz w:val="28"/>
          <w:szCs w:val="28"/>
          <w:highlight w:val="none"/>
          <w:lang w:val="en-US" w:eastAsia="zh-CN"/>
        </w:rPr>
        <w:t>7</w:t>
      </w:r>
    </w:p>
    <w:p w14:paraId="3EC1CEDB">
      <w:pPr>
        <w:spacing w:before="240" w:line="46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投标人信用承诺书</w:t>
      </w:r>
    </w:p>
    <w:p w14:paraId="393257AC">
      <w:pPr>
        <w:spacing w:line="460" w:lineRule="exact"/>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为营造公开、公平、公正的公共资源交易环境，树立诚信守法的投标人形象，本人代表本单位作出以下承诺：</w:t>
      </w:r>
    </w:p>
    <w:p w14:paraId="194D293B">
      <w:pPr>
        <w:spacing w:line="460" w:lineRule="exact"/>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一、本单位对所提交的单位基本信息、单位负责人、项目负责人、技术负责人、从业资质和资格、业绩、财务状况、信誉等所有资料，均合法、真实、准确、有效，无任何伪造、修改、虚假成分；</w:t>
      </w:r>
    </w:p>
    <w:p w14:paraId="776965FD">
      <w:pPr>
        <w:spacing w:line="460" w:lineRule="exact"/>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二、严格依照国家和省、市、县关于政府采购等方面的法律、法规、规章、规范性文件，参加公共资源交易招标投标活动；积极履行社会责任，促进廉政建设；</w:t>
      </w:r>
    </w:p>
    <w:p w14:paraId="2F3E3A2E">
      <w:pPr>
        <w:spacing w:line="460" w:lineRule="exact"/>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三、严格遵守即时信息公示规定，及时更新公共资源交易中心主体信息库中信息；</w:t>
      </w:r>
    </w:p>
    <w:p w14:paraId="14D2026C">
      <w:pPr>
        <w:spacing w:line="460" w:lineRule="exact"/>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四、自我约束、自我管理，守合同、重信用，不参与围标串标、弄虚作假、骗取中标、干扰评标、违约毁约、恶意投诉等行为，主动维护公共资源交易招标投标的良好秩序；</w:t>
      </w:r>
    </w:p>
    <w:p w14:paraId="6ED01E36">
      <w:pPr>
        <w:spacing w:line="460" w:lineRule="exact"/>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p>
    <w:p w14:paraId="22967D7A">
      <w:pPr>
        <w:spacing w:line="460" w:lineRule="exact"/>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六、自觉接受政府部门、行业组织、社会公众、新闻舆论等监督；</w:t>
      </w:r>
    </w:p>
    <w:p w14:paraId="38E52194">
      <w:pPr>
        <w:spacing w:line="460" w:lineRule="exact"/>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七、上述承诺已向本单位员工作了宣传教育；</w:t>
      </w:r>
    </w:p>
    <w:p w14:paraId="54BBA8AD">
      <w:pPr>
        <w:tabs>
          <w:tab w:val="left" w:pos="4860"/>
        </w:tabs>
        <w:spacing w:line="460" w:lineRule="exact"/>
        <w:ind w:right="1560"/>
        <w:jc w:val="lef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如有违反上述承诺的不良行为，本单位同意将其予以上网公示。</w:t>
      </w:r>
    </w:p>
    <w:p w14:paraId="54699F4E">
      <w:pPr>
        <w:spacing w:line="460" w:lineRule="exact"/>
        <w:ind w:firstLine="3080"/>
        <w:rPr>
          <w:rFonts w:hint="eastAsia" w:ascii="宋体" w:hAnsi="宋体" w:cs="宋体"/>
          <w:color w:val="auto"/>
          <w:sz w:val="28"/>
          <w:szCs w:val="28"/>
          <w:highlight w:val="none"/>
        </w:rPr>
      </w:pPr>
    </w:p>
    <w:p w14:paraId="584AB42D">
      <w:pPr>
        <w:spacing w:line="460" w:lineRule="exact"/>
        <w:ind w:firstLine="3080"/>
        <w:rPr>
          <w:rFonts w:hint="eastAsia"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投标</w:t>
      </w:r>
      <w:r>
        <w:rPr>
          <w:rFonts w:hint="eastAsia" w:ascii="宋体" w:hAnsi="宋体" w:cs="宋体"/>
          <w:color w:val="auto"/>
          <w:sz w:val="28"/>
          <w:szCs w:val="28"/>
          <w:highlight w:val="none"/>
        </w:rPr>
        <w:t>人</w:t>
      </w:r>
      <w:r>
        <w:rPr>
          <w:rFonts w:hint="eastAsia" w:ascii="宋体" w:hAnsi="宋体" w:cs="宋体"/>
          <w:color w:val="auto"/>
          <w:sz w:val="28"/>
          <w:szCs w:val="28"/>
          <w:highlight w:val="none"/>
          <w:lang w:val="zh-CN"/>
        </w:rPr>
        <w:t>全称(</w:t>
      </w:r>
      <w:r>
        <w:rPr>
          <w:rFonts w:hint="eastAsia" w:ascii="宋体" w:hAnsi="宋体" w:cs="宋体"/>
          <w:color w:val="auto"/>
          <w:sz w:val="28"/>
          <w:szCs w:val="28"/>
          <w:highlight w:val="none"/>
        </w:rPr>
        <w:t>加盖CA电子签章</w:t>
      </w:r>
      <w:r>
        <w:rPr>
          <w:rFonts w:hint="eastAsia" w:ascii="宋体" w:hAnsi="宋体" w:cs="宋体"/>
          <w:color w:val="auto"/>
          <w:sz w:val="28"/>
          <w:szCs w:val="28"/>
          <w:highlight w:val="none"/>
          <w:lang w:val="zh-CN"/>
        </w:rPr>
        <w:t>)：</w:t>
      </w:r>
    </w:p>
    <w:p w14:paraId="21302FA9">
      <w:pPr>
        <w:spacing w:line="460" w:lineRule="exact"/>
        <w:ind w:firstLine="3080"/>
        <w:rPr>
          <w:rFonts w:hint="eastAsia"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法定代表人（签字或</w:t>
      </w:r>
      <w:r>
        <w:rPr>
          <w:rFonts w:hint="eastAsia" w:ascii="宋体" w:hAnsi="宋体" w:cs="宋体"/>
          <w:color w:val="auto"/>
          <w:sz w:val="28"/>
          <w:szCs w:val="28"/>
          <w:highlight w:val="none"/>
        </w:rPr>
        <w:t>加盖CA电子签章）</w:t>
      </w:r>
      <w:r>
        <w:rPr>
          <w:rFonts w:hint="eastAsia" w:ascii="宋体" w:hAnsi="宋体" w:cs="宋体"/>
          <w:color w:val="auto"/>
          <w:sz w:val="28"/>
          <w:szCs w:val="28"/>
          <w:highlight w:val="none"/>
          <w:lang w:val="zh-CN"/>
        </w:rPr>
        <w:t>：</w:t>
      </w:r>
    </w:p>
    <w:p w14:paraId="6C3528DC">
      <w:pPr>
        <w:spacing w:line="460" w:lineRule="exact"/>
        <w:ind w:firstLine="3080"/>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时间：  年  月   日</w:t>
      </w:r>
    </w:p>
    <w:p w14:paraId="09371976">
      <w:pPr>
        <w:spacing w:line="460" w:lineRule="exact"/>
        <w:rPr>
          <w:rFonts w:hint="eastAsia" w:ascii="宋体" w:hAnsi="宋体" w:cs="宋体"/>
          <w:color w:val="auto"/>
          <w:sz w:val="28"/>
          <w:szCs w:val="28"/>
          <w:highlight w:val="none"/>
        </w:rPr>
        <w:sectPr>
          <w:pgSz w:w="11907" w:h="16839"/>
          <w:pgMar w:top="1440" w:right="1800" w:bottom="1440" w:left="1800" w:header="720" w:footer="720" w:gutter="0"/>
          <w:cols w:space="720" w:num="1"/>
          <w:docGrid w:linePitch="360" w:charSpace="0"/>
        </w:sectPr>
      </w:pPr>
    </w:p>
    <w:p w14:paraId="131CD01B">
      <w:pPr>
        <w:spacing w:line="400" w:lineRule="exact"/>
        <w:ind w:firstLine="640"/>
        <w:contextualSpacing/>
        <w:outlineLvl w:val="3"/>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val="zh-CN"/>
        </w:rPr>
        <w:t>附件</w:t>
      </w:r>
      <w:r>
        <w:rPr>
          <w:rFonts w:hint="eastAsia" w:ascii="宋体" w:hAnsi="宋体" w:cs="宋体"/>
          <w:color w:val="auto"/>
          <w:sz w:val="32"/>
          <w:szCs w:val="32"/>
          <w:highlight w:val="none"/>
          <w:lang w:val="en-US" w:eastAsia="zh-CN"/>
        </w:rPr>
        <w:t>8</w:t>
      </w:r>
    </w:p>
    <w:p w14:paraId="18F1EC88">
      <w:pPr>
        <w:jc w:val="center"/>
        <w:rPr>
          <w:rFonts w:hint="eastAsia" w:ascii="宋体" w:hAnsi="宋体" w:cs="宋体"/>
          <w:b/>
          <w:color w:val="auto"/>
          <w:sz w:val="30"/>
          <w:szCs w:val="30"/>
          <w:highlight w:val="none"/>
        </w:rPr>
      </w:pPr>
    </w:p>
    <w:p w14:paraId="7FD06203">
      <w:pPr>
        <w:jc w:val="center"/>
        <w:rPr>
          <w:rFonts w:hint="eastAsia" w:ascii="宋体" w:hAnsi="宋体" w:cs="宋体"/>
          <w:b/>
          <w:color w:val="auto"/>
          <w:sz w:val="28"/>
          <w:szCs w:val="28"/>
          <w:highlight w:val="none"/>
        </w:rPr>
      </w:pPr>
    </w:p>
    <w:p w14:paraId="33E92B55">
      <w:pPr>
        <w:spacing w:line="40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投标人符合《中华人民共和国政府采购法》第二十二条规定条件的声明函</w:t>
      </w:r>
    </w:p>
    <w:p w14:paraId="205881F3">
      <w:pPr>
        <w:spacing w:line="400" w:lineRule="exact"/>
        <w:rPr>
          <w:rFonts w:hint="eastAsia" w:ascii="宋体" w:hAnsi="宋体" w:cs="宋体"/>
          <w:b/>
          <w:bCs/>
          <w:color w:val="auto"/>
          <w:sz w:val="28"/>
          <w:szCs w:val="28"/>
          <w:highlight w:val="none"/>
        </w:rPr>
      </w:pPr>
    </w:p>
    <w:p w14:paraId="5510EF09">
      <w:pPr>
        <w:spacing w:line="400" w:lineRule="exact"/>
        <w:ind w:firstLine="560"/>
        <w:rPr>
          <w:rFonts w:hint="eastAsia" w:ascii="宋体" w:hAnsi="宋体" w:cs="宋体"/>
          <w:b/>
          <w:bCs/>
          <w:color w:val="auto"/>
          <w:sz w:val="28"/>
          <w:szCs w:val="28"/>
          <w:highlight w:val="none"/>
        </w:rPr>
      </w:pPr>
      <w:r>
        <w:rPr>
          <w:rFonts w:hint="eastAsia" w:ascii="宋体" w:hAnsi="宋体" w:cs="宋体"/>
          <w:bCs/>
          <w:color w:val="auto"/>
          <w:sz w:val="28"/>
          <w:szCs w:val="28"/>
          <w:highlight w:val="none"/>
        </w:rPr>
        <w:t>我单位参加</w:t>
      </w:r>
      <w:r>
        <w:rPr>
          <w:rFonts w:hint="eastAsia" w:ascii="宋体" w:hAnsi="宋体" w:cs="宋体"/>
          <w:bCs/>
          <w:color w:val="auto"/>
          <w:sz w:val="28"/>
          <w:szCs w:val="28"/>
          <w:highlight w:val="none"/>
          <w:u w:val="single"/>
        </w:rPr>
        <w:t>________________ _</w:t>
      </w:r>
      <w:r>
        <w:rPr>
          <w:rFonts w:hint="eastAsia" w:ascii="宋体" w:hAnsi="宋体" w:cs="宋体"/>
          <w:bCs/>
          <w:color w:val="auto"/>
          <w:sz w:val="28"/>
          <w:szCs w:val="28"/>
          <w:highlight w:val="none"/>
        </w:rPr>
        <w:t>（项目名称），</w:t>
      </w:r>
      <w:r>
        <w:rPr>
          <w:rFonts w:hint="eastAsia" w:ascii="宋体" w:hAnsi="宋体" w:cs="宋体"/>
          <w:bCs/>
          <w:color w:val="auto"/>
          <w:sz w:val="28"/>
          <w:szCs w:val="28"/>
          <w:highlight w:val="none"/>
          <w:u w:val="single"/>
        </w:rPr>
        <w:t>_______ __________</w:t>
      </w:r>
      <w:r>
        <w:rPr>
          <w:rFonts w:hint="eastAsia" w:ascii="宋体" w:hAnsi="宋体" w:cs="宋体"/>
          <w:bCs/>
          <w:color w:val="auto"/>
          <w:sz w:val="28"/>
          <w:szCs w:val="28"/>
          <w:highlight w:val="none"/>
        </w:rPr>
        <w:t>（项目编号）投标活动。针对《中华人民共和国政府采购法》第二十二条规定做出如下声明：</w:t>
      </w:r>
    </w:p>
    <w:p w14:paraId="5ACEF6EE">
      <w:pPr>
        <w:spacing w:line="400" w:lineRule="exact"/>
        <w:ind w:firstLine="560"/>
        <w:rPr>
          <w:rFonts w:hint="eastAsia" w:ascii="宋体" w:hAnsi="宋体" w:cs="宋体"/>
          <w:color w:val="auto"/>
          <w:sz w:val="28"/>
          <w:szCs w:val="28"/>
          <w:highlight w:val="none"/>
        </w:rPr>
      </w:pPr>
      <w:r>
        <w:rPr>
          <w:rFonts w:hint="eastAsia" w:ascii="宋体" w:hAnsi="宋体" w:cs="宋体"/>
          <w:bCs/>
          <w:color w:val="auto"/>
          <w:sz w:val="28"/>
          <w:szCs w:val="28"/>
          <w:highlight w:val="none"/>
        </w:rPr>
        <w:t>1.我单位具有独立承担民事责任的能力；</w:t>
      </w:r>
    </w:p>
    <w:p w14:paraId="0C3F5015">
      <w:pPr>
        <w:spacing w:line="4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2.我单位具有良好的商业信誉和健全的财务会计制度；</w:t>
      </w:r>
    </w:p>
    <w:p w14:paraId="730826D0">
      <w:pPr>
        <w:spacing w:line="4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3.我单位具有履行合同所必需的设备和专业技术能力；</w:t>
      </w:r>
    </w:p>
    <w:p w14:paraId="605822A6">
      <w:pPr>
        <w:spacing w:line="4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4.我单位有依法缴纳税收和社会保障资金的良好记录；</w:t>
      </w:r>
    </w:p>
    <w:p w14:paraId="2ED4E416">
      <w:pPr>
        <w:spacing w:line="4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186万元以上的罚款，法律、行政法规以及国务院有关部门明确规定相关领域“较大数额罚款”标准高于186万元的，从其规定。）</w:t>
      </w:r>
    </w:p>
    <w:p w14:paraId="1A62BFD9">
      <w:pPr>
        <w:spacing w:line="400" w:lineRule="exact"/>
        <w:ind w:firstLine="560"/>
        <w:outlineLvl w:val="2"/>
        <w:rPr>
          <w:rFonts w:hint="eastAsia" w:ascii="宋体" w:hAnsi="宋体" w:cs="宋体"/>
          <w:color w:val="auto"/>
          <w:sz w:val="28"/>
          <w:szCs w:val="28"/>
          <w:highlight w:val="none"/>
        </w:rPr>
      </w:pPr>
      <w:bookmarkStart w:id="176" w:name="_Toc9266"/>
      <w:r>
        <w:rPr>
          <w:rFonts w:hint="eastAsia" w:ascii="宋体" w:hAnsi="宋体" w:cs="宋体"/>
          <w:color w:val="auto"/>
          <w:sz w:val="28"/>
          <w:szCs w:val="28"/>
          <w:highlight w:val="none"/>
        </w:rPr>
        <w:t>6.我单位满足法律、行政法规规定的其他条件。</w:t>
      </w:r>
      <w:bookmarkEnd w:id="176"/>
    </w:p>
    <w:p w14:paraId="072111F4">
      <w:pPr>
        <w:spacing w:line="400" w:lineRule="exact"/>
        <w:ind w:firstLine="560"/>
        <w:rPr>
          <w:rFonts w:hint="eastAsia" w:ascii="宋体" w:hAnsi="宋体" w:cs="宋体"/>
          <w:color w:val="auto"/>
          <w:sz w:val="28"/>
          <w:szCs w:val="28"/>
          <w:highlight w:val="none"/>
        </w:rPr>
      </w:pPr>
    </w:p>
    <w:p w14:paraId="408D9F57">
      <w:pPr>
        <w:spacing w:line="400" w:lineRule="exact"/>
        <w:ind w:firstLine="560"/>
        <w:rPr>
          <w:rFonts w:hint="eastAsia" w:ascii="宋体" w:hAnsi="宋体" w:cs="宋体"/>
          <w:color w:val="auto"/>
          <w:sz w:val="28"/>
          <w:szCs w:val="28"/>
          <w:highlight w:val="none"/>
        </w:rPr>
      </w:pPr>
    </w:p>
    <w:p w14:paraId="4E0B5E77">
      <w:pPr>
        <w:spacing w:line="400" w:lineRule="exact"/>
        <w:ind w:firstLine="560"/>
        <w:rPr>
          <w:rFonts w:hint="eastAsia" w:ascii="宋体" w:hAnsi="宋体" w:cs="宋体"/>
          <w:bCs/>
          <w:color w:val="auto"/>
          <w:sz w:val="28"/>
          <w:szCs w:val="28"/>
          <w:highlight w:val="none"/>
        </w:rPr>
      </w:pPr>
    </w:p>
    <w:p w14:paraId="7E2F56A7">
      <w:pPr>
        <w:spacing w:line="400" w:lineRule="exact"/>
        <w:ind w:firstLine="560"/>
        <w:rPr>
          <w:rFonts w:hint="eastAsia" w:ascii="宋体" w:hAnsi="宋体" w:cs="宋体"/>
          <w:bCs/>
          <w:color w:val="auto"/>
          <w:sz w:val="28"/>
          <w:szCs w:val="28"/>
          <w:highlight w:val="none"/>
        </w:rPr>
      </w:pPr>
    </w:p>
    <w:p w14:paraId="571B9D70">
      <w:pPr>
        <w:spacing w:line="400" w:lineRule="exact"/>
        <w:ind w:firstLine="560"/>
        <w:rPr>
          <w:rFonts w:hint="eastAsia" w:ascii="宋体" w:hAnsi="宋体" w:cs="宋体"/>
          <w:bCs/>
          <w:color w:val="auto"/>
          <w:sz w:val="28"/>
          <w:szCs w:val="28"/>
          <w:highlight w:val="none"/>
        </w:rPr>
      </w:pPr>
    </w:p>
    <w:p w14:paraId="10A256E2">
      <w:pPr>
        <w:spacing w:line="400" w:lineRule="exact"/>
        <w:ind w:firstLine="560"/>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                         承诺人名称（</w:t>
      </w:r>
      <w:r>
        <w:rPr>
          <w:rFonts w:hint="eastAsia" w:ascii="宋体" w:hAnsi="宋体" w:cs="宋体"/>
          <w:color w:val="auto"/>
          <w:sz w:val="28"/>
          <w:szCs w:val="28"/>
          <w:highlight w:val="none"/>
        </w:rPr>
        <w:t>加盖CA电子签章</w:t>
      </w:r>
      <w:r>
        <w:rPr>
          <w:rFonts w:hint="eastAsia" w:ascii="宋体" w:hAnsi="宋体" w:cs="宋体"/>
          <w:bCs/>
          <w:color w:val="auto"/>
          <w:sz w:val="28"/>
          <w:szCs w:val="28"/>
          <w:highlight w:val="none"/>
        </w:rPr>
        <w:t>）：</w:t>
      </w:r>
    </w:p>
    <w:p w14:paraId="7C52FF0C">
      <w:pPr>
        <w:spacing w:line="400" w:lineRule="exact"/>
        <w:ind w:firstLine="560"/>
        <w:jc w:val="right"/>
        <w:rPr>
          <w:rFonts w:hint="eastAsia" w:ascii="宋体" w:hAnsi="宋体" w:cs="宋体"/>
          <w:bCs/>
          <w:color w:val="auto"/>
          <w:sz w:val="28"/>
          <w:szCs w:val="28"/>
          <w:highlight w:val="none"/>
        </w:rPr>
      </w:pPr>
    </w:p>
    <w:p w14:paraId="79664B85">
      <w:pPr>
        <w:spacing w:line="400" w:lineRule="exact"/>
        <w:ind w:firstLine="560"/>
        <w:jc w:val="righ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                              日期：</w:t>
      </w:r>
      <w:r>
        <w:rPr>
          <w:rFonts w:hint="eastAsia" w:ascii="宋体" w:hAnsi="宋体" w:cs="宋体"/>
          <w:bCs/>
          <w:color w:val="auto"/>
          <w:sz w:val="28"/>
          <w:szCs w:val="28"/>
          <w:highlight w:val="none"/>
          <w:u w:val="single"/>
        </w:rPr>
        <w:t>______</w:t>
      </w:r>
      <w:r>
        <w:rPr>
          <w:rFonts w:hint="eastAsia" w:ascii="宋体" w:hAnsi="宋体" w:cs="宋体"/>
          <w:bCs/>
          <w:color w:val="auto"/>
          <w:sz w:val="28"/>
          <w:szCs w:val="28"/>
          <w:highlight w:val="none"/>
        </w:rPr>
        <w:t>年月日</w:t>
      </w:r>
    </w:p>
    <w:p w14:paraId="19B146D3">
      <w:pPr>
        <w:spacing w:line="400" w:lineRule="exact"/>
        <w:ind w:firstLine="540"/>
        <w:contextualSpacing/>
        <w:rPr>
          <w:rFonts w:hint="eastAsia" w:ascii="宋体" w:hAnsi="宋体" w:cs="宋体"/>
          <w:b/>
          <w:color w:val="auto"/>
          <w:sz w:val="28"/>
          <w:szCs w:val="28"/>
          <w:highlight w:val="none"/>
        </w:rPr>
      </w:pPr>
    </w:p>
    <w:p w14:paraId="42BEA517">
      <w:pPr>
        <w:spacing w:line="400" w:lineRule="exact"/>
        <w:ind w:firstLine="540"/>
        <w:contextualSpacing/>
        <w:rPr>
          <w:rFonts w:hint="eastAsia" w:ascii="宋体" w:hAnsi="宋体" w:cs="宋体"/>
          <w:b/>
          <w:color w:val="auto"/>
          <w:sz w:val="28"/>
          <w:szCs w:val="28"/>
          <w:highlight w:val="none"/>
          <w:lang w:val="zh-CN"/>
        </w:rPr>
      </w:pPr>
    </w:p>
    <w:p w14:paraId="42A2D3B6">
      <w:pPr>
        <w:spacing w:line="400" w:lineRule="exact"/>
        <w:ind w:firstLine="540"/>
        <w:contextualSpacing/>
        <w:rPr>
          <w:rFonts w:hint="eastAsia" w:ascii="宋体" w:hAnsi="宋体" w:cs="宋体"/>
          <w:b/>
          <w:color w:val="auto"/>
          <w:sz w:val="28"/>
          <w:szCs w:val="28"/>
          <w:highlight w:val="none"/>
          <w:lang w:val="zh-CN"/>
        </w:rPr>
      </w:pPr>
    </w:p>
    <w:p w14:paraId="52D6D944">
      <w:pPr>
        <w:spacing w:line="400" w:lineRule="exact"/>
        <w:contextualSpacing/>
        <w:rPr>
          <w:rFonts w:hint="eastAsia" w:ascii="宋体" w:hAnsi="宋体" w:cs="宋体"/>
          <w:color w:val="auto"/>
          <w:sz w:val="32"/>
          <w:szCs w:val="32"/>
          <w:highlight w:val="none"/>
          <w:lang w:val="zh-CN"/>
        </w:rPr>
      </w:pPr>
    </w:p>
    <w:p w14:paraId="272CE255">
      <w:pPr>
        <w:spacing w:line="460" w:lineRule="exact"/>
        <w:contextualSpacing/>
        <w:outlineLvl w:val="3"/>
        <w:rPr>
          <w:rFonts w:hint="eastAsia" w:ascii="宋体" w:hAnsi="宋体" w:cs="宋体"/>
          <w:color w:val="auto"/>
          <w:sz w:val="28"/>
          <w:szCs w:val="28"/>
          <w:highlight w:val="none"/>
          <w:lang w:val="zh-CN"/>
        </w:rPr>
      </w:pPr>
    </w:p>
    <w:p w14:paraId="7B7503AF">
      <w:pPr>
        <w:spacing w:line="460" w:lineRule="exact"/>
        <w:contextualSpacing/>
        <w:outlineLvl w:val="3"/>
        <w:rPr>
          <w:rFonts w:hint="eastAsia" w:ascii="宋体" w:hAnsi="宋体" w:cs="宋体"/>
          <w:color w:val="auto"/>
          <w:sz w:val="28"/>
          <w:szCs w:val="28"/>
          <w:highlight w:val="none"/>
          <w:lang w:val="zh-CN"/>
        </w:rPr>
      </w:pPr>
    </w:p>
    <w:p w14:paraId="329AD0A2">
      <w:pPr>
        <w:spacing w:line="460" w:lineRule="exact"/>
        <w:contextualSpacing/>
        <w:outlineLvl w:val="3"/>
        <w:rPr>
          <w:rFonts w:hint="eastAsia" w:ascii="宋体" w:hAnsi="宋体" w:eastAsia="宋体" w:cs="宋体"/>
          <w:b/>
          <w:bCs/>
          <w:color w:val="auto"/>
          <w:sz w:val="28"/>
          <w:szCs w:val="28"/>
          <w:highlight w:val="none"/>
          <w:lang w:eastAsia="zh-CN"/>
        </w:rPr>
      </w:pPr>
      <w:r>
        <w:rPr>
          <w:rFonts w:hint="eastAsia" w:ascii="宋体" w:hAnsi="宋体" w:cs="宋体"/>
          <w:color w:val="auto"/>
          <w:sz w:val="28"/>
          <w:szCs w:val="28"/>
          <w:highlight w:val="none"/>
          <w:lang w:val="zh-CN"/>
        </w:rPr>
        <w:t>附件</w:t>
      </w:r>
      <w:r>
        <w:rPr>
          <w:rFonts w:hint="eastAsia" w:ascii="宋体" w:hAnsi="宋体" w:cs="宋体"/>
          <w:color w:val="auto"/>
          <w:sz w:val="28"/>
          <w:szCs w:val="28"/>
          <w:highlight w:val="none"/>
          <w:lang w:val="en-US" w:eastAsia="zh-CN"/>
        </w:rPr>
        <w:t>9</w:t>
      </w:r>
    </w:p>
    <w:p w14:paraId="1159A1FD">
      <w:pPr>
        <w:spacing w:line="460" w:lineRule="exact"/>
        <w:jc w:val="center"/>
        <w:rPr>
          <w:rFonts w:hint="eastAsia" w:ascii="宋体" w:hAnsi="宋体" w:cs="宋体"/>
          <w:b/>
          <w:bCs/>
          <w:color w:val="auto"/>
          <w:sz w:val="28"/>
          <w:szCs w:val="28"/>
          <w:highlight w:val="none"/>
        </w:rPr>
      </w:pPr>
    </w:p>
    <w:p w14:paraId="7584EBFF">
      <w:pPr>
        <w:spacing w:line="460" w:lineRule="exact"/>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法定代表人身份证明</w:t>
      </w:r>
    </w:p>
    <w:p w14:paraId="4CE40107">
      <w:pPr>
        <w:spacing w:line="460" w:lineRule="exact"/>
        <w:rPr>
          <w:rFonts w:hint="eastAsia" w:ascii="宋体" w:hAnsi="宋体" w:cs="宋体"/>
          <w:color w:val="auto"/>
          <w:sz w:val="28"/>
          <w:szCs w:val="28"/>
          <w:highlight w:val="none"/>
        </w:rPr>
      </w:pPr>
    </w:p>
    <w:p w14:paraId="39021B01">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先生/女士： 现任我单位职务，为法定代表人，特此证明。</w:t>
      </w:r>
    </w:p>
    <w:p w14:paraId="4CDE0308">
      <w:pPr>
        <w:spacing w:line="460" w:lineRule="exact"/>
        <w:ind w:firstLine="480"/>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身份证号码：</w:t>
      </w:r>
    </w:p>
    <w:p w14:paraId="34631BAA">
      <w:pPr>
        <w:spacing w:line="460" w:lineRule="exact"/>
        <w:ind w:firstLine="480"/>
        <w:rPr>
          <w:rFonts w:hint="eastAsia" w:ascii="宋体" w:hAnsi="宋体" w:cs="宋体"/>
          <w:color w:val="auto"/>
          <w:sz w:val="28"/>
          <w:szCs w:val="28"/>
          <w:highlight w:val="none"/>
        </w:rPr>
      </w:pPr>
    </w:p>
    <w:p w14:paraId="23D3AA47">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注：提供法定代表人的身份证复印件</w:t>
      </w:r>
    </w:p>
    <w:p w14:paraId="15596CE0">
      <w:pPr>
        <w:spacing w:line="460" w:lineRule="exact"/>
        <w:ind w:firstLine="560"/>
        <w:rPr>
          <w:rFonts w:hint="eastAsia" w:ascii="宋体" w:hAnsi="宋体" w:cs="宋体"/>
          <w:color w:val="auto"/>
          <w:sz w:val="28"/>
          <w:szCs w:val="28"/>
          <w:highlight w:val="none"/>
        </w:rPr>
      </w:pPr>
    </w:p>
    <w:p w14:paraId="6AFEEABB">
      <w:pPr>
        <w:rPr>
          <w:rFonts w:hint="eastAsia" w:ascii="宋体" w:hAnsi="宋体" w:cs="宋体"/>
          <w:color w:val="auto"/>
          <w:highlight w:val="none"/>
        </w:rPr>
      </w:pPr>
    </w:p>
    <w:p w14:paraId="2F5BB4A8">
      <w:pPr>
        <w:spacing w:line="400" w:lineRule="exact"/>
        <w:ind w:firstLine="540"/>
        <w:contextualSpacing/>
        <w:rPr>
          <w:rFonts w:hint="eastAsia" w:ascii="宋体" w:hAnsi="宋体" w:cs="宋体"/>
          <w:b/>
          <w:color w:val="auto"/>
          <w:sz w:val="28"/>
          <w:szCs w:val="28"/>
          <w:highlight w:val="none"/>
        </w:rPr>
      </w:pPr>
    </w:p>
    <w:p w14:paraId="692E3211">
      <w:pPr>
        <w:spacing w:line="400" w:lineRule="exact"/>
        <w:ind w:firstLine="540"/>
        <w:contextualSpacing/>
        <w:rPr>
          <w:rFonts w:hint="eastAsia" w:ascii="宋体" w:hAnsi="宋体" w:cs="宋体"/>
          <w:b/>
          <w:color w:val="auto"/>
          <w:sz w:val="28"/>
          <w:szCs w:val="28"/>
          <w:highlight w:val="none"/>
          <w:lang w:val="zh-CN"/>
        </w:rPr>
      </w:pPr>
    </w:p>
    <w:p w14:paraId="262BBAF8">
      <w:pPr>
        <w:spacing w:line="400" w:lineRule="exact"/>
        <w:ind w:firstLine="540"/>
        <w:contextualSpacing/>
        <w:rPr>
          <w:rFonts w:hint="eastAsia" w:ascii="宋体" w:hAnsi="宋体" w:cs="宋体"/>
          <w:b/>
          <w:color w:val="auto"/>
          <w:sz w:val="28"/>
          <w:szCs w:val="28"/>
          <w:highlight w:val="none"/>
          <w:lang w:val="zh-CN"/>
        </w:rPr>
      </w:pPr>
    </w:p>
    <w:p w14:paraId="5433CAEA">
      <w:pPr>
        <w:spacing w:line="400" w:lineRule="exact"/>
        <w:ind w:firstLine="540"/>
        <w:contextualSpacing/>
        <w:rPr>
          <w:rFonts w:hint="eastAsia" w:ascii="宋体" w:hAnsi="宋体" w:cs="宋体"/>
          <w:b/>
          <w:color w:val="auto"/>
          <w:sz w:val="28"/>
          <w:szCs w:val="28"/>
          <w:highlight w:val="none"/>
          <w:lang w:val="zh-CN"/>
        </w:rPr>
      </w:pPr>
    </w:p>
    <w:p w14:paraId="49CA3140">
      <w:pPr>
        <w:spacing w:line="400" w:lineRule="exact"/>
        <w:ind w:firstLine="540"/>
        <w:contextualSpacing/>
        <w:rPr>
          <w:rFonts w:hint="eastAsia" w:ascii="宋体" w:hAnsi="宋体" w:cs="宋体"/>
          <w:b/>
          <w:color w:val="auto"/>
          <w:sz w:val="28"/>
          <w:szCs w:val="28"/>
          <w:highlight w:val="none"/>
          <w:lang w:val="zh-CN"/>
        </w:rPr>
      </w:pPr>
    </w:p>
    <w:p w14:paraId="05C6FE47">
      <w:pPr>
        <w:spacing w:line="400" w:lineRule="exact"/>
        <w:ind w:firstLine="540"/>
        <w:contextualSpacing/>
        <w:rPr>
          <w:rFonts w:hint="eastAsia" w:ascii="宋体" w:hAnsi="宋体" w:cs="宋体"/>
          <w:b/>
          <w:color w:val="auto"/>
          <w:sz w:val="28"/>
          <w:szCs w:val="28"/>
          <w:highlight w:val="none"/>
          <w:lang w:val="zh-CN"/>
        </w:rPr>
      </w:pPr>
    </w:p>
    <w:p w14:paraId="330FF5E4">
      <w:pPr>
        <w:spacing w:line="400" w:lineRule="exact"/>
        <w:ind w:firstLine="540"/>
        <w:contextualSpacing/>
        <w:rPr>
          <w:rFonts w:hint="eastAsia" w:ascii="宋体" w:hAnsi="宋体" w:cs="宋体"/>
          <w:b/>
          <w:color w:val="auto"/>
          <w:sz w:val="28"/>
          <w:szCs w:val="28"/>
          <w:highlight w:val="none"/>
          <w:lang w:val="zh-CN"/>
        </w:rPr>
      </w:pPr>
    </w:p>
    <w:p w14:paraId="47335F0B">
      <w:pPr>
        <w:spacing w:line="400" w:lineRule="exact"/>
        <w:ind w:firstLine="540"/>
        <w:contextualSpacing/>
        <w:rPr>
          <w:rFonts w:hint="eastAsia" w:ascii="宋体" w:hAnsi="宋体" w:cs="宋体"/>
          <w:b/>
          <w:color w:val="auto"/>
          <w:sz w:val="28"/>
          <w:szCs w:val="28"/>
          <w:highlight w:val="none"/>
          <w:lang w:val="zh-CN"/>
        </w:rPr>
      </w:pPr>
    </w:p>
    <w:p w14:paraId="20D323F5">
      <w:pPr>
        <w:spacing w:line="400" w:lineRule="exact"/>
        <w:ind w:firstLine="540"/>
        <w:contextualSpacing/>
        <w:rPr>
          <w:rFonts w:hint="eastAsia" w:ascii="宋体" w:hAnsi="宋体" w:cs="宋体"/>
          <w:b/>
          <w:color w:val="auto"/>
          <w:sz w:val="28"/>
          <w:szCs w:val="28"/>
          <w:highlight w:val="none"/>
          <w:lang w:val="zh-CN"/>
        </w:rPr>
      </w:pPr>
    </w:p>
    <w:p w14:paraId="49DEDBC0">
      <w:pPr>
        <w:spacing w:line="400" w:lineRule="exact"/>
        <w:ind w:firstLine="540"/>
        <w:contextualSpacing/>
        <w:rPr>
          <w:rFonts w:hint="eastAsia" w:ascii="宋体" w:hAnsi="宋体" w:cs="宋体"/>
          <w:b/>
          <w:color w:val="auto"/>
          <w:sz w:val="28"/>
          <w:szCs w:val="28"/>
          <w:highlight w:val="none"/>
          <w:lang w:val="zh-CN"/>
        </w:rPr>
      </w:pPr>
    </w:p>
    <w:p w14:paraId="78FB5BD4">
      <w:pPr>
        <w:spacing w:line="400" w:lineRule="exact"/>
        <w:ind w:firstLine="540"/>
        <w:contextualSpacing/>
        <w:rPr>
          <w:rFonts w:hint="eastAsia" w:ascii="宋体" w:hAnsi="宋体" w:cs="宋体"/>
          <w:b/>
          <w:color w:val="auto"/>
          <w:sz w:val="28"/>
          <w:szCs w:val="28"/>
          <w:highlight w:val="none"/>
          <w:lang w:val="zh-CN"/>
        </w:rPr>
      </w:pPr>
    </w:p>
    <w:p w14:paraId="73C9A07C">
      <w:pPr>
        <w:spacing w:line="400" w:lineRule="exact"/>
        <w:ind w:firstLine="540"/>
        <w:contextualSpacing/>
        <w:rPr>
          <w:rFonts w:hint="eastAsia" w:ascii="宋体" w:hAnsi="宋体" w:cs="宋体"/>
          <w:b/>
          <w:color w:val="auto"/>
          <w:sz w:val="28"/>
          <w:szCs w:val="28"/>
          <w:highlight w:val="none"/>
          <w:lang w:val="zh-CN"/>
        </w:rPr>
      </w:pPr>
    </w:p>
    <w:p w14:paraId="35F3C052">
      <w:pPr>
        <w:spacing w:line="400" w:lineRule="exact"/>
        <w:ind w:firstLine="540"/>
        <w:contextualSpacing/>
        <w:rPr>
          <w:rFonts w:hint="eastAsia" w:ascii="宋体" w:hAnsi="宋体" w:cs="宋体"/>
          <w:b/>
          <w:color w:val="auto"/>
          <w:sz w:val="28"/>
          <w:szCs w:val="28"/>
          <w:highlight w:val="none"/>
          <w:lang w:val="zh-CN"/>
        </w:rPr>
      </w:pPr>
    </w:p>
    <w:p w14:paraId="1D034EC0">
      <w:pPr>
        <w:spacing w:line="400" w:lineRule="exact"/>
        <w:ind w:firstLine="540"/>
        <w:contextualSpacing/>
        <w:rPr>
          <w:rFonts w:hint="eastAsia" w:ascii="宋体" w:hAnsi="宋体" w:cs="宋体"/>
          <w:b/>
          <w:color w:val="auto"/>
          <w:sz w:val="28"/>
          <w:szCs w:val="28"/>
          <w:highlight w:val="none"/>
          <w:lang w:val="zh-CN"/>
        </w:rPr>
      </w:pPr>
    </w:p>
    <w:p w14:paraId="364627B1">
      <w:pPr>
        <w:spacing w:line="400" w:lineRule="exact"/>
        <w:ind w:firstLine="540"/>
        <w:contextualSpacing/>
        <w:rPr>
          <w:rFonts w:hint="eastAsia" w:ascii="宋体" w:hAnsi="宋体" w:cs="宋体"/>
          <w:b/>
          <w:color w:val="auto"/>
          <w:sz w:val="28"/>
          <w:szCs w:val="28"/>
          <w:highlight w:val="none"/>
          <w:lang w:val="zh-CN"/>
        </w:rPr>
      </w:pPr>
    </w:p>
    <w:p w14:paraId="68D4BA0A">
      <w:pPr>
        <w:spacing w:line="400" w:lineRule="exact"/>
        <w:ind w:firstLine="540"/>
        <w:contextualSpacing/>
        <w:rPr>
          <w:rFonts w:hint="eastAsia" w:ascii="宋体" w:hAnsi="宋体" w:cs="宋体"/>
          <w:b/>
          <w:color w:val="auto"/>
          <w:sz w:val="28"/>
          <w:szCs w:val="28"/>
          <w:highlight w:val="none"/>
          <w:lang w:val="zh-CN"/>
        </w:rPr>
      </w:pPr>
    </w:p>
    <w:p w14:paraId="26A507F7">
      <w:pPr>
        <w:spacing w:line="400" w:lineRule="exact"/>
        <w:ind w:firstLine="540"/>
        <w:contextualSpacing/>
        <w:rPr>
          <w:rFonts w:hint="eastAsia" w:ascii="宋体" w:hAnsi="宋体" w:cs="宋体"/>
          <w:b/>
          <w:color w:val="auto"/>
          <w:sz w:val="28"/>
          <w:szCs w:val="28"/>
          <w:highlight w:val="none"/>
          <w:lang w:val="zh-CN"/>
        </w:rPr>
      </w:pPr>
    </w:p>
    <w:p w14:paraId="6CCEFABE">
      <w:pPr>
        <w:spacing w:line="400" w:lineRule="exact"/>
        <w:ind w:firstLine="540"/>
        <w:contextualSpacing/>
        <w:rPr>
          <w:rFonts w:hint="eastAsia" w:ascii="宋体" w:hAnsi="宋体" w:cs="宋体"/>
          <w:b/>
          <w:color w:val="auto"/>
          <w:sz w:val="28"/>
          <w:szCs w:val="28"/>
          <w:highlight w:val="none"/>
          <w:lang w:val="zh-CN"/>
        </w:rPr>
      </w:pPr>
    </w:p>
    <w:p w14:paraId="0E87736A">
      <w:pPr>
        <w:spacing w:line="400" w:lineRule="exact"/>
        <w:ind w:firstLine="540"/>
        <w:contextualSpacing/>
        <w:rPr>
          <w:rFonts w:hint="eastAsia" w:ascii="宋体" w:hAnsi="宋体" w:cs="宋体"/>
          <w:b/>
          <w:color w:val="auto"/>
          <w:sz w:val="28"/>
          <w:szCs w:val="28"/>
          <w:highlight w:val="none"/>
          <w:lang w:val="zh-CN"/>
        </w:rPr>
      </w:pPr>
    </w:p>
    <w:p w14:paraId="712B3B99">
      <w:pPr>
        <w:spacing w:line="400" w:lineRule="exact"/>
        <w:ind w:firstLine="540"/>
        <w:contextualSpacing/>
        <w:rPr>
          <w:rFonts w:hint="eastAsia" w:ascii="宋体" w:hAnsi="宋体" w:cs="宋体"/>
          <w:b/>
          <w:color w:val="auto"/>
          <w:sz w:val="28"/>
          <w:szCs w:val="28"/>
          <w:highlight w:val="none"/>
          <w:lang w:val="zh-CN"/>
        </w:rPr>
      </w:pPr>
    </w:p>
    <w:p w14:paraId="6DE43547">
      <w:pPr>
        <w:spacing w:line="400" w:lineRule="exact"/>
        <w:contextualSpacing/>
        <w:rPr>
          <w:rFonts w:hint="eastAsia" w:ascii="宋体" w:hAnsi="宋体" w:cs="宋体"/>
          <w:color w:val="auto"/>
          <w:sz w:val="32"/>
          <w:szCs w:val="32"/>
          <w:highlight w:val="none"/>
          <w:lang w:val="zh-CN"/>
        </w:rPr>
      </w:pPr>
    </w:p>
    <w:p w14:paraId="3961AE92">
      <w:pPr>
        <w:spacing w:line="400" w:lineRule="exact"/>
        <w:contextualSpacing/>
        <w:rPr>
          <w:rFonts w:hint="eastAsia" w:ascii="宋体" w:hAnsi="宋体" w:cs="宋体"/>
          <w:color w:val="auto"/>
          <w:sz w:val="32"/>
          <w:szCs w:val="32"/>
          <w:highlight w:val="none"/>
          <w:lang w:val="zh-CN"/>
        </w:rPr>
      </w:pPr>
    </w:p>
    <w:p w14:paraId="4A0FAA53">
      <w:pPr>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br w:type="page" w:clear="all"/>
      </w:r>
    </w:p>
    <w:p w14:paraId="1E32AF04">
      <w:pPr>
        <w:spacing w:line="460" w:lineRule="exact"/>
        <w:contextualSpacing/>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zh-CN"/>
        </w:rPr>
        <w:t>附件</w:t>
      </w:r>
      <w:r>
        <w:rPr>
          <w:rFonts w:hint="eastAsia" w:ascii="宋体" w:hAnsi="宋体" w:cs="宋体"/>
          <w:color w:val="auto"/>
          <w:sz w:val="28"/>
          <w:szCs w:val="28"/>
          <w:highlight w:val="none"/>
          <w:lang w:val="en-US" w:eastAsia="zh-CN"/>
        </w:rPr>
        <w:t>10</w:t>
      </w:r>
    </w:p>
    <w:p w14:paraId="1F11985A">
      <w:pPr>
        <w:spacing w:line="460" w:lineRule="exact"/>
        <w:jc w:val="center"/>
        <w:rPr>
          <w:rFonts w:hint="eastAsia" w:ascii="宋体" w:hAnsi="宋体" w:cs="宋体"/>
          <w:color w:val="auto"/>
          <w:sz w:val="28"/>
          <w:szCs w:val="28"/>
          <w:highlight w:val="none"/>
        </w:rPr>
      </w:pPr>
    </w:p>
    <w:p w14:paraId="647F2057">
      <w:pPr>
        <w:spacing w:line="460" w:lineRule="exact"/>
        <w:ind w:firstLine="56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法定代表人授权委托书</w:t>
      </w:r>
    </w:p>
    <w:p w14:paraId="7B26D7D7">
      <w:pPr>
        <w:spacing w:line="460" w:lineRule="exact"/>
        <w:ind w:firstLine="560"/>
        <w:rPr>
          <w:rFonts w:hint="eastAsia" w:ascii="宋体" w:hAnsi="宋体" w:cs="宋体"/>
          <w:color w:val="auto"/>
          <w:sz w:val="28"/>
          <w:szCs w:val="28"/>
          <w:highlight w:val="none"/>
        </w:rPr>
      </w:pPr>
    </w:p>
    <w:p w14:paraId="44A12F6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本人------（姓名）系————（授权单位名称）的法定代表人，现委托-------（姓名）（身份证号——————）为我方代理人，以我方名义全权处理与本次采购项目（编号：----------）有关的一切事务，其法律后果由我方承担。</w:t>
      </w:r>
    </w:p>
    <w:p w14:paraId="2223F9A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本授权书于---年---月---日起生效。代理人无转委托权。</w:t>
      </w:r>
    </w:p>
    <w:p w14:paraId="11ABC69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代理人(被授权人姓名):------</w:t>
      </w:r>
    </w:p>
    <w:p w14:paraId="6C59BDB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代理人联系方式：</w:t>
      </w:r>
    </w:p>
    <w:p w14:paraId="28910CA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授权单位名称（盖章）：-----</w:t>
      </w:r>
    </w:p>
    <w:p w14:paraId="2BFD377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授权单位法定代表人（签字或盖章）：-----</w:t>
      </w:r>
    </w:p>
    <w:p w14:paraId="07F0CFDE">
      <w:pPr>
        <w:spacing w:line="460" w:lineRule="exact"/>
        <w:ind w:firstLine="560"/>
        <w:jc w:val="right"/>
        <w:rPr>
          <w:rFonts w:hint="eastAsia" w:ascii="宋体" w:hAnsi="宋体" w:cs="宋体"/>
          <w:color w:val="auto"/>
          <w:sz w:val="28"/>
          <w:szCs w:val="28"/>
          <w:highlight w:val="none"/>
        </w:rPr>
      </w:pPr>
    </w:p>
    <w:p w14:paraId="32D9F66F">
      <w:pPr>
        <w:spacing w:line="460" w:lineRule="exact"/>
        <w:ind w:firstLine="560"/>
        <w:jc w:val="right"/>
        <w:rPr>
          <w:rFonts w:hint="eastAsia" w:ascii="宋体" w:hAnsi="宋体" w:cs="宋体"/>
          <w:color w:val="auto"/>
          <w:sz w:val="28"/>
          <w:szCs w:val="28"/>
          <w:highlight w:val="none"/>
        </w:rPr>
      </w:pPr>
    </w:p>
    <w:p w14:paraId="359F3B80">
      <w:pPr>
        <w:spacing w:line="460" w:lineRule="exact"/>
        <w:ind w:firstLine="560"/>
        <w:jc w:val="right"/>
        <w:rPr>
          <w:rFonts w:hint="eastAsia" w:ascii="宋体" w:hAnsi="宋体" w:cs="宋体"/>
          <w:color w:val="auto"/>
          <w:sz w:val="28"/>
          <w:szCs w:val="28"/>
          <w:highlight w:val="none"/>
        </w:rPr>
      </w:pPr>
      <w:r>
        <w:rPr>
          <w:rFonts w:hint="eastAsia" w:ascii="宋体" w:hAnsi="宋体" w:cs="宋体"/>
          <w:color w:val="auto"/>
          <w:sz w:val="28"/>
          <w:szCs w:val="28"/>
          <w:highlight w:val="none"/>
        </w:rPr>
        <w:t>XXXX年XX月XX日</w:t>
      </w:r>
    </w:p>
    <w:p w14:paraId="27A86317">
      <w:pPr>
        <w:spacing w:line="460" w:lineRule="exact"/>
        <w:ind w:firstLine="562"/>
        <w:contextualSpacing/>
        <w:rPr>
          <w:rFonts w:hint="eastAsia" w:ascii="宋体" w:hAnsi="宋体" w:cs="宋体"/>
          <w:b/>
          <w:color w:val="auto"/>
          <w:sz w:val="28"/>
          <w:szCs w:val="28"/>
          <w:highlight w:val="none"/>
        </w:rPr>
      </w:pPr>
    </w:p>
    <w:p w14:paraId="11677290">
      <w:pPr>
        <w:spacing w:line="460" w:lineRule="exact"/>
        <w:ind w:firstLine="562"/>
        <w:contextualSpacing/>
        <w:rPr>
          <w:rFonts w:hint="eastAsia" w:ascii="宋体" w:hAnsi="宋体" w:cs="宋体"/>
          <w:b/>
          <w:color w:val="auto"/>
          <w:sz w:val="28"/>
          <w:szCs w:val="28"/>
          <w:highlight w:val="none"/>
        </w:rPr>
      </w:pPr>
    </w:p>
    <w:p w14:paraId="4F789FAD">
      <w:pPr>
        <w:spacing w:line="460" w:lineRule="exact"/>
        <w:ind w:firstLine="562"/>
        <w:contextualSpacing/>
        <w:rPr>
          <w:rFonts w:hint="eastAsia" w:ascii="宋体" w:hAnsi="宋体" w:cs="宋体"/>
          <w:b/>
          <w:color w:val="auto"/>
          <w:sz w:val="28"/>
          <w:szCs w:val="28"/>
          <w:highlight w:val="none"/>
        </w:rPr>
      </w:pPr>
      <w:r>
        <w:rPr>
          <w:rFonts w:hint="eastAsia" w:ascii="宋体" w:hAnsi="宋体" w:cs="宋体"/>
          <w:b/>
          <w:color w:val="auto"/>
          <w:sz w:val="28"/>
          <w:szCs w:val="28"/>
          <w:highlight w:val="none"/>
        </w:rPr>
        <w:t>注：提供投标代表本人身份证复印件</w:t>
      </w:r>
    </w:p>
    <w:p w14:paraId="6588DDF3">
      <w:pPr>
        <w:spacing w:line="460" w:lineRule="exact"/>
        <w:ind w:firstLine="562"/>
        <w:contextualSpacing/>
        <w:rPr>
          <w:rFonts w:hint="eastAsia" w:ascii="宋体" w:hAnsi="宋体" w:cs="宋体"/>
          <w:b/>
          <w:color w:val="auto"/>
          <w:sz w:val="28"/>
          <w:szCs w:val="28"/>
          <w:highlight w:val="none"/>
        </w:rPr>
      </w:pPr>
    </w:p>
    <w:p w14:paraId="4ED6E318">
      <w:pPr>
        <w:spacing w:line="400" w:lineRule="exact"/>
        <w:ind w:firstLine="540"/>
        <w:contextualSpacing/>
        <w:rPr>
          <w:rFonts w:hint="eastAsia" w:ascii="宋体" w:hAnsi="宋体" w:cs="宋体"/>
          <w:b/>
          <w:color w:val="auto"/>
          <w:sz w:val="28"/>
          <w:szCs w:val="28"/>
          <w:highlight w:val="none"/>
        </w:rPr>
      </w:pPr>
    </w:p>
    <w:p w14:paraId="0F87B37E">
      <w:pPr>
        <w:spacing w:line="400" w:lineRule="exact"/>
        <w:ind w:firstLine="540"/>
        <w:contextualSpacing/>
        <w:rPr>
          <w:rFonts w:hint="eastAsia" w:ascii="宋体" w:hAnsi="宋体" w:cs="宋体"/>
          <w:b/>
          <w:color w:val="auto"/>
          <w:sz w:val="28"/>
          <w:szCs w:val="28"/>
          <w:highlight w:val="none"/>
        </w:rPr>
      </w:pPr>
    </w:p>
    <w:p w14:paraId="0C8C26FA">
      <w:pPr>
        <w:spacing w:line="400" w:lineRule="exact"/>
        <w:ind w:firstLine="540"/>
        <w:contextualSpacing/>
        <w:rPr>
          <w:rFonts w:hint="eastAsia" w:ascii="宋体" w:hAnsi="宋体" w:cs="宋体"/>
          <w:b/>
          <w:color w:val="auto"/>
          <w:sz w:val="28"/>
          <w:szCs w:val="28"/>
          <w:highlight w:val="none"/>
        </w:rPr>
      </w:pPr>
    </w:p>
    <w:p w14:paraId="58AA733B">
      <w:pPr>
        <w:spacing w:line="400" w:lineRule="exact"/>
        <w:ind w:firstLine="540"/>
        <w:contextualSpacing/>
        <w:rPr>
          <w:rFonts w:hint="eastAsia" w:ascii="宋体" w:hAnsi="宋体" w:cs="宋体"/>
          <w:b/>
          <w:color w:val="auto"/>
          <w:sz w:val="28"/>
          <w:szCs w:val="28"/>
          <w:highlight w:val="none"/>
        </w:rPr>
      </w:pPr>
    </w:p>
    <w:p w14:paraId="41491DB2">
      <w:pPr>
        <w:spacing w:line="400" w:lineRule="exact"/>
        <w:ind w:firstLine="540"/>
        <w:contextualSpacing/>
        <w:rPr>
          <w:rFonts w:hint="eastAsia" w:ascii="宋体" w:hAnsi="宋体" w:cs="宋体"/>
          <w:b/>
          <w:color w:val="auto"/>
          <w:sz w:val="28"/>
          <w:szCs w:val="28"/>
          <w:highlight w:val="none"/>
        </w:rPr>
      </w:pPr>
    </w:p>
    <w:p w14:paraId="60B6EE44">
      <w:pPr>
        <w:spacing w:line="400" w:lineRule="exact"/>
        <w:ind w:firstLine="540"/>
        <w:contextualSpacing/>
        <w:rPr>
          <w:rFonts w:hint="eastAsia" w:ascii="宋体" w:hAnsi="宋体" w:cs="宋体"/>
          <w:b/>
          <w:color w:val="auto"/>
          <w:sz w:val="28"/>
          <w:szCs w:val="28"/>
          <w:highlight w:val="none"/>
        </w:rPr>
      </w:pPr>
    </w:p>
    <w:p w14:paraId="6014F43B">
      <w:pPr>
        <w:spacing w:line="400" w:lineRule="exact"/>
        <w:ind w:firstLine="537"/>
        <w:contextualSpacing/>
        <w:rPr>
          <w:rFonts w:hint="eastAsia" w:ascii="宋体" w:hAnsi="宋体" w:cs="宋体"/>
          <w:color w:val="auto"/>
          <w:sz w:val="28"/>
          <w:szCs w:val="28"/>
          <w:highlight w:val="none"/>
        </w:rPr>
      </w:pPr>
    </w:p>
    <w:p w14:paraId="77DCD381">
      <w:pPr>
        <w:spacing w:line="400" w:lineRule="exact"/>
        <w:ind w:firstLine="537"/>
        <w:contextualSpacing/>
        <w:rPr>
          <w:rFonts w:hint="eastAsia" w:ascii="宋体" w:hAnsi="宋体" w:cs="宋体"/>
          <w:color w:val="auto"/>
          <w:sz w:val="28"/>
          <w:szCs w:val="28"/>
          <w:highlight w:val="none"/>
        </w:rPr>
      </w:pPr>
    </w:p>
    <w:p w14:paraId="10CF05EA">
      <w:pPr>
        <w:spacing w:line="400" w:lineRule="exact"/>
        <w:ind w:firstLine="540"/>
        <w:contextualSpacing/>
        <w:rPr>
          <w:rFonts w:hint="eastAsia" w:ascii="宋体" w:hAnsi="宋体" w:cs="宋体"/>
          <w:b/>
          <w:color w:val="auto"/>
          <w:sz w:val="28"/>
          <w:szCs w:val="28"/>
          <w:highlight w:val="none"/>
        </w:rPr>
      </w:pPr>
    </w:p>
    <w:p w14:paraId="5658D6F9">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p>
    <w:p w14:paraId="5A9EA3E0">
      <w:pPr>
        <w:spacing w:line="400" w:lineRule="exact"/>
        <w:contextualSpacing/>
        <w:rPr>
          <w:rFonts w:hint="eastAsia" w:ascii="宋体" w:hAnsi="宋体" w:cs="宋体"/>
          <w:color w:val="auto"/>
          <w:sz w:val="28"/>
          <w:szCs w:val="28"/>
          <w:highlight w:val="none"/>
        </w:rPr>
        <w:sectPr>
          <w:headerReference r:id="rId9" w:type="first"/>
          <w:footerReference r:id="rId12" w:type="first"/>
          <w:headerReference r:id="rId7" w:type="default"/>
          <w:footerReference r:id="rId10" w:type="default"/>
          <w:headerReference r:id="rId8" w:type="even"/>
          <w:footerReference r:id="rId11" w:type="even"/>
          <w:pgSz w:w="11906" w:h="16838"/>
          <w:pgMar w:top="1440" w:right="1797" w:bottom="1440" w:left="1797" w:header="851" w:footer="992" w:gutter="0"/>
          <w:cols w:space="720" w:num="1"/>
          <w:docGrid w:linePitch="360" w:charSpace="0"/>
        </w:sectPr>
      </w:pPr>
    </w:p>
    <w:p w14:paraId="0B414191">
      <w:pPr>
        <w:spacing w:line="420" w:lineRule="exact"/>
        <w:ind w:firstLine="281"/>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附件1</w:t>
      </w:r>
      <w:r>
        <w:rPr>
          <w:rFonts w:hint="eastAsia" w:ascii="宋体" w:hAnsi="宋体" w:cs="宋体"/>
          <w:bCs/>
          <w:color w:val="auto"/>
          <w:sz w:val="28"/>
          <w:szCs w:val="28"/>
          <w:highlight w:val="none"/>
          <w:lang w:val="en-US" w:eastAsia="zh-CN"/>
        </w:rPr>
        <w:t>1</w:t>
      </w:r>
    </w:p>
    <w:p w14:paraId="00A48930">
      <w:pPr>
        <w:spacing w:line="420" w:lineRule="exact"/>
        <w:ind w:firstLine="281"/>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中小微企业声明函（货物类项目）</w:t>
      </w:r>
    </w:p>
    <w:p w14:paraId="1D4C58B9">
      <w:pPr>
        <w:pStyle w:val="19"/>
        <w:spacing w:before="55" w:line="380" w:lineRule="exact"/>
        <w:ind w:right="414" w:firstLine="64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本公司郑重声明，根据《政府采购促进中小企业发展管理办法》（财库﹝2020﹞46 号）的规定，本公司参加</w:t>
      </w:r>
      <w:r>
        <w:rPr>
          <w:rFonts w:hint="eastAsia" w:ascii="宋体" w:hAnsi="宋体" w:eastAsia="宋体" w:cs="宋体"/>
          <w:i/>
          <w:color w:val="auto"/>
          <w:sz w:val="28"/>
          <w:szCs w:val="28"/>
          <w:highlight w:val="none"/>
          <w:u w:val="single"/>
        </w:rPr>
        <w:t>（单位名称）</w:t>
      </w:r>
      <w:r>
        <w:rPr>
          <w:rFonts w:hint="eastAsia" w:ascii="宋体" w:hAnsi="宋体" w:eastAsia="宋体" w:cs="宋体"/>
          <w:color w:val="auto"/>
          <w:sz w:val="28"/>
          <w:szCs w:val="28"/>
          <w:highlight w:val="none"/>
        </w:rPr>
        <w:t>的</w:t>
      </w:r>
      <w:r>
        <w:rPr>
          <w:rFonts w:hint="eastAsia" w:ascii="宋体" w:hAnsi="宋体" w:eastAsia="宋体" w:cs="宋体"/>
          <w:i/>
          <w:color w:val="auto"/>
          <w:sz w:val="28"/>
          <w:szCs w:val="28"/>
          <w:highlight w:val="none"/>
          <w:u w:val="single"/>
        </w:rPr>
        <w:t>（项目名称）</w:t>
      </w:r>
      <w:r>
        <w:rPr>
          <w:rFonts w:hint="eastAsia" w:ascii="宋体" w:hAnsi="宋体" w:eastAsia="宋体" w:cs="宋体"/>
          <w:color w:val="auto"/>
          <w:sz w:val="28"/>
          <w:szCs w:val="28"/>
          <w:highlight w:val="none"/>
        </w:rPr>
        <w:t>采购活动，提供的货物全部由符合政策要求的中小企业制造。相关企业的具体情况如下：</w:t>
      </w:r>
    </w:p>
    <w:p w14:paraId="121AFE29">
      <w:pPr>
        <w:pStyle w:val="233"/>
        <w:tabs>
          <w:tab w:val="left" w:pos="1183"/>
          <w:tab w:val="left" w:pos="1484"/>
          <w:tab w:val="left" w:pos="4662"/>
          <w:tab w:val="left" w:pos="6903"/>
        </w:tabs>
        <w:spacing w:line="400" w:lineRule="exact"/>
        <w:ind w:left="205" w:firstLine="376"/>
        <w:rPr>
          <w:rFonts w:hint="eastAsia" w:ascii="宋体" w:hAnsi="宋体" w:cs="宋体"/>
          <w:iCs/>
          <w:color w:val="auto"/>
          <w:sz w:val="24"/>
          <w:szCs w:val="24"/>
          <w:highlight w:val="none"/>
        </w:rPr>
      </w:pPr>
      <w:r>
        <w:rPr>
          <w:rFonts w:ascii="仿宋" w:hAnsi="仿宋" w:eastAsia="仿宋" w:cs="仿宋"/>
          <w:iCs/>
          <w:color w:val="auto"/>
          <w:spacing w:val="-46"/>
          <w:sz w:val="28"/>
          <w:szCs w:val="28"/>
          <w:highlight w:val="none"/>
        </w:rPr>
        <w:t>1.</w:t>
      </w:r>
      <w:r>
        <w:rPr>
          <w:rFonts w:hint="eastAsia" w:ascii="宋体" w:hAnsi="宋体" w:cs="宋体"/>
          <w:iCs/>
          <w:color w:val="auto"/>
          <w:sz w:val="24"/>
          <w:szCs w:val="24"/>
          <w:highlight w:val="none"/>
          <w:u w:val="single"/>
        </w:rPr>
        <w:t xml:space="preserve"> （小型教室黑板）</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工业</w:t>
      </w:r>
      <w:r>
        <w:rPr>
          <w:rFonts w:hint="eastAsia" w:ascii="宋体" w:hAnsi="宋体" w:cs="宋体"/>
          <w:iCs/>
          <w:color w:val="auto"/>
          <w:sz w:val="24"/>
          <w:szCs w:val="24"/>
          <w:highlight w:val="none"/>
          <w:u w:val="single"/>
        </w:rPr>
        <w:t>）行业</w:t>
      </w:r>
      <w:r>
        <w:rPr>
          <w:rFonts w:hint="eastAsia" w:ascii="宋体" w:hAnsi="宋体" w:cs="宋体"/>
          <w:iCs/>
          <w:color w:val="auto"/>
          <w:sz w:val="24"/>
          <w:szCs w:val="24"/>
          <w:highlight w:val="none"/>
        </w:rPr>
        <w:t>；制造商为</w:t>
      </w:r>
      <w:r>
        <w:rPr>
          <w:rFonts w:hint="eastAsia" w:ascii="宋体" w:hAnsi="宋体" w:cs="宋体"/>
          <w:iCs/>
          <w:color w:val="auto"/>
          <w:sz w:val="24"/>
          <w:szCs w:val="24"/>
          <w:highlight w:val="none"/>
          <w:u w:val="single"/>
        </w:rPr>
        <w:t>（企业名称）</w:t>
      </w:r>
      <w:r>
        <w:rPr>
          <w:rFonts w:hint="eastAsia" w:ascii="宋体" w:hAnsi="宋体" w:cs="宋体"/>
          <w:iCs/>
          <w:color w:val="auto"/>
          <w:sz w:val="24"/>
          <w:szCs w:val="24"/>
          <w:highlight w:val="none"/>
        </w:rPr>
        <w:t>，从业人员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万元，属于</w:t>
      </w:r>
      <w:r>
        <w:rPr>
          <w:rFonts w:hint="eastAsia" w:ascii="宋体" w:hAnsi="宋体" w:cs="宋体"/>
          <w:color w:val="auto"/>
          <w:sz w:val="24"/>
          <w:szCs w:val="24"/>
          <w:highlight w:val="none"/>
          <w:u w:val="single"/>
        </w:rPr>
        <w:t>（□中型企业 □小型企业 □微型企业）</w:t>
      </w:r>
      <w:r>
        <w:rPr>
          <w:rFonts w:hint="eastAsia" w:ascii="宋体" w:hAnsi="宋体" w:cs="宋体"/>
          <w:iCs/>
          <w:color w:val="auto"/>
          <w:sz w:val="24"/>
          <w:szCs w:val="24"/>
          <w:highlight w:val="none"/>
        </w:rPr>
        <w:t>；</w:t>
      </w:r>
    </w:p>
    <w:p w14:paraId="1B011DBD">
      <w:pPr>
        <w:pStyle w:val="233"/>
        <w:tabs>
          <w:tab w:val="left" w:pos="1165"/>
          <w:tab w:val="left" w:pos="1183"/>
          <w:tab w:val="left" w:pos="4362"/>
          <w:tab w:val="left" w:pos="6577"/>
        </w:tabs>
        <w:spacing w:line="400" w:lineRule="exact"/>
        <w:ind w:left="205" w:firstLine="376"/>
        <w:rPr>
          <w:rFonts w:hint="eastAsia" w:ascii="宋体" w:hAnsi="宋体" w:cs="宋体"/>
          <w:iCs/>
          <w:color w:val="auto"/>
          <w:sz w:val="24"/>
          <w:szCs w:val="24"/>
          <w:highlight w:val="none"/>
        </w:rPr>
      </w:pPr>
      <w:r>
        <w:rPr>
          <w:rFonts w:ascii="仿宋" w:hAnsi="仿宋" w:eastAsia="仿宋" w:cs="仿宋"/>
          <w:iCs/>
          <w:color w:val="auto"/>
          <w:spacing w:val="-46"/>
          <w:sz w:val="28"/>
          <w:szCs w:val="28"/>
          <w:highlight w:val="none"/>
        </w:rPr>
        <w:t>2.</w:t>
      </w:r>
      <w:r>
        <w:rPr>
          <w:rFonts w:hint="eastAsia" w:ascii="宋体" w:hAnsi="宋体" w:cs="宋体"/>
          <w:iCs/>
          <w:color w:val="auto"/>
          <w:sz w:val="24"/>
          <w:szCs w:val="24"/>
          <w:highlight w:val="none"/>
          <w:u w:val="single"/>
        </w:rPr>
        <w:t xml:space="preserve"> （中、大型教室黑板）</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工业</w:t>
      </w:r>
      <w:r>
        <w:rPr>
          <w:rFonts w:hint="eastAsia" w:ascii="宋体" w:hAnsi="宋体" w:cs="宋体"/>
          <w:iCs/>
          <w:color w:val="auto"/>
          <w:sz w:val="24"/>
          <w:szCs w:val="24"/>
          <w:highlight w:val="none"/>
          <w:u w:val="single"/>
        </w:rPr>
        <w:t>）行业</w:t>
      </w:r>
      <w:r>
        <w:rPr>
          <w:rFonts w:hint="eastAsia" w:ascii="宋体" w:hAnsi="宋体" w:cs="宋体"/>
          <w:iCs/>
          <w:color w:val="auto"/>
          <w:sz w:val="24"/>
          <w:szCs w:val="24"/>
          <w:highlight w:val="none"/>
        </w:rPr>
        <w:t>；制造商为</w:t>
      </w:r>
      <w:r>
        <w:rPr>
          <w:rFonts w:hint="eastAsia" w:ascii="宋体" w:hAnsi="宋体" w:cs="宋体"/>
          <w:iCs/>
          <w:color w:val="auto"/>
          <w:sz w:val="24"/>
          <w:szCs w:val="24"/>
          <w:highlight w:val="none"/>
          <w:u w:val="single"/>
        </w:rPr>
        <w:t>（企业名称）</w:t>
      </w:r>
      <w:r>
        <w:rPr>
          <w:rFonts w:hint="eastAsia" w:ascii="宋体" w:hAnsi="宋体" w:cs="宋体"/>
          <w:iCs/>
          <w:color w:val="auto"/>
          <w:sz w:val="24"/>
          <w:szCs w:val="24"/>
          <w:highlight w:val="none"/>
        </w:rPr>
        <w:t>，从业人员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万元，属于</w:t>
      </w:r>
      <w:r>
        <w:rPr>
          <w:rFonts w:hint="eastAsia" w:ascii="宋体" w:hAnsi="宋体" w:cs="宋体"/>
          <w:color w:val="auto"/>
          <w:sz w:val="24"/>
          <w:szCs w:val="24"/>
          <w:highlight w:val="none"/>
          <w:u w:val="single"/>
        </w:rPr>
        <w:t>（□中型企业 □小型企业 □微型企业）</w:t>
      </w:r>
      <w:r>
        <w:rPr>
          <w:rFonts w:hint="eastAsia" w:ascii="宋体" w:hAnsi="宋体" w:cs="宋体"/>
          <w:iCs/>
          <w:color w:val="auto"/>
          <w:sz w:val="24"/>
          <w:szCs w:val="24"/>
          <w:highlight w:val="none"/>
        </w:rPr>
        <w:t>；</w:t>
      </w:r>
    </w:p>
    <w:p w14:paraId="051CE6C8">
      <w:pPr>
        <w:pStyle w:val="233"/>
        <w:tabs>
          <w:tab w:val="left" w:pos="1165"/>
          <w:tab w:val="left" w:pos="1183"/>
          <w:tab w:val="left" w:pos="4362"/>
          <w:tab w:val="left" w:pos="6577"/>
        </w:tabs>
        <w:spacing w:line="400" w:lineRule="exact"/>
        <w:ind w:left="205" w:firstLine="376"/>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rPr>
        <w:t>3</w:t>
      </w:r>
      <w:r>
        <w:rPr>
          <w:rFonts w:ascii="仿宋" w:hAnsi="仿宋" w:eastAsia="仿宋" w:cs="仿宋"/>
          <w:iCs/>
          <w:color w:val="auto"/>
          <w:spacing w:val="-46"/>
          <w:sz w:val="28"/>
          <w:szCs w:val="28"/>
          <w:highlight w:val="none"/>
        </w:rPr>
        <w:t>.</w:t>
      </w:r>
      <w:r>
        <w:rPr>
          <w:rFonts w:hint="eastAsia" w:ascii="宋体" w:hAnsi="宋体" w:cs="宋体"/>
          <w:iCs/>
          <w:color w:val="auto"/>
          <w:sz w:val="24"/>
          <w:szCs w:val="24"/>
          <w:highlight w:val="none"/>
          <w:u w:val="single"/>
        </w:rPr>
        <w:t xml:space="preserve"> （阶梯教室上下推拉黑板）</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工业</w:t>
      </w:r>
      <w:r>
        <w:rPr>
          <w:rFonts w:hint="eastAsia" w:ascii="宋体" w:hAnsi="宋体" w:cs="宋体"/>
          <w:iCs/>
          <w:color w:val="auto"/>
          <w:sz w:val="24"/>
          <w:szCs w:val="24"/>
          <w:highlight w:val="none"/>
          <w:u w:val="single"/>
        </w:rPr>
        <w:t>）行业</w:t>
      </w:r>
      <w:r>
        <w:rPr>
          <w:rFonts w:hint="eastAsia" w:ascii="宋体" w:hAnsi="宋体" w:cs="宋体"/>
          <w:iCs/>
          <w:color w:val="auto"/>
          <w:sz w:val="24"/>
          <w:szCs w:val="24"/>
          <w:highlight w:val="none"/>
        </w:rPr>
        <w:t>；制造商为</w:t>
      </w:r>
      <w:r>
        <w:rPr>
          <w:rFonts w:hint="eastAsia" w:ascii="宋体" w:hAnsi="宋体" w:cs="宋体"/>
          <w:iCs/>
          <w:color w:val="auto"/>
          <w:sz w:val="24"/>
          <w:szCs w:val="24"/>
          <w:highlight w:val="none"/>
          <w:u w:val="single"/>
        </w:rPr>
        <w:t>（企业名称）</w:t>
      </w:r>
      <w:r>
        <w:rPr>
          <w:rFonts w:hint="eastAsia" w:ascii="宋体" w:hAnsi="宋体" w:cs="宋体"/>
          <w:iCs/>
          <w:color w:val="auto"/>
          <w:sz w:val="24"/>
          <w:szCs w:val="24"/>
          <w:highlight w:val="none"/>
        </w:rPr>
        <w:t>，从业人员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万元，属于</w:t>
      </w:r>
      <w:r>
        <w:rPr>
          <w:rFonts w:hint="eastAsia" w:ascii="宋体" w:hAnsi="宋体" w:cs="宋体"/>
          <w:color w:val="auto"/>
          <w:sz w:val="24"/>
          <w:szCs w:val="24"/>
          <w:highlight w:val="none"/>
          <w:u w:val="single"/>
        </w:rPr>
        <w:t>（□中型企业 □小型企业 □微型企业）</w:t>
      </w:r>
      <w:r>
        <w:rPr>
          <w:rFonts w:hint="eastAsia" w:ascii="宋体" w:hAnsi="宋体" w:cs="宋体"/>
          <w:iCs/>
          <w:color w:val="auto"/>
          <w:sz w:val="24"/>
          <w:szCs w:val="24"/>
          <w:highlight w:val="none"/>
        </w:rPr>
        <w:t>；</w:t>
      </w:r>
    </w:p>
    <w:p w14:paraId="73B8AFB3">
      <w:pPr>
        <w:pStyle w:val="233"/>
        <w:tabs>
          <w:tab w:val="left" w:pos="1165"/>
          <w:tab w:val="left" w:pos="1183"/>
          <w:tab w:val="left" w:pos="4362"/>
          <w:tab w:val="left" w:pos="6577"/>
        </w:tabs>
        <w:spacing w:line="400" w:lineRule="exact"/>
        <w:ind w:left="205" w:firstLine="376"/>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4.</w:t>
      </w:r>
      <w:r>
        <w:rPr>
          <w:rFonts w:hint="eastAsia" w:ascii="宋体" w:hAnsi="宋体" w:cs="宋体"/>
          <w:iCs/>
          <w:color w:val="auto"/>
          <w:sz w:val="24"/>
          <w:szCs w:val="24"/>
          <w:highlight w:val="none"/>
          <w:u w:val="single"/>
        </w:rPr>
        <w:t>（120寸幕布）</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工业</w:t>
      </w:r>
      <w:r>
        <w:rPr>
          <w:rFonts w:hint="eastAsia" w:ascii="宋体" w:hAnsi="宋体" w:cs="宋体"/>
          <w:iCs/>
          <w:color w:val="auto"/>
          <w:sz w:val="24"/>
          <w:szCs w:val="24"/>
          <w:highlight w:val="none"/>
          <w:u w:val="single"/>
        </w:rPr>
        <w:t>）行业</w:t>
      </w:r>
      <w:r>
        <w:rPr>
          <w:rFonts w:hint="eastAsia" w:ascii="宋体" w:hAnsi="宋体" w:cs="宋体"/>
          <w:iCs/>
          <w:color w:val="auto"/>
          <w:sz w:val="24"/>
          <w:szCs w:val="24"/>
          <w:highlight w:val="none"/>
        </w:rPr>
        <w:t>；制造商为</w:t>
      </w:r>
      <w:r>
        <w:rPr>
          <w:rFonts w:hint="eastAsia" w:ascii="宋体" w:hAnsi="宋体" w:cs="宋体"/>
          <w:iCs/>
          <w:color w:val="auto"/>
          <w:sz w:val="24"/>
          <w:szCs w:val="24"/>
          <w:highlight w:val="none"/>
          <w:u w:val="single"/>
        </w:rPr>
        <w:t>（企业名称）</w:t>
      </w:r>
      <w:r>
        <w:rPr>
          <w:rFonts w:hint="eastAsia" w:ascii="宋体" w:hAnsi="宋体" w:cs="宋体"/>
          <w:iCs/>
          <w:color w:val="auto"/>
          <w:sz w:val="24"/>
          <w:szCs w:val="24"/>
          <w:highlight w:val="none"/>
        </w:rPr>
        <w:t>，从业人员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万元，属于</w:t>
      </w:r>
      <w:r>
        <w:rPr>
          <w:rFonts w:hint="eastAsia" w:ascii="宋体" w:hAnsi="宋体" w:cs="宋体"/>
          <w:color w:val="auto"/>
          <w:sz w:val="24"/>
          <w:szCs w:val="24"/>
          <w:highlight w:val="none"/>
          <w:u w:val="single"/>
        </w:rPr>
        <w:t xml:space="preserve">（□中型企业 □小型企业 </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rPr>
        <w:t>微型企业）</w:t>
      </w:r>
      <w:r>
        <w:rPr>
          <w:rFonts w:hint="eastAsia" w:ascii="宋体" w:hAnsi="宋体" w:cs="宋体"/>
          <w:iCs/>
          <w:color w:val="auto"/>
          <w:sz w:val="24"/>
          <w:szCs w:val="24"/>
          <w:highlight w:val="none"/>
        </w:rPr>
        <w:t>；</w:t>
      </w:r>
    </w:p>
    <w:p w14:paraId="71EC3373">
      <w:pPr>
        <w:pStyle w:val="233"/>
        <w:tabs>
          <w:tab w:val="left" w:pos="1165"/>
          <w:tab w:val="left" w:pos="1183"/>
          <w:tab w:val="left" w:pos="4362"/>
          <w:tab w:val="left" w:pos="6577"/>
        </w:tabs>
        <w:spacing w:line="400" w:lineRule="exact"/>
        <w:ind w:left="205" w:firstLine="376"/>
        <w:rPr>
          <w:rFonts w:hint="eastAsia" w:ascii="宋体" w:hAnsi="宋体" w:cs="宋体"/>
          <w:color w:val="auto"/>
          <w:sz w:val="22"/>
          <w:szCs w:val="22"/>
          <w:highlight w:val="none"/>
        </w:rPr>
      </w:pPr>
      <w:r>
        <w:rPr>
          <w:rFonts w:hint="eastAsia" w:ascii="仿宋" w:hAnsi="仿宋" w:eastAsia="仿宋" w:cs="仿宋"/>
          <w:iCs/>
          <w:color w:val="auto"/>
          <w:spacing w:val="-46"/>
          <w:sz w:val="28"/>
          <w:szCs w:val="28"/>
          <w:highlight w:val="none"/>
        </w:rPr>
        <w:t>5</w:t>
      </w:r>
      <w:r>
        <w:rPr>
          <w:rFonts w:ascii="仿宋" w:hAnsi="仿宋" w:eastAsia="仿宋" w:cs="仿宋"/>
          <w:iCs/>
          <w:color w:val="auto"/>
          <w:spacing w:val="-46"/>
          <w:sz w:val="28"/>
          <w:szCs w:val="28"/>
          <w:highlight w:val="none"/>
        </w:rPr>
        <w:t>.</w:t>
      </w:r>
      <w:r>
        <w:rPr>
          <w:rFonts w:hint="eastAsia" w:ascii="宋体" w:hAnsi="宋体" w:cs="宋体"/>
          <w:iCs/>
          <w:color w:val="auto"/>
          <w:sz w:val="24"/>
          <w:szCs w:val="24"/>
          <w:highlight w:val="none"/>
          <w:u w:val="single"/>
        </w:rPr>
        <w:t xml:space="preserve"> （150寸幕布）</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工业</w:t>
      </w:r>
      <w:r>
        <w:rPr>
          <w:rFonts w:hint="eastAsia" w:ascii="宋体" w:hAnsi="宋体" w:cs="宋体"/>
          <w:iCs/>
          <w:color w:val="auto"/>
          <w:sz w:val="24"/>
          <w:szCs w:val="24"/>
          <w:highlight w:val="none"/>
          <w:u w:val="single"/>
        </w:rPr>
        <w:t>）行业</w:t>
      </w:r>
      <w:r>
        <w:rPr>
          <w:rFonts w:hint="eastAsia" w:ascii="宋体" w:hAnsi="宋体" w:cs="宋体"/>
          <w:iCs/>
          <w:color w:val="auto"/>
          <w:sz w:val="24"/>
          <w:szCs w:val="24"/>
          <w:highlight w:val="none"/>
        </w:rPr>
        <w:t>；制造商为</w:t>
      </w:r>
      <w:r>
        <w:rPr>
          <w:rFonts w:hint="eastAsia" w:ascii="宋体" w:hAnsi="宋体" w:cs="宋体"/>
          <w:iCs/>
          <w:color w:val="auto"/>
          <w:sz w:val="24"/>
          <w:szCs w:val="24"/>
          <w:highlight w:val="none"/>
          <w:u w:val="single"/>
        </w:rPr>
        <w:t>（企业名称）</w:t>
      </w:r>
      <w:r>
        <w:rPr>
          <w:rFonts w:hint="eastAsia" w:ascii="宋体" w:hAnsi="宋体" w:cs="宋体"/>
          <w:iCs/>
          <w:color w:val="auto"/>
          <w:sz w:val="24"/>
          <w:szCs w:val="24"/>
          <w:highlight w:val="none"/>
        </w:rPr>
        <w:t>，从业人员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万元，属于</w:t>
      </w:r>
      <w:r>
        <w:rPr>
          <w:rFonts w:hint="eastAsia" w:ascii="宋体" w:hAnsi="宋体" w:cs="宋体"/>
          <w:color w:val="auto"/>
          <w:sz w:val="24"/>
          <w:szCs w:val="24"/>
          <w:highlight w:val="none"/>
          <w:u w:val="single"/>
        </w:rPr>
        <w:t>（□中型企业 □小型企业 □微型企业）</w:t>
      </w:r>
      <w:r>
        <w:rPr>
          <w:rFonts w:hint="eastAsia" w:ascii="宋体" w:hAnsi="宋体" w:cs="宋体"/>
          <w:iCs/>
          <w:color w:val="auto"/>
          <w:sz w:val="24"/>
          <w:szCs w:val="24"/>
          <w:highlight w:val="none"/>
        </w:rPr>
        <w:t>；</w:t>
      </w:r>
    </w:p>
    <w:p w14:paraId="0B3F0FFB">
      <w:pPr>
        <w:pStyle w:val="233"/>
        <w:tabs>
          <w:tab w:val="left" w:pos="1165"/>
          <w:tab w:val="left" w:pos="1183"/>
          <w:tab w:val="left" w:pos="4362"/>
          <w:tab w:val="left" w:pos="6577"/>
        </w:tabs>
        <w:spacing w:line="400" w:lineRule="exact"/>
        <w:ind w:left="205" w:firstLine="376"/>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rPr>
        <w:t>6</w:t>
      </w:r>
      <w:r>
        <w:rPr>
          <w:rFonts w:ascii="仿宋" w:hAnsi="仿宋" w:eastAsia="仿宋" w:cs="仿宋"/>
          <w:iCs/>
          <w:color w:val="auto"/>
          <w:spacing w:val="-46"/>
          <w:sz w:val="28"/>
          <w:szCs w:val="28"/>
          <w:highlight w:val="none"/>
        </w:rPr>
        <w:t>.</w:t>
      </w:r>
      <w:r>
        <w:rPr>
          <w:rFonts w:hint="eastAsia" w:ascii="宋体" w:hAnsi="宋体" w:cs="宋体"/>
          <w:iCs/>
          <w:color w:val="auto"/>
          <w:sz w:val="24"/>
          <w:szCs w:val="24"/>
          <w:highlight w:val="none"/>
          <w:u w:val="single"/>
        </w:rPr>
        <w:t xml:space="preserve"> （讲台控制面板）</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工业</w:t>
      </w:r>
      <w:r>
        <w:rPr>
          <w:rFonts w:hint="eastAsia" w:ascii="宋体" w:hAnsi="宋体" w:cs="宋体"/>
          <w:iCs/>
          <w:color w:val="auto"/>
          <w:sz w:val="24"/>
          <w:szCs w:val="24"/>
          <w:highlight w:val="none"/>
          <w:u w:val="single"/>
        </w:rPr>
        <w:t>）行业</w:t>
      </w:r>
      <w:r>
        <w:rPr>
          <w:rFonts w:hint="eastAsia" w:ascii="宋体" w:hAnsi="宋体" w:cs="宋体"/>
          <w:iCs/>
          <w:color w:val="auto"/>
          <w:sz w:val="24"/>
          <w:szCs w:val="24"/>
          <w:highlight w:val="none"/>
        </w:rPr>
        <w:t>；制造商为</w:t>
      </w:r>
      <w:r>
        <w:rPr>
          <w:rFonts w:hint="eastAsia" w:ascii="宋体" w:hAnsi="宋体" w:cs="宋体"/>
          <w:iCs/>
          <w:color w:val="auto"/>
          <w:sz w:val="24"/>
          <w:szCs w:val="24"/>
          <w:highlight w:val="none"/>
          <w:u w:val="single"/>
        </w:rPr>
        <w:t>（企业名称）</w:t>
      </w:r>
      <w:r>
        <w:rPr>
          <w:rFonts w:hint="eastAsia" w:ascii="宋体" w:hAnsi="宋体" w:cs="宋体"/>
          <w:iCs/>
          <w:color w:val="auto"/>
          <w:sz w:val="24"/>
          <w:szCs w:val="24"/>
          <w:highlight w:val="none"/>
        </w:rPr>
        <w:t>，从业人员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w:t>
      </w:r>
      <w:r>
        <w:rPr>
          <w:rFonts w:hint="eastAsia" w:ascii="宋体" w:hAnsi="宋体" w:cs="宋体"/>
          <w:color w:val="auto"/>
          <w:sz w:val="24"/>
          <w:szCs w:val="24"/>
          <w:highlight w:val="none"/>
          <w:u w:val="single"/>
        </w:rPr>
        <w:t>（□中型企业 □小型企业 □微型企业）</w:t>
      </w:r>
      <w:r>
        <w:rPr>
          <w:rFonts w:hint="eastAsia" w:ascii="宋体" w:hAnsi="宋体" w:cs="宋体"/>
          <w:iCs/>
          <w:color w:val="auto"/>
          <w:sz w:val="24"/>
          <w:szCs w:val="24"/>
          <w:highlight w:val="none"/>
        </w:rPr>
        <w:t>；</w:t>
      </w:r>
    </w:p>
    <w:p w14:paraId="6E410F6C">
      <w:pPr>
        <w:pStyle w:val="233"/>
        <w:tabs>
          <w:tab w:val="left" w:pos="1165"/>
          <w:tab w:val="left" w:pos="1183"/>
          <w:tab w:val="left" w:pos="4362"/>
          <w:tab w:val="left" w:pos="6577"/>
        </w:tabs>
        <w:spacing w:line="400" w:lineRule="exact"/>
        <w:ind w:left="205" w:firstLine="376"/>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rPr>
        <w:t>7</w:t>
      </w:r>
      <w:r>
        <w:rPr>
          <w:rFonts w:ascii="仿宋" w:hAnsi="仿宋" w:eastAsia="仿宋" w:cs="仿宋"/>
          <w:iCs/>
          <w:color w:val="auto"/>
          <w:spacing w:val="-46"/>
          <w:sz w:val="28"/>
          <w:szCs w:val="28"/>
          <w:highlight w:val="none"/>
        </w:rPr>
        <w:t>.</w:t>
      </w:r>
      <w:r>
        <w:rPr>
          <w:rFonts w:hint="eastAsia" w:ascii="宋体" w:hAnsi="宋体" w:cs="宋体"/>
          <w:iCs/>
          <w:color w:val="auto"/>
          <w:sz w:val="24"/>
          <w:szCs w:val="24"/>
          <w:highlight w:val="none"/>
          <w:u w:val="single"/>
        </w:rPr>
        <w:t xml:space="preserve"> （智能升降讲台）</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工业</w:t>
      </w:r>
      <w:r>
        <w:rPr>
          <w:rFonts w:hint="eastAsia" w:ascii="宋体" w:hAnsi="宋体" w:cs="宋体"/>
          <w:iCs/>
          <w:color w:val="auto"/>
          <w:sz w:val="24"/>
          <w:szCs w:val="24"/>
          <w:highlight w:val="none"/>
          <w:u w:val="single"/>
        </w:rPr>
        <w:t>）行业</w:t>
      </w:r>
      <w:r>
        <w:rPr>
          <w:rFonts w:hint="eastAsia" w:ascii="宋体" w:hAnsi="宋体" w:cs="宋体"/>
          <w:iCs/>
          <w:color w:val="auto"/>
          <w:sz w:val="24"/>
          <w:szCs w:val="24"/>
          <w:highlight w:val="none"/>
        </w:rPr>
        <w:t>；制造商为</w:t>
      </w:r>
      <w:r>
        <w:rPr>
          <w:rFonts w:hint="eastAsia" w:ascii="宋体" w:hAnsi="宋体" w:cs="宋体"/>
          <w:iCs/>
          <w:color w:val="auto"/>
          <w:sz w:val="24"/>
          <w:szCs w:val="24"/>
          <w:highlight w:val="none"/>
          <w:u w:val="single"/>
        </w:rPr>
        <w:t>（企业名称）</w:t>
      </w:r>
      <w:r>
        <w:rPr>
          <w:rFonts w:hint="eastAsia" w:ascii="宋体" w:hAnsi="宋体" w:cs="宋体"/>
          <w:iCs/>
          <w:color w:val="auto"/>
          <w:sz w:val="24"/>
          <w:szCs w:val="24"/>
          <w:highlight w:val="none"/>
        </w:rPr>
        <w:t>，从业人员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万元，属于</w:t>
      </w:r>
      <w:r>
        <w:rPr>
          <w:rFonts w:hint="eastAsia" w:ascii="宋体" w:hAnsi="宋体" w:cs="宋体"/>
          <w:color w:val="auto"/>
          <w:sz w:val="24"/>
          <w:szCs w:val="24"/>
          <w:highlight w:val="none"/>
          <w:u w:val="single"/>
        </w:rPr>
        <w:t>（□中型企业 □小型企业 □微型企业）</w:t>
      </w:r>
      <w:r>
        <w:rPr>
          <w:rFonts w:hint="eastAsia" w:ascii="宋体" w:hAnsi="宋体" w:cs="宋体"/>
          <w:iCs/>
          <w:color w:val="auto"/>
          <w:sz w:val="24"/>
          <w:szCs w:val="24"/>
          <w:highlight w:val="none"/>
        </w:rPr>
        <w:t>；</w:t>
      </w:r>
    </w:p>
    <w:p w14:paraId="29B9B5BA">
      <w:pPr>
        <w:pStyle w:val="233"/>
        <w:tabs>
          <w:tab w:val="left" w:pos="1165"/>
          <w:tab w:val="left" w:pos="1183"/>
          <w:tab w:val="left" w:pos="4362"/>
          <w:tab w:val="left" w:pos="6577"/>
        </w:tabs>
        <w:spacing w:line="400" w:lineRule="exact"/>
        <w:ind w:left="205" w:firstLine="376"/>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8</w:t>
      </w:r>
      <w:r>
        <w:rPr>
          <w:rFonts w:ascii="仿宋" w:hAnsi="仿宋" w:eastAsia="仿宋" w:cs="仿宋"/>
          <w:iCs/>
          <w:color w:val="auto"/>
          <w:spacing w:val="-46"/>
          <w:sz w:val="28"/>
          <w:szCs w:val="28"/>
          <w:highlight w:val="none"/>
        </w:rPr>
        <w:t>.</w:t>
      </w:r>
      <w:r>
        <w:rPr>
          <w:rFonts w:hint="eastAsia" w:ascii="宋体" w:hAnsi="宋体" w:cs="宋体"/>
          <w:iCs/>
          <w:color w:val="auto"/>
          <w:sz w:val="24"/>
          <w:szCs w:val="24"/>
          <w:highlight w:val="none"/>
          <w:u w:val="single"/>
        </w:rPr>
        <w:t xml:space="preserve"> （中控主机）</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工业</w:t>
      </w:r>
      <w:r>
        <w:rPr>
          <w:rFonts w:hint="eastAsia" w:ascii="宋体" w:hAnsi="宋体" w:cs="宋体"/>
          <w:iCs/>
          <w:color w:val="auto"/>
          <w:sz w:val="24"/>
          <w:szCs w:val="24"/>
          <w:highlight w:val="none"/>
          <w:u w:val="single"/>
        </w:rPr>
        <w:t>）行业</w:t>
      </w:r>
      <w:r>
        <w:rPr>
          <w:rFonts w:hint="eastAsia" w:ascii="宋体" w:hAnsi="宋体" w:cs="宋体"/>
          <w:iCs/>
          <w:color w:val="auto"/>
          <w:sz w:val="24"/>
          <w:szCs w:val="24"/>
          <w:highlight w:val="none"/>
        </w:rPr>
        <w:t>；制造商为</w:t>
      </w:r>
      <w:r>
        <w:rPr>
          <w:rFonts w:hint="eastAsia" w:ascii="宋体" w:hAnsi="宋体" w:cs="宋体"/>
          <w:iCs/>
          <w:color w:val="auto"/>
          <w:sz w:val="24"/>
          <w:szCs w:val="24"/>
          <w:highlight w:val="none"/>
          <w:u w:val="single"/>
        </w:rPr>
        <w:t>（企业名称）</w:t>
      </w:r>
      <w:r>
        <w:rPr>
          <w:rFonts w:hint="eastAsia" w:ascii="宋体" w:hAnsi="宋体" w:cs="宋体"/>
          <w:iCs/>
          <w:color w:val="auto"/>
          <w:sz w:val="24"/>
          <w:szCs w:val="24"/>
          <w:highlight w:val="none"/>
        </w:rPr>
        <w:t>，从业人员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万元，属于</w:t>
      </w:r>
      <w:r>
        <w:rPr>
          <w:rFonts w:hint="eastAsia" w:ascii="宋体" w:hAnsi="宋体" w:cs="宋体"/>
          <w:color w:val="auto"/>
          <w:sz w:val="24"/>
          <w:szCs w:val="24"/>
          <w:highlight w:val="none"/>
          <w:u w:val="single"/>
        </w:rPr>
        <w:t>（□中型企业 □小型企业 □微型企业）</w:t>
      </w:r>
      <w:r>
        <w:rPr>
          <w:rFonts w:hint="eastAsia" w:ascii="宋体" w:hAnsi="宋体" w:cs="宋体"/>
          <w:iCs/>
          <w:color w:val="auto"/>
          <w:sz w:val="24"/>
          <w:szCs w:val="24"/>
          <w:highlight w:val="none"/>
        </w:rPr>
        <w:t>；</w:t>
      </w:r>
    </w:p>
    <w:p w14:paraId="0D4C765F">
      <w:pPr>
        <w:pStyle w:val="233"/>
        <w:tabs>
          <w:tab w:val="left" w:pos="1165"/>
          <w:tab w:val="left" w:pos="1183"/>
          <w:tab w:val="left" w:pos="4362"/>
          <w:tab w:val="left" w:pos="6577"/>
        </w:tabs>
        <w:spacing w:line="400" w:lineRule="exact"/>
        <w:ind w:left="205" w:firstLine="376"/>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9</w:t>
      </w:r>
      <w:r>
        <w:rPr>
          <w:rFonts w:ascii="仿宋" w:hAnsi="仿宋" w:eastAsia="仿宋" w:cs="仿宋"/>
          <w:iCs/>
          <w:color w:val="auto"/>
          <w:spacing w:val="-46"/>
          <w:sz w:val="28"/>
          <w:szCs w:val="28"/>
          <w:highlight w:val="none"/>
        </w:rPr>
        <w:t>.</w:t>
      </w:r>
      <w:r>
        <w:rPr>
          <w:rFonts w:hint="eastAsia" w:ascii="宋体" w:hAnsi="宋体" w:cs="宋体"/>
          <w:iCs/>
          <w:color w:val="auto"/>
          <w:sz w:val="24"/>
          <w:szCs w:val="24"/>
          <w:highlight w:val="none"/>
          <w:u w:val="single"/>
        </w:rPr>
        <w:t xml:space="preserve"> （智联矩阵）</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工业</w:t>
      </w:r>
      <w:r>
        <w:rPr>
          <w:rFonts w:hint="eastAsia" w:ascii="宋体" w:hAnsi="宋体" w:cs="宋体"/>
          <w:iCs/>
          <w:color w:val="auto"/>
          <w:sz w:val="24"/>
          <w:szCs w:val="24"/>
          <w:highlight w:val="none"/>
          <w:u w:val="single"/>
        </w:rPr>
        <w:t>）行业</w:t>
      </w:r>
      <w:r>
        <w:rPr>
          <w:rFonts w:hint="eastAsia" w:ascii="宋体" w:hAnsi="宋体" w:cs="宋体"/>
          <w:iCs/>
          <w:color w:val="auto"/>
          <w:sz w:val="24"/>
          <w:szCs w:val="24"/>
          <w:highlight w:val="none"/>
        </w:rPr>
        <w:t>；制造商为</w:t>
      </w:r>
      <w:r>
        <w:rPr>
          <w:rFonts w:hint="eastAsia" w:ascii="宋体" w:hAnsi="宋体" w:cs="宋体"/>
          <w:iCs/>
          <w:color w:val="auto"/>
          <w:sz w:val="24"/>
          <w:szCs w:val="24"/>
          <w:highlight w:val="none"/>
          <w:u w:val="single"/>
        </w:rPr>
        <w:t>（企业名称）</w:t>
      </w:r>
      <w:r>
        <w:rPr>
          <w:rFonts w:hint="eastAsia" w:ascii="宋体" w:hAnsi="宋体" w:cs="宋体"/>
          <w:iCs/>
          <w:color w:val="auto"/>
          <w:sz w:val="24"/>
          <w:szCs w:val="24"/>
          <w:highlight w:val="none"/>
        </w:rPr>
        <w:t>，从业人员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万元，属于</w:t>
      </w:r>
      <w:r>
        <w:rPr>
          <w:rFonts w:hint="eastAsia" w:ascii="宋体" w:hAnsi="宋体" w:cs="宋体"/>
          <w:color w:val="auto"/>
          <w:sz w:val="24"/>
          <w:szCs w:val="24"/>
          <w:highlight w:val="none"/>
          <w:u w:val="single"/>
        </w:rPr>
        <w:t>（□中型企业 □小型企业 □微型企业）</w:t>
      </w:r>
      <w:r>
        <w:rPr>
          <w:rFonts w:hint="eastAsia" w:ascii="宋体" w:hAnsi="宋体" w:cs="宋体"/>
          <w:iCs/>
          <w:color w:val="auto"/>
          <w:sz w:val="24"/>
          <w:szCs w:val="24"/>
          <w:highlight w:val="none"/>
        </w:rPr>
        <w:t>；</w:t>
      </w:r>
    </w:p>
    <w:p w14:paraId="1BE1B14F">
      <w:pPr>
        <w:pStyle w:val="233"/>
        <w:tabs>
          <w:tab w:val="left" w:pos="1165"/>
          <w:tab w:val="left" w:pos="1183"/>
          <w:tab w:val="left" w:pos="4362"/>
          <w:tab w:val="left" w:pos="6577"/>
        </w:tabs>
        <w:spacing w:line="400" w:lineRule="exact"/>
        <w:ind w:left="205" w:firstLine="376"/>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10</w:t>
      </w:r>
      <w:r>
        <w:rPr>
          <w:rFonts w:ascii="仿宋" w:hAnsi="仿宋" w:eastAsia="仿宋" w:cs="仿宋"/>
          <w:iCs/>
          <w:color w:val="auto"/>
          <w:spacing w:val="-46"/>
          <w:sz w:val="28"/>
          <w:szCs w:val="28"/>
          <w:highlight w:val="none"/>
        </w:rPr>
        <w:t>.</w:t>
      </w:r>
      <w:r>
        <w:rPr>
          <w:rFonts w:hint="eastAsia" w:ascii="宋体" w:hAnsi="宋体" w:cs="宋体"/>
          <w:iCs/>
          <w:color w:val="auto"/>
          <w:sz w:val="24"/>
          <w:szCs w:val="24"/>
          <w:highlight w:val="none"/>
          <w:u w:val="single"/>
        </w:rPr>
        <w:t xml:space="preserve"> （中控管理平台）</w:t>
      </w:r>
      <w:r>
        <w:rPr>
          <w:rFonts w:hint="eastAsia" w:ascii="宋体" w:hAnsi="宋体" w:cs="宋体"/>
          <w:iCs/>
          <w:color w:val="auto"/>
          <w:sz w:val="24"/>
          <w:szCs w:val="24"/>
          <w:highlight w:val="none"/>
        </w:rPr>
        <w:t xml:space="preserve"> ，属于（</w:t>
      </w:r>
      <w:r>
        <w:rPr>
          <w:rFonts w:hint="eastAsia" w:ascii="宋体" w:hAnsi="宋体" w:cs="宋体"/>
          <w:iCs/>
          <w:color w:val="auto"/>
          <w:sz w:val="24"/>
          <w:szCs w:val="24"/>
          <w:highlight w:val="none"/>
          <w:u w:val="single"/>
          <w:lang w:val="en-US" w:eastAsia="zh-CN"/>
        </w:rPr>
        <w:t>软件和信息技术服务业</w:t>
      </w:r>
      <w:r>
        <w:rPr>
          <w:rFonts w:hint="eastAsia" w:ascii="宋体" w:hAnsi="宋体" w:cs="宋体"/>
          <w:iCs/>
          <w:color w:val="auto"/>
          <w:sz w:val="24"/>
          <w:szCs w:val="24"/>
          <w:highlight w:val="none"/>
          <w:u w:val="single"/>
        </w:rPr>
        <w:t>）行业</w:t>
      </w:r>
      <w:r>
        <w:rPr>
          <w:rFonts w:hint="eastAsia" w:ascii="宋体" w:hAnsi="宋体" w:cs="宋体"/>
          <w:iCs/>
          <w:color w:val="auto"/>
          <w:sz w:val="24"/>
          <w:szCs w:val="24"/>
          <w:highlight w:val="none"/>
        </w:rPr>
        <w:t>；制造商为</w:t>
      </w:r>
      <w:r>
        <w:rPr>
          <w:rFonts w:hint="eastAsia" w:ascii="宋体" w:hAnsi="宋体" w:cs="宋体"/>
          <w:iCs/>
          <w:color w:val="auto"/>
          <w:sz w:val="24"/>
          <w:szCs w:val="24"/>
          <w:highlight w:val="none"/>
          <w:u w:val="single"/>
        </w:rPr>
        <w:t>（企业名称）</w:t>
      </w:r>
      <w:r>
        <w:rPr>
          <w:rFonts w:hint="eastAsia" w:ascii="宋体" w:hAnsi="宋体" w:cs="宋体"/>
          <w:iCs/>
          <w:color w:val="auto"/>
          <w:sz w:val="24"/>
          <w:szCs w:val="24"/>
          <w:highlight w:val="none"/>
        </w:rPr>
        <w:t>，从业人员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万元，属于</w:t>
      </w:r>
      <w:r>
        <w:rPr>
          <w:rFonts w:hint="eastAsia" w:ascii="宋体" w:hAnsi="宋体" w:cs="宋体"/>
          <w:color w:val="auto"/>
          <w:sz w:val="24"/>
          <w:szCs w:val="24"/>
          <w:highlight w:val="none"/>
          <w:u w:val="single"/>
        </w:rPr>
        <w:t>（□中型企业 □小型企业 □微型企业）</w:t>
      </w:r>
      <w:r>
        <w:rPr>
          <w:rFonts w:hint="eastAsia" w:ascii="宋体" w:hAnsi="宋体" w:cs="宋体"/>
          <w:iCs/>
          <w:color w:val="auto"/>
          <w:sz w:val="24"/>
          <w:szCs w:val="24"/>
          <w:highlight w:val="none"/>
        </w:rPr>
        <w:t>；</w:t>
      </w:r>
    </w:p>
    <w:p w14:paraId="6DFEB694">
      <w:pPr>
        <w:pStyle w:val="233"/>
        <w:tabs>
          <w:tab w:val="left" w:pos="1165"/>
          <w:tab w:val="left" w:pos="1183"/>
          <w:tab w:val="left" w:pos="4362"/>
          <w:tab w:val="left" w:pos="6577"/>
        </w:tabs>
        <w:spacing w:line="400" w:lineRule="exact"/>
        <w:ind w:left="205" w:firstLine="376"/>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11.</w:t>
      </w:r>
      <w:r>
        <w:rPr>
          <w:rFonts w:hint="eastAsia" w:ascii="宋体" w:hAnsi="宋体" w:cs="宋体"/>
          <w:iCs/>
          <w:color w:val="auto"/>
          <w:sz w:val="24"/>
          <w:szCs w:val="24"/>
          <w:highlight w:val="none"/>
          <w:u w:val="single"/>
        </w:rPr>
        <w:t xml:space="preserve"> （智能音频主机）</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工业</w:t>
      </w:r>
      <w:r>
        <w:rPr>
          <w:rFonts w:hint="eastAsia" w:ascii="宋体" w:hAnsi="宋体" w:cs="宋体"/>
          <w:iCs/>
          <w:color w:val="auto"/>
          <w:sz w:val="24"/>
          <w:szCs w:val="24"/>
          <w:highlight w:val="none"/>
          <w:u w:val="single"/>
        </w:rPr>
        <w:t>）行业</w:t>
      </w:r>
      <w:r>
        <w:rPr>
          <w:rFonts w:hint="eastAsia" w:ascii="宋体" w:hAnsi="宋体" w:cs="宋体"/>
          <w:iCs/>
          <w:color w:val="auto"/>
          <w:sz w:val="24"/>
          <w:szCs w:val="24"/>
          <w:highlight w:val="none"/>
        </w:rPr>
        <w:t>；制造商为</w:t>
      </w:r>
      <w:r>
        <w:rPr>
          <w:rFonts w:hint="eastAsia" w:ascii="宋体" w:hAnsi="宋体" w:cs="宋体"/>
          <w:iCs/>
          <w:color w:val="auto"/>
          <w:sz w:val="24"/>
          <w:szCs w:val="24"/>
          <w:highlight w:val="none"/>
          <w:u w:val="single"/>
        </w:rPr>
        <w:t>（企业名称）</w:t>
      </w:r>
      <w:r>
        <w:rPr>
          <w:rFonts w:hint="eastAsia" w:ascii="宋体" w:hAnsi="宋体" w:cs="宋体"/>
          <w:iCs/>
          <w:color w:val="auto"/>
          <w:sz w:val="24"/>
          <w:szCs w:val="24"/>
          <w:highlight w:val="none"/>
        </w:rPr>
        <w:t>，从业人员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万元，属于</w:t>
      </w:r>
      <w:r>
        <w:rPr>
          <w:rFonts w:hint="eastAsia" w:ascii="宋体" w:hAnsi="宋体" w:cs="宋体"/>
          <w:color w:val="auto"/>
          <w:sz w:val="24"/>
          <w:szCs w:val="24"/>
          <w:highlight w:val="none"/>
          <w:u w:val="single"/>
        </w:rPr>
        <w:t>（□中型企业 □小型企业 □微型企业）</w:t>
      </w:r>
      <w:r>
        <w:rPr>
          <w:rFonts w:hint="eastAsia" w:ascii="宋体" w:hAnsi="宋体" w:cs="宋体"/>
          <w:iCs/>
          <w:color w:val="auto"/>
          <w:sz w:val="24"/>
          <w:szCs w:val="24"/>
          <w:highlight w:val="none"/>
        </w:rPr>
        <w:t>；</w:t>
      </w:r>
    </w:p>
    <w:p w14:paraId="22D91645">
      <w:pPr>
        <w:pStyle w:val="233"/>
        <w:tabs>
          <w:tab w:val="left" w:pos="1165"/>
          <w:tab w:val="left" w:pos="1183"/>
          <w:tab w:val="left" w:pos="4362"/>
          <w:tab w:val="left" w:pos="6577"/>
        </w:tabs>
        <w:spacing w:line="400" w:lineRule="exact"/>
        <w:ind w:left="205" w:firstLine="376"/>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12</w:t>
      </w:r>
      <w:r>
        <w:rPr>
          <w:rFonts w:ascii="仿宋" w:hAnsi="仿宋" w:eastAsia="仿宋" w:cs="仿宋"/>
          <w:iCs/>
          <w:color w:val="auto"/>
          <w:spacing w:val="-46"/>
          <w:sz w:val="28"/>
          <w:szCs w:val="28"/>
          <w:highlight w:val="none"/>
        </w:rPr>
        <w:t>.</w:t>
      </w:r>
      <w:r>
        <w:rPr>
          <w:rFonts w:hint="eastAsia" w:ascii="宋体" w:hAnsi="宋体" w:cs="宋体"/>
          <w:iCs/>
          <w:color w:val="auto"/>
          <w:sz w:val="24"/>
          <w:szCs w:val="24"/>
          <w:highlight w:val="none"/>
          <w:u w:val="single"/>
        </w:rPr>
        <w:t xml:space="preserve"> （扩声音箱）</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工业</w:t>
      </w:r>
      <w:r>
        <w:rPr>
          <w:rFonts w:hint="eastAsia" w:ascii="宋体" w:hAnsi="宋体" w:cs="宋体"/>
          <w:iCs/>
          <w:color w:val="auto"/>
          <w:sz w:val="24"/>
          <w:szCs w:val="24"/>
          <w:highlight w:val="none"/>
          <w:u w:val="single"/>
        </w:rPr>
        <w:t>）行业</w:t>
      </w:r>
      <w:r>
        <w:rPr>
          <w:rFonts w:hint="eastAsia" w:ascii="宋体" w:hAnsi="宋体" w:cs="宋体"/>
          <w:iCs/>
          <w:color w:val="auto"/>
          <w:sz w:val="24"/>
          <w:szCs w:val="24"/>
          <w:highlight w:val="none"/>
        </w:rPr>
        <w:t>；制造商为</w:t>
      </w:r>
      <w:r>
        <w:rPr>
          <w:rFonts w:hint="eastAsia" w:ascii="宋体" w:hAnsi="宋体" w:cs="宋体"/>
          <w:iCs/>
          <w:color w:val="auto"/>
          <w:sz w:val="24"/>
          <w:szCs w:val="24"/>
          <w:highlight w:val="none"/>
          <w:u w:val="single"/>
        </w:rPr>
        <w:t>（企业名称）</w:t>
      </w:r>
      <w:r>
        <w:rPr>
          <w:rFonts w:hint="eastAsia" w:ascii="宋体" w:hAnsi="宋体" w:cs="宋体"/>
          <w:iCs/>
          <w:color w:val="auto"/>
          <w:sz w:val="24"/>
          <w:szCs w:val="24"/>
          <w:highlight w:val="none"/>
        </w:rPr>
        <w:t>，从业人员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万元，属于</w:t>
      </w:r>
      <w:r>
        <w:rPr>
          <w:rFonts w:hint="eastAsia" w:ascii="宋体" w:hAnsi="宋体" w:cs="宋体"/>
          <w:color w:val="auto"/>
          <w:sz w:val="24"/>
          <w:szCs w:val="24"/>
          <w:highlight w:val="none"/>
          <w:u w:val="single"/>
        </w:rPr>
        <w:t>（□中型企业 □小型企业 □微型企业）</w:t>
      </w:r>
      <w:r>
        <w:rPr>
          <w:rFonts w:hint="eastAsia" w:ascii="宋体" w:hAnsi="宋体" w:cs="宋体"/>
          <w:iCs/>
          <w:color w:val="auto"/>
          <w:sz w:val="24"/>
          <w:szCs w:val="24"/>
          <w:highlight w:val="none"/>
        </w:rPr>
        <w:t>；</w:t>
      </w:r>
    </w:p>
    <w:p w14:paraId="3605FE96">
      <w:pPr>
        <w:pStyle w:val="233"/>
        <w:tabs>
          <w:tab w:val="left" w:pos="1165"/>
          <w:tab w:val="left" w:pos="1183"/>
          <w:tab w:val="left" w:pos="4362"/>
          <w:tab w:val="left" w:pos="6577"/>
        </w:tabs>
        <w:spacing w:line="400" w:lineRule="exact"/>
        <w:ind w:left="205" w:firstLine="376"/>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13.</w:t>
      </w:r>
      <w:r>
        <w:rPr>
          <w:rFonts w:hint="eastAsia" w:ascii="宋体" w:hAnsi="宋体" w:cs="宋体"/>
          <w:iCs/>
          <w:color w:val="auto"/>
          <w:sz w:val="24"/>
          <w:szCs w:val="24"/>
          <w:highlight w:val="none"/>
          <w:u w:val="single"/>
        </w:rPr>
        <w:t xml:space="preserve"> （拾音麦克风）</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工业</w:t>
      </w:r>
      <w:r>
        <w:rPr>
          <w:rFonts w:hint="eastAsia" w:ascii="宋体" w:hAnsi="宋体" w:cs="宋体"/>
          <w:iCs/>
          <w:color w:val="auto"/>
          <w:sz w:val="24"/>
          <w:szCs w:val="24"/>
          <w:highlight w:val="none"/>
          <w:u w:val="single"/>
        </w:rPr>
        <w:t>）行业</w:t>
      </w:r>
      <w:r>
        <w:rPr>
          <w:rFonts w:hint="eastAsia" w:ascii="宋体" w:hAnsi="宋体" w:cs="宋体"/>
          <w:iCs/>
          <w:color w:val="auto"/>
          <w:sz w:val="24"/>
          <w:szCs w:val="24"/>
          <w:highlight w:val="none"/>
        </w:rPr>
        <w:t>；制造商为</w:t>
      </w:r>
      <w:r>
        <w:rPr>
          <w:rFonts w:hint="eastAsia" w:ascii="宋体" w:hAnsi="宋体" w:cs="宋体"/>
          <w:iCs/>
          <w:color w:val="auto"/>
          <w:sz w:val="24"/>
          <w:szCs w:val="24"/>
          <w:highlight w:val="none"/>
          <w:u w:val="single"/>
        </w:rPr>
        <w:t>（企业名称）</w:t>
      </w:r>
      <w:r>
        <w:rPr>
          <w:rFonts w:hint="eastAsia" w:ascii="宋体" w:hAnsi="宋体" w:cs="宋体"/>
          <w:iCs/>
          <w:color w:val="auto"/>
          <w:sz w:val="24"/>
          <w:szCs w:val="24"/>
          <w:highlight w:val="none"/>
        </w:rPr>
        <w:t>，从业人员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万元，属于</w:t>
      </w:r>
      <w:r>
        <w:rPr>
          <w:rFonts w:hint="eastAsia" w:ascii="宋体" w:hAnsi="宋体" w:cs="宋体"/>
          <w:color w:val="auto"/>
          <w:sz w:val="24"/>
          <w:szCs w:val="24"/>
          <w:highlight w:val="none"/>
          <w:u w:val="single"/>
        </w:rPr>
        <w:t>（□中型企业 □小型企业 □微型企业）</w:t>
      </w:r>
      <w:r>
        <w:rPr>
          <w:rFonts w:hint="eastAsia" w:ascii="宋体" w:hAnsi="宋体" w:cs="宋体"/>
          <w:iCs/>
          <w:color w:val="auto"/>
          <w:sz w:val="24"/>
          <w:szCs w:val="24"/>
          <w:highlight w:val="none"/>
        </w:rPr>
        <w:t>；</w:t>
      </w:r>
    </w:p>
    <w:p w14:paraId="1D9A4D15">
      <w:pPr>
        <w:pStyle w:val="233"/>
        <w:tabs>
          <w:tab w:val="left" w:pos="1165"/>
          <w:tab w:val="left" w:pos="1183"/>
          <w:tab w:val="left" w:pos="4362"/>
          <w:tab w:val="left" w:pos="6577"/>
        </w:tabs>
        <w:spacing w:line="400" w:lineRule="exact"/>
        <w:ind w:left="205" w:firstLine="376"/>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14.</w:t>
      </w:r>
      <w:r>
        <w:rPr>
          <w:rFonts w:hint="eastAsia" w:ascii="宋体" w:hAnsi="宋体" w:cs="宋体"/>
          <w:iCs/>
          <w:color w:val="auto"/>
          <w:sz w:val="24"/>
          <w:szCs w:val="24"/>
          <w:highlight w:val="none"/>
          <w:u w:val="single"/>
        </w:rPr>
        <w:t xml:space="preserve"> （多功能无线麦克风套装）</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工业</w:t>
      </w:r>
      <w:r>
        <w:rPr>
          <w:rFonts w:hint="eastAsia" w:ascii="宋体" w:hAnsi="宋体" w:cs="宋体"/>
          <w:iCs/>
          <w:color w:val="auto"/>
          <w:sz w:val="24"/>
          <w:szCs w:val="24"/>
          <w:highlight w:val="none"/>
          <w:u w:val="single"/>
        </w:rPr>
        <w:t>）行业</w:t>
      </w:r>
      <w:r>
        <w:rPr>
          <w:rFonts w:hint="eastAsia" w:ascii="宋体" w:hAnsi="宋体" w:cs="宋体"/>
          <w:iCs/>
          <w:color w:val="auto"/>
          <w:sz w:val="24"/>
          <w:szCs w:val="24"/>
          <w:highlight w:val="none"/>
        </w:rPr>
        <w:t>；制造商为</w:t>
      </w:r>
      <w:r>
        <w:rPr>
          <w:rFonts w:hint="eastAsia" w:ascii="宋体" w:hAnsi="宋体" w:cs="宋体"/>
          <w:iCs/>
          <w:color w:val="auto"/>
          <w:sz w:val="24"/>
          <w:szCs w:val="24"/>
          <w:highlight w:val="none"/>
          <w:u w:val="single"/>
        </w:rPr>
        <w:t>（企业名称）</w:t>
      </w:r>
      <w:r>
        <w:rPr>
          <w:rFonts w:hint="eastAsia" w:ascii="宋体" w:hAnsi="宋体" w:cs="宋体"/>
          <w:iCs/>
          <w:color w:val="auto"/>
          <w:sz w:val="24"/>
          <w:szCs w:val="24"/>
          <w:highlight w:val="none"/>
        </w:rPr>
        <w:t>，从业人员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万元，属于</w:t>
      </w:r>
      <w:r>
        <w:rPr>
          <w:rFonts w:hint="eastAsia" w:ascii="宋体" w:hAnsi="宋体" w:cs="宋体"/>
          <w:color w:val="auto"/>
          <w:sz w:val="24"/>
          <w:szCs w:val="24"/>
          <w:highlight w:val="none"/>
          <w:u w:val="single"/>
        </w:rPr>
        <w:t>（□中型企业 □小型企业 □微型企业）</w:t>
      </w:r>
      <w:r>
        <w:rPr>
          <w:rFonts w:hint="eastAsia" w:ascii="宋体" w:hAnsi="宋体" w:cs="宋体"/>
          <w:iCs/>
          <w:color w:val="auto"/>
          <w:sz w:val="24"/>
          <w:szCs w:val="24"/>
          <w:highlight w:val="none"/>
        </w:rPr>
        <w:t>；</w:t>
      </w:r>
    </w:p>
    <w:p w14:paraId="6975B685">
      <w:pPr>
        <w:pStyle w:val="233"/>
        <w:tabs>
          <w:tab w:val="left" w:pos="1165"/>
          <w:tab w:val="left" w:pos="1183"/>
          <w:tab w:val="left" w:pos="4362"/>
          <w:tab w:val="left" w:pos="6577"/>
        </w:tabs>
        <w:spacing w:line="400" w:lineRule="exact"/>
        <w:ind w:left="205" w:firstLine="376"/>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15.</w:t>
      </w:r>
      <w:r>
        <w:rPr>
          <w:rFonts w:hint="eastAsia" w:ascii="宋体" w:hAnsi="宋体" w:cs="宋体"/>
          <w:iCs/>
          <w:color w:val="auto"/>
          <w:sz w:val="24"/>
          <w:szCs w:val="24"/>
          <w:highlight w:val="none"/>
          <w:u w:val="single"/>
        </w:rPr>
        <w:t xml:space="preserve"> （AI分析智能主机）</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工业</w:t>
      </w:r>
      <w:r>
        <w:rPr>
          <w:rFonts w:hint="eastAsia" w:ascii="宋体" w:hAnsi="宋体" w:cs="宋体"/>
          <w:iCs/>
          <w:color w:val="auto"/>
          <w:sz w:val="24"/>
          <w:szCs w:val="24"/>
          <w:highlight w:val="none"/>
          <w:u w:val="single"/>
        </w:rPr>
        <w:t>）行业</w:t>
      </w:r>
      <w:r>
        <w:rPr>
          <w:rFonts w:hint="eastAsia" w:ascii="宋体" w:hAnsi="宋体" w:cs="宋体"/>
          <w:iCs/>
          <w:color w:val="auto"/>
          <w:sz w:val="24"/>
          <w:szCs w:val="24"/>
          <w:highlight w:val="none"/>
        </w:rPr>
        <w:t>；制造商为</w:t>
      </w:r>
      <w:r>
        <w:rPr>
          <w:rFonts w:hint="eastAsia" w:ascii="宋体" w:hAnsi="宋体" w:cs="宋体"/>
          <w:iCs/>
          <w:color w:val="auto"/>
          <w:sz w:val="24"/>
          <w:szCs w:val="24"/>
          <w:highlight w:val="none"/>
          <w:u w:val="single"/>
        </w:rPr>
        <w:t>（企业名称）</w:t>
      </w:r>
      <w:r>
        <w:rPr>
          <w:rFonts w:hint="eastAsia" w:ascii="宋体" w:hAnsi="宋体" w:cs="宋体"/>
          <w:iCs/>
          <w:color w:val="auto"/>
          <w:sz w:val="24"/>
          <w:szCs w:val="24"/>
          <w:highlight w:val="none"/>
        </w:rPr>
        <w:t>，从业人员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万元，属于</w:t>
      </w:r>
      <w:r>
        <w:rPr>
          <w:rFonts w:hint="eastAsia" w:ascii="宋体" w:hAnsi="宋体" w:cs="宋体"/>
          <w:color w:val="auto"/>
          <w:sz w:val="24"/>
          <w:szCs w:val="24"/>
          <w:highlight w:val="none"/>
          <w:u w:val="single"/>
        </w:rPr>
        <w:t>（□中型企业 □小型企业 □微型企业）</w:t>
      </w:r>
      <w:r>
        <w:rPr>
          <w:rFonts w:hint="eastAsia" w:ascii="宋体" w:hAnsi="宋体" w:cs="宋体"/>
          <w:iCs/>
          <w:color w:val="auto"/>
          <w:sz w:val="24"/>
          <w:szCs w:val="24"/>
          <w:highlight w:val="none"/>
        </w:rPr>
        <w:t>；</w:t>
      </w:r>
    </w:p>
    <w:p w14:paraId="6A900FA7">
      <w:pPr>
        <w:pStyle w:val="233"/>
        <w:tabs>
          <w:tab w:val="left" w:pos="1165"/>
          <w:tab w:val="left" w:pos="1183"/>
          <w:tab w:val="left" w:pos="4362"/>
          <w:tab w:val="left" w:pos="6577"/>
        </w:tabs>
        <w:spacing w:line="400" w:lineRule="exact"/>
        <w:ind w:left="205" w:firstLine="376"/>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16.</w:t>
      </w:r>
      <w:r>
        <w:rPr>
          <w:rFonts w:hint="eastAsia" w:ascii="宋体" w:hAnsi="宋体" w:cs="宋体"/>
          <w:iCs/>
          <w:color w:val="auto"/>
          <w:sz w:val="24"/>
          <w:szCs w:val="24"/>
          <w:highlight w:val="none"/>
          <w:u w:val="single"/>
        </w:rPr>
        <w:t xml:space="preserve"> （导播互动系统）</w:t>
      </w:r>
      <w:r>
        <w:rPr>
          <w:rFonts w:hint="eastAsia" w:ascii="宋体" w:hAnsi="宋体" w:cs="宋体"/>
          <w:iCs/>
          <w:color w:val="auto"/>
          <w:sz w:val="24"/>
          <w:szCs w:val="24"/>
          <w:highlight w:val="none"/>
        </w:rPr>
        <w:t xml:space="preserve"> ，属于（</w:t>
      </w:r>
      <w:r>
        <w:rPr>
          <w:rFonts w:hint="eastAsia" w:ascii="宋体" w:hAnsi="宋体" w:cs="宋体"/>
          <w:iCs/>
          <w:color w:val="auto"/>
          <w:sz w:val="24"/>
          <w:szCs w:val="24"/>
          <w:highlight w:val="none"/>
          <w:u w:val="single"/>
        </w:rPr>
        <w:t>软件和信息技术服务业）行业</w:t>
      </w:r>
      <w:r>
        <w:rPr>
          <w:rFonts w:hint="eastAsia" w:ascii="宋体" w:hAnsi="宋体" w:cs="宋体"/>
          <w:iCs/>
          <w:color w:val="auto"/>
          <w:sz w:val="24"/>
          <w:szCs w:val="24"/>
          <w:highlight w:val="none"/>
        </w:rPr>
        <w:t>；制造商为</w:t>
      </w:r>
      <w:r>
        <w:rPr>
          <w:rFonts w:hint="eastAsia" w:ascii="宋体" w:hAnsi="宋体" w:cs="宋体"/>
          <w:iCs/>
          <w:color w:val="auto"/>
          <w:sz w:val="24"/>
          <w:szCs w:val="24"/>
          <w:highlight w:val="none"/>
          <w:u w:val="single"/>
        </w:rPr>
        <w:t>（企业名称）</w:t>
      </w:r>
      <w:r>
        <w:rPr>
          <w:rFonts w:hint="eastAsia" w:ascii="宋体" w:hAnsi="宋体" w:cs="宋体"/>
          <w:iCs/>
          <w:color w:val="auto"/>
          <w:sz w:val="24"/>
          <w:szCs w:val="24"/>
          <w:highlight w:val="none"/>
        </w:rPr>
        <w:t>，从业人员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万元，属于</w:t>
      </w:r>
      <w:r>
        <w:rPr>
          <w:rFonts w:hint="eastAsia" w:ascii="宋体" w:hAnsi="宋体" w:cs="宋体"/>
          <w:color w:val="auto"/>
          <w:sz w:val="24"/>
          <w:szCs w:val="24"/>
          <w:highlight w:val="none"/>
          <w:u w:val="single"/>
        </w:rPr>
        <w:t>（□中型企业 □小型企业 □微型企业）</w:t>
      </w:r>
      <w:r>
        <w:rPr>
          <w:rFonts w:hint="eastAsia" w:ascii="宋体" w:hAnsi="宋体" w:cs="宋体"/>
          <w:iCs/>
          <w:color w:val="auto"/>
          <w:sz w:val="24"/>
          <w:szCs w:val="24"/>
          <w:highlight w:val="none"/>
        </w:rPr>
        <w:t>；</w:t>
      </w:r>
    </w:p>
    <w:p w14:paraId="4E3116A3">
      <w:pPr>
        <w:pStyle w:val="233"/>
        <w:tabs>
          <w:tab w:val="left" w:pos="1165"/>
          <w:tab w:val="left" w:pos="1183"/>
          <w:tab w:val="left" w:pos="4362"/>
          <w:tab w:val="left" w:pos="6577"/>
        </w:tabs>
        <w:spacing w:line="400" w:lineRule="exact"/>
        <w:ind w:left="205" w:firstLine="376"/>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17</w:t>
      </w:r>
      <w:r>
        <w:rPr>
          <w:rFonts w:hint="eastAsia" w:ascii="宋体" w:hAnsi="宋体" w:cs="宋体"/>
          <w:iCs/>
          <w:color w:val="auto"/>
          <w:sz w:val="24"/>
          <w:szCs w:val="24"/>
          <w:highlight w:val="none"/>
          <w:u w:val="single"/>
        </w:rPr>
        <w:t xml:space="preserve"> （AI分析教师端视频处理系统）</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工业</w:t>
      </w:r>
      <w:r>
        <w:rPr>
          <w:rFonts w:hint="eastAsia" w:ascii="宋体" w:hAnsi="宋体" w:cs="宋体"/>
          <w:iCs/>
          <w:color w:val="auto"/>
          <w:sz w:val="24"/>
          <w:szCs w:val="24"/>
          <w:highlight w:val="none"/>
          <w:u w:val="single"/>
        </w:rPr>
        <w:t>）行业</w:t>
      </w:r>
      <w:r>
        <w:rPr>
          <w:rFonts w:hint="eastAsia" w:ascii="宋体" w:hAnsi="宋体" w:cs="宋体"/>
          <w:iCs/>
          <w:color w:val="auto"/>
          <w:sz w:val="24"/>
          <w:szCs w:val="24"/>
          <w:highlight w:val="none"/>
        </w:rPr>
        <w:t>；制造商为</w:t>
      </w:r>
      <w:r>
        <w:rPr>
          <w:rFonts w:hint="eastAsia" w:ascii="宋体" w:hAnsi="宋体" w:cs="宋体"/>
          <w:iCs/>
          <w:color w:val="auto"/>
          <w:sz w:val="24"/>
          <w:szCs w:val="24"/>
          <w:highlight w:val="none"/>
          <w:u w:val="single"/>
        </w:rPr>
        <w:t>（企业名称）</w:t>
      </w:r>
      <w:r>
        <w:rPr>
          <w:rFonts w:hint="eastAsia" w:ascii="宋体" w:hAnsi="宋体" w:cs="宋体"/>
          <w:iCs/>
          <w:color w:val="auto"/>
          <w:sz w:val="24"/>
          <w:szCs w:val="24"/>
          <w:highlight w:val="none"/>
        </w:rPr>
        <w:t>，从业人员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万元，属于</w:t>
      </w:r>
      <w:r>
        <w:rPr>
          <w:rFonts w:hint="eastAsia" w:ascii="宋体" w:hAnsi="宋体" w:cs="宋体"/>
          <w:color w:val="auto"/>
          <w:sz w:val="24"/>
          <w:szCs w:val="24"/>
          <w:highlight w:val="none"/>
          <w:u w:val="single"/>
        </w:rPr>
        <w:t>（□中型企业 □小型企业 □微型企业）</w:t>
      </w:r>
      <w:r>
        <w:rPr>
          <w:rFonts w:hint="eastAsia" w:ascii="宋体" w:hAnsi="宋体" w:cs="宋体"/>
          <w:iCs/>
          <w:color w:val="auto"/>
          <w:sz w:val="24"/>
          <w:szCs w:val="24"/>
          <w:highlight w:val="none"/>
        </w:rPr>
        <w:t>；</w:t>
      </w:r>
    </w:p>
    <w:p w14:paraId="5A7627E6">
      <w:pPr>
        <w:pStyle w:val="233"/>
        <w:tabs>
          <w:tab w:val="left" w:pos="1165"/>
          <w:tab w:val="left" w:pos="1183"/>
          <w:tab w:val="left" w:pos="4362"/>
          <w:tab w:val="left" w:pos="6577"/>
        </w:tabs>
        <w:spacing w:line="400" w:lineRule="exact"/>
        <w:ind w:left="205" w:firstLine="376"/>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18.</w:t>
      </w:r>
      <w:r>
        <w:rPr>
          <w:rFonts w:hint="eastAsia" w:ascii="宋体" w:hAnsi="宋体" w:cs="宋体"/>
          <w:iCs/>
          <w:color w:val="auto"/>
          <w:sz w:val="24"/>
          <w:szCs w:val="24"/>
          <w:highlight w:val="none"/>
          <w:u w:val="single"/>
        </w:rPr>
        <w:t xml:space="preserve"> （AI分析学生端视频处理系统）</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工业</w:t>
      </w:r>
      <w:r>
        <w:rPr>
          <w:rFonts w:hint="eastAsia" w:ascii="宋体" w:hAnsi="宋体" w:cs="宋体"/>
          <w:iCs/>
          <w:color w:val="auto"/>
          <w:sz w:val="24"/>
          <w:szCs w:val="24"/>
          <w:highlight w:val="none"/>
          <w:u w:val="single"/>
        </w:rPr>
        <w:t>）行业</w:t>
      </w:r>
      <w:r>
        <w:rPr>
          <w:rFonts w:hint="eastAsia" w:ascii="宋体" w:hAnsi="宋体" w:cs="宋体"/>
          <w:iCs/>
          <w:color w:val="auto"/>
          <w:sz w:val="24"/>
          <w:szCs w:val="24"/>
          <w:highlight w:val="none"/>
        </w:rPr>
        <w:t>；制造商为</w:t>
      </w:r>
      <w:r>
        <w:rPr>
          <w:rFonts w:hint="eastAsia" w:ascii="宋体" w:hAnsi="宋体" w:cs="宋体"/>
          <w:iCs/>
          <w:color w:val="auto"/>
          <w:sz w:val="24"/>
          <w:szCs w:val="24"/>
          <w:highlight w:val="none"/>
          <w:u w:val="single"/>
        </w:rPr>
        <w:t>（企业名称）</w:t>
      </w:r>
      <w:r>
        <w:rPr>
          <w:rFonts w:hint="eastAsia" w:ascii="宋体" w:hAnsi="宋体" w:cs="宋体"/>
          <w:iCs/>
          <w:color w:val="auto"/>
          <w:sz w:val="24"/>
          <w:szCs w:val="24"/>
          <w:highlight w:val="none"/>
        </w:rPr>
        <w:t>，从业人员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万元，属于</w:t>
      </w:r>
      <w:r>
        <w:rPr>
          <w:rFonts w:hint="eastAsia" w:ascii="宋体" w:hAnsi="宋体" w:cs="宋体"/>
          <w:color w:val="auto"/>
          <w:sz w:val="24"/>
          <w:szCs w:val="24"/>
          <w:highlight w:val="none"/>
          <w:u w:val="single"/>
        </w:rPr>
        <w:t>（□中型企业 □小型企业 □微型企业）</w:t>
      </w:r>
      <w:r>
        <w:rPr>
          <w:rFonts w:hint="eastAsia" w:ascii="宋体" w:hAnsi="宋体" w:cs="宋体"/>
          <w:iCs/>
          <w:color w:val="auto"/>
          <w:sz w:val="24"/>
          <w:szCs w:val="24"/>
          <w:highlight w:val="none"/>
        </w:rPr>
        <w:t>；</w:t>
      </w:r>
    </w:p>
    <w:p w14:paraId="2C3D74B7">
      <w:pPr>
        <w:pStyle w:val="233"/>
        <w:tabs>
          <w:tab w:val="left" w:pos="1165"/>
          <w:tab w:val="left" w:pos="1183"/>
          <w:tab w:val="left" w:pos="4362"/>
          <w:tab w:val="left" w:pos="6577"/>
        </w:tabs>
        <w:spacing w:line="400" w:lineRule="exact"/>
        <w:ind w:left="205" w:firstLine="376"/>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19.</w:t>
      </w:r>
      <w:r>
        <w:rPr>
          <w:rFonts w:hint="eastAsia" w:ascii="宋体" w:hAnsi="宋体" w:cs="宋体"/>
          <w:iCs/>
          <w:color w:val="auto"/>
          <w:sz w:val="24"/>
          <w:szCs w:val="24"/>
          <w:highlight w:val="none"/>
          <w:u w:val="single"/>
        </w:rPr>
        <w:t xml:space="preserve"> （AI分析声音采集前端处理系统）</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工业</w:t>
      </w:r>
      <w:r>
        <w:rPr>
          <w:rFonts w:hint="eastAsia" w:ascii="宋体" w:hAnsi="宋体" w:cs="宋体"/>
          <w:iCs/>
          <w:color w:val="auto"/>
          <w:sz w:val="24"/>
          <w:szCs w:val="24"/>
          <w:highlight w:val="none"/>
          <w:u w:val="single"/>
        </w:rPr>
        <w:t>）行业</w:t>
      </w:r>
      <w:r>
        <w:rPr>
          <w:rFonts w:hint="eastAsia" w:ascii="宋体" w:hAnsi="宋体" w:cs="宋体"/>
          <w:iCs/>
          <w:color w:val="auto"/>
          <w:sz w:val="24"/>
          <w:szCs w:val="24"/>
          <w:highlight w:val="none"/>
        </w:rPr>
        <w:t>；制造商为</w:t>
      </w:r>
      <w:r>
        <w:rPr>
          <w:rFonts w:hint="eastAsia" w:ascii="宋体" w:hAnsi="宋体" w:cs="宋体"/>
          <w:iCs/>
          <w:color w:val="auto"/>
          <w:sz w:val="24"/>
          <w:szCs w:val="24"/>
          <w:highlight w:val="none"/>
          <w:u w:val="single"/>
        </w:rPr>
        <w:t>（企业名称）</w:t>
      </w:r>
      <w:r>
        <w:rPr>
          <w:rFonts w:hint="eastAsia" w:ascii="宋体" w:hAnsi="宋体" w:cs="宋体"/>
          <w:iCs/>
          <w:color w:val="auto"/>
          <w:sz w:val="24"/>
          <w:szCs w:val="24"/>
          <w:highlight w:val="none"/>
        </w:rPr>
        <w:t>，从业人员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万元，属于</w:t>
      </w:r>
      <w:r>
        <w:rPr>
          <w:rFonts w:hint="eastAsia" w:ascii="宋体" w:hAnsi="宋体" w:cs="宋体"/>
          <w:color w:val="auto"/>
          <w:sz w:val="24"/>
          <w:szCs w:val="24"/>
          <w:highlight w:val="none"/>
          <w:u w:val="single"/>
        </w:rPr>
        <w:t>（□中型企业 □小型企业 □微型企业）</w:t>
      </w:r>
      <w:r>
        <w:rPr>
          <w:rFonts w:hint="eastAsia" w:ascii="宋体" w:hAnsi="宋体" w:cs="宋体"/>
          <w:iCs/>
          <w:color w:val="auto"/>
          <w:sz w:val="24"/>
          <w:szCs w:val="24"/>
          <w:highlight w:val="none"/>
        </w:rPr>
        <w:t>；</w:t>
      </w:r>
    </w:p>
    <w:p w14:paraId="75E147A2">
      <w:pPr>
        <w:pStyle w:val="233"/>
        <w:tabs>
          <w:tab w:val="left" w:pos="1165"/>
          <w:tab w:val="left" w:pos="1183"/>
          <w:tab w:val="left" w:pos="4362"/>
          <w:tab w:val="left" w:pos="6577"/>
        </w:tabs>
        <w:spacing w:line="400" w:lineRule="exact"/>
        <w:ind w:left="205" w:firstLine="376"/>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20.</w:t>
      </w:r>
      <w:r>
        <w:rPr>
          <w:rFonts w:hint="eastAsia" w:ascii="宋体" w:hAnsi="宋体" w:cs="宋体"/>
          <w:iCs/>
          <w:color w:val="auto"/>
          <w:sz w:val="24"/>
          <w:szCs w:val="24"/>
          <w:highlight w:val="none"/>
          <w:u w:val="single"/>
        </w:rPr>
        <w:t xml:space="preserve"> （教学质量管理平台）</w:t>
      </w:r>
      <w:r>
        <w:rPr>
          <w:rFonts w:hint="eastAsia" w:ascii="宋体" w:hAnsi="宋体" w:cs="宋体"/>
          <w:iCs/>
          <w:color w:val="auto"/>
          <w:sz w:val="24"/>
          <w:szCs w:val="24"/>
          <w:highlight w:val="none"/>
        </w:rPr>
        <w:t xml:space="preserve"> ，属于（</w:t>
      </w:r>
      <w:r>
        <w:rPr>
          <w:rFonts w:hint="eastAsia" w:ascii="宋体" w:hAnsi="宋体" w:cs="宋体"/>
          <w:iCs/>
          <w:color w:val="auto"/>
          <w:sz w:val="24"/>
          <w:szCs w:val="24"/>
          <w:highlight w:val="none"/>
          <w:u w:val="single"/>
        </w:rPr>
        <w:t>软件和信息技术服务业）行业</w:t>
      </w:r>
      <w:r>
        <w:rPr>
          <w:rFonts w:hint="eastAsia" w:ascii="宋体" w:hAnsi="宋体" w:cs="宋体"/>
          <w:iCs/>
          <w:color w:val="auto"/>
          <w:sz w:val="24"/>
          <w:szCs w:val="24"/>
          <w:highlight w:val="none"/>
        </w:rPr>
        <w:t>；制造商为</w:t>
      </w:r>
      <w:r>
        <w:rPr>
          <w:rFonts w:hint="eastAsia" w:ascii="宋体" w:hAnsi="宋体" w:cs="宋体"/>
          <w:iCs/>
          <w:color w:val="auto"/>
          <w:sz w:val="24"/>
          <w:szCs w:val="24"/>
          <w:highlight w:val="none"/>
          <w:u w:val="single"/>
        </w:rPr>
        <w:t>（企业名称）</w:t>
      </w:r>
      <w:r>
        <w:rPr>
          <w:rFonts w:hint="eastAsia" w:ascii="宋体" w:hAnsi="宋体" w:cs="宋体"/>
          <w:iCs/>
          <w:color w:val="auto"/>
          <w:sz w:val="24"/>
          <w:szCs w:val="24"/>
          <w:highlight w:val="none"/>
        </w:rPr>
        <w:t>，从业人员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万元，属于</w:t>
      </w:r>
      <w:r>
        <w:rPr>
          <w:rFonts w:hint="eastAsia" w:ascii="宋体" w:hAnsi="宋体" w:cs="宋体"/>
          <w:color w:val="auto"/>
          <w:sz w:val="24"/>
          <w:szCs w:val="24"/>
          <w:highlight w:val="none"/>
          <w:u w:val="single"/>
        </w:rPr>
        <w:t>（□中型企业 □小型企业 □微型企业）</w:t>
      </w:r>
      <w:r>
        <w:rPr>
          <w:rFonts w:hint="eastAsia" w:ascii="宋体" w:hAnsi="宋体" w:cs="宋体"/>
          <w:iCs/>
          <w:color w:val="auto"/>
          <w:sz w:val="24"/>
          <w:szCs w:val="24"/>
          <w:highlight w:val="none"/>
        </w:rPr>
        <w:t>；</w:t>
      </w:r>
    </w:p>
    <w:p w14:paraId="576D9EA3">
      <w:pPr>
        <w:pStyle w:val="233"/>
        <w:tabs>
          <w:tab w:val="left" w:pos="1165"/>
          <w:tab w:val="left" w:pos="1183"/>
          <w:tab w:val="left" w:pos="4362"/>
          <w:tab w:val="left" w:pos="6577"/>
        </w:tabs>
        <w:spacing w:line="400" w:lineRule="exact"/>
        <w:ind w:left="205" w:firstLine="376"/>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21.</w:t>
      </w:r>
      <w:r>
        <w:rPr>
          <w:rFonts w:hint="eastAsia" w:ascii="宋体" w:hAnsi="宋体" w:cs="宋体"/>
          <w:iCs/>
          <w:color w:val="auto"/>
          <w:sz w:val="24"/>
          <w:szCs w:val="24"/>
          <w:highlight w:val="none"/>
          <w:u w:val="single"/>
        </w:rPr>
        <w:t xml:space="preserve"> （AI教学评价系统）</w:t>
      </w:r>
      <w:r>
        <w:rPr>
          <w:rFonts w:hint="eastAsia" w:ascii="宋体" w:hAnsi="宋体" w:cs="宋体"/>
          <w:iCs/>
          <w:color w:val="auto"/>
          <w:sz w:val="24"/>
          <w:szCs w:val="24"/>
          <w:highlight w:val="none"/>
        </w:rPr>
        <w:t xml:space="preserve"> ，属于（</w:t>
      </w:r>
      <w:r>
        <w:rPr>
          <w:rFonts w:hint="eastAsia" w:ascii="宋体" w:hAnsi="宋体" w:cs="宋体"/>
          <w:iCs/>
          <w:color w:val="auto"/>
          <w:sz w:val="24"/>
          <w:szCs w:val="24"/>
          <w:highlight w:val="none"/>
          <w:u w:val="single"/>
        </w:rPr>
        <w:t>软件和信息技术服务业）行业</w:t>
      </w:r>
      <w:r>
        <w:rPr>
          <w:rFonts w:hint="eastAsia" w:ascii="宋体" w:hAnsi="宋体" w:cs="宋体"/>
          <w:iCs/>
          <w:color w:val="auto"/>
          <w:sz w:val="24"/>
          <w:szCs w:val="24"/>
          <w:highlight w:val="none"/>
        </w:rPr>
        <w:t>；制造商为</w:t>
      </w:r>
      <w:r>
        <w:rPr>
          <w:rFonts w:hint="eastAsia" w:ascii="宋体" w:hAnsi="宋体" w:cs="宋体"/>
          <w:iCs/>
          <w:color w:val="auto"/>
          <w:sz w:val="24"/>
          <w:szCs w:val="24"/>
          <w:highlight w:val="none"/>
          <w:u w:val="single"/>
        </w:rPr>
        <w:t>（企业名称）</w:t>
      </w:r>
      <w:r>
        <w:rPr>
          <w:rFonts w:hint="eastAsia" w:ascii="宋体" w:hAnsi="宋体" w:cs="宋体"/>
          <w:iCs/>
          <w:color w:val="auto"/>
          <w:sz w:val="24"/>
          <w:szCs w:val="24"/>
          <w:highlight w:val="none"/>
        </w:rPr>
        <w:t>，从业人员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万元，属于</w:t>
      </w:r>
      <w:r>
        <w:rPr>
          <w:rFonts w:hint="eastAsia" w:ascii="宋体" w:hAnsi="宋体" w:cs="宋体"/>
          <w:color w:val="auto"/>
          <w:sz w:val="24"/>
          <w:szCs w:val="24"/>
          <w:highlight w:val="none"/>
          <w:u w:val="single"/>
        </w:rPr>
        <w:t>（□中型企业 □小型企业 □微型企业）</w:t>
      </w:r>
      <w:r>
        <w:rPr>
          <w:rFonts w:hint="eastAsia" w:ascii="宋体" w:hAnsi="宋体" w:cs="宋体"/>
          <w:iCs/>
          <w:color w:val="auto"/>
          <w:sz w:val="24"/>
          <w:szCs w:val="24"/>
          <w:highlight w:val="none"/>
        </w:rPr>
        <w:t>；</w:t>
      </w:r>
    </w:p>
    <w:p w14:paraId="5376B4A1">
      <w:pPr>
        <w:spacing w:line="320" w:lineRule="exact"/>
        <w:ind w:firstLine="420"/>
        <w:rPr>
          <w:rFonts w:hint="eastAsia" w:ascii="宋体" w:hAnsi="宋体" w:cs="宋体"/>
          <w:color w:val="auto"/>
          <w:sz w:val="24"/>
          <w:highlight w:val="none"/>
        </w:rPr>
      </w:pPr>
      <w:r>
        <w:rPr>
          <w:rFonts w:hint="eastAsia" w:ascii="宋体" w:hAnsi="宋体" w:cs="宋体"/>
          <w:color w:val="auto"/>
          <w:sz w:val="24"/>
          <w:highlight w:val="none"/>
        </w:rPr>
        <w:t>以上企业，不属于大企业的分支机构，不存在控股股东为大企业的情形，也不存在与大企业的负责人为同一人的情形。</w:t>
      </w:r>
    </w:p>
    <w:p w14:paraId="6BFA91C9">
      <w:pPr>
        <w:spacing w:line="320" w:lineRule="exact"/>
        <w:ind w:firstLine="420"/>
        <w:rPr>
          <w:rFonts w:hint="eastAsia" w:ascii="宋体" w:hAnsi="宋体" w:cs="宋体"/>
          <w:color w:val="auto"/>
          <w:sz w:val="24"/>
          <w:highlight w:val="none"/>
        </w:rPr>
      </w:pPr>
      <w:r>
        <w:rPr>
          <w:rFonts w:hint="eastAsia" w:ascii="宋体" w:hAnsi="宋体" w:cs="宋体"/>
          <w:color w:val="auto"/>
          <w:sz w:val="24"/>
          <w:highlight w:val="none"/>
        </w:rPr>
        <w:t>本企业对上述声明内容的真实性负责。如有虚假，将依法承担相应责任</w:t>
      </w:r>
    </w:p>
    <w:p w14:paraId="31AFBB22">
      <w:pPr>
        <w:spacing w:line="320" w:lineRule="exact"/>
        <w:ind w:right="180" w:firstLine="420"/>
        <w:jc w:val="right"/>
        <w:rPr>
          <w:rFonts w:hint="eastAsia" w:ascii="宋体" w:hAnsi="宋体" w:cs="宋体"/>
          <w:color w:val="auto"/>
          <w:sz w:val="24"/>
          <w:highlight w:val="none"/>
        </w:rPr>
      </w:pPr>
      <w:r>
        <w:rPr>
          <w:rFonts w:hint="eastAsia" w:ascii="宋体" w:hAnsi="宋体" w:cs="宋体"/>
          <w:color w:val="auto"/>
          <w:sz w:val="24"/>
          <w:highlight w:val="none"/>
        </w:rPr>
        <w:t>企业名称（加盖CA电子公章）：</w:t>
      </w:r>
    </w:p>
    <w:p w14:paraId="2F3B445E">
      <w:pPr>
        <w:spacing w:line="320" w:lineRule="exact"/>
        <w:ind w:right="480" w:firstLine="6300"/>
        <w:rPr>
          <w:rFonts w:hint="eastAsia" w:ascii="宋体" w:hAnsi="宋体" w:cs="宋体"/>
          <w:color w:val="auto"/>
          <w:sz w:val="24"/>
          <w:highlight w:val="none"/>
        </w:rPr>
      </w:pPr>
      <w:r>
        <w:rPr>
          <w:rFonts w:hint="eastAsia" w:ascii="宋体" w:hAnsi="宋体" w:cs="宋体"/>
          <w:color w:val="auto"/>
          <w:sz w:val="24"/>
          <w:highlight w:val="none"/>
        </w:rPr>
        <w:t>日  期：</w:t>
      </w:r>
    </w:p>
    <w:p w14:paraId="7F798FD6">
      <w:pPr>
        <w:spacing w:line="320" w:lineRule="exact"/>
        <w:ind w:firstLine="560"/>
        <w:rPr>
          <w:rFonts w:hint="eastAsia" w:ascii="宋体" w:hAnsi="宋体" w:cs="宋体"/>
          <w:color w:val="auto"/>
          <w:sz w:val="24"/>
          <w:highlight w:val="none"/>
        </w:rPr>
      </w:pPr>
      <w:r>
        <w:rPr>
          <w:rFonts w:hint="eastAsia" w:ascii="宋体" w:hAnsi="宋体" w:cs="宋体"/>
          <w:color w:val="auto"/>
          <w:sz w:val="24"/>
          <w:highlight w:val="none"/>
        </w:rPr>
        <w:t>备注：</w:t>
      </w:r>
    </w:p>
    <w:p w14:paraId="3EA6939D">
      <w:pPr>
        <w:spacing w:line="320" w:lineRule="exact"/>
        <w:ind w:firstLine="562"/>
        <w:rPr>
          <w:rFonts w:hint="eastAsia" w:ascii="宋体" w:hAnsi="宋体" w:cs="宋体"/>
          <w:b/>
          <w:bCs/>
          <w:color w:val="auto"/>
          <w:sz w:val="24"/>
          <w:highlight w:val="none"/>
        </w:rPr>
      </w:pPr>
      <w:r>
        <w:rPr>
          <w:rFonts w:hint="eastAsia" w:ascii="宋体" w:hAnsi="宋体" w:cs="宋体"/>
          <w:b/>
          <w:bCs/>
          <w:color w:val="auto"/>
          <w:sz w:val="24"/>
          <w:highlight w:val="none"/>
        </w:rPr>
        <w:t>1.从业人员、营业收入、资产总额填报上一年度数据，无上一年度数据的新成立企业可不填报。</w:t>
      </w:r>
    </w:p>
    <w:p w14:paraId="2334BBE8">
      <w:pPr>
        <w:spacing w:line="320" w:lineRule="exact"/>
        <w:ind w:firstLine="562"/>
        <w:rPr>
          <w:rFonts w:hint="eastAsia" w:ascii="宋体" w:hAnsi="宋体" w:cs="宋体"/>
          <w:color w:val="auto"/>
          <w:sz w:val="24"/>
          <w:highlight w:val="none"/>
        </w:rPr>
      </w:pP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rPr>
        <w:t>.专门面向中小微型企业采购的项目，投标人如不提供此声明函，则不能通过资格审查；非专门面向中小微型企业采购的项目，投标人如不提供此声明函，价格将不做相应扣除。</w:t>
      </w:r>
    </w:p>
    <w:p w14:paraId="0B2CBB60">
      <w:pPr>
        <w:spacing w:line="320" w:lineRule="exact"/>
        <w:ind w:firstLine="562"/>
        <w:rPr>
          <w:rFonts w:hint="eastAsia" w:ascii="宋体" w:hAnsi="宋体" w:cs="宋体"/>
          <w:color w:val="auto"/>
          <w:sz w:val="24"/>
          <w:highlight w:val="none"/>
        </w:rPr>
      </w:pPr>
      <w:bookmarkStart w:id="177" w:name="_Toc28642"/>
      <w:r>
        <w:rPr>
          <w:rFonts w:hint="eastAsia" w:ascii="宋体" w:hAnsi="宋体" w:cs="宋体"/>
          <w:color w:val="auto"/>
          <w:sz w:val="24"/>
          <w:highlight w:val="none"/>
          <w:lang w:val="en-US" w:eastAsia="zh-CN"/>
        </w:rPr>
        <w:t>3</w:t>
      </w:r>
      <w:r>
        <w:rPr>
          <w:rFonts w:hint="eastAsia" w:ascii="宋体" w:hAnsi="宋体" w:cs="宋体"/>
          <w:color w:val="auto"/>
          <w:sz w:val="24"/>
          <w:highlight w:val="none"/>
        </w:rPr>
        <w:t>.投标人自行勾选制造商的企业规模类型。</w:t>
      </w:r>
      <w:bookmarkEnd w:id="177"/>
    </w:p>
    <w:p w14:paraId="21D7E3CC">
      <w:pPr>
        <w:spacing w:line="480" w:lineRule="exact"/>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附件</w:t>
      </w:r>
      <w:r>
        <w:rPr>
          <w:rFonts w:hint="eastAsia" w:ascii="宋体" w:hAnsi="宋体" w:cs="宋体"/>
          <w:b/>
          <w:color w:val="auto"/>
          <w:sz w:val="28"/>
          <w:szCs w:val="28"/>
          <w:highlight w:val="none"/>
          <w:lang w:val="en-US" w:eastAsia="zh-CN"/>
        </w:rPr>
        <w:t>12</w:t>
      </w:r>
    </w:p>
    <w:p w14:paraId="709FEE1B">
      <w:pPr>
        <w:spacing w:line="480" w:lineRule="exact"/>
        <w:ind w:left="561" w:hanging="141"/>
        <w:jc w:val="center"/>
        <w:outlineLvl w:val="1"/>
        <w:rPr>
          <w:rFonts w:hint="eastAsia" w:ascii="宋体" w:hAnsi="宋体" w:cs="宋体"/>
          <w:color w:val="auto"/>
          <w:sz w:val="28"/>
          <w:szCs w:val="28"/>
          <w:highlight w:val="none"/>
        </w:rPr>
      </w:pPr>
      <w:bookmarkStart w:id="178" w:name="_Toc5882"/>
      <w:r>
        <w:rPr>
          <w:rFonts w:hint="eastAsia" w:ascii="宋体" w:hAnsi="宋体" w:cs="宋体"/>
          <w:b/>
          <w:color w:val="auto"/>
          <w:sz w:val="28"/>
          <w:szCs w:val="28"/>
          <w:highlight w:val="none"/>
        </w:rPr>
        <w:t>残疾人福利性单位声明函（货物类项目）（分包号：**）</w:t>
      </w:r>
      <w:bookmarkEnd w:id="178"/>
    </w:p>
    <w:p w14:paraId="2E485BE5">
      <w:pPr>
        <w:spacing w:line="48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中国残疾人联合会关于促进残疾人就业政府采购政策的通知》（财库〔2017〕141号）的规定，本单位为符合条件的残疾人福利性单位，且本单位参加______单位的招标文件编号为JSZC-320000-</w:t>
      </w:r>
      <w:r>
        <w:rPr>
          <w:rFonts w:hint="eastAsia" w:ascii="宋体" w:hAnsi="宋体" w:cs="宋体"/>
          <w:color w:val="auto"/>
          <w:sz w:val="28"/>
          <w:szCs w:val="28"/>
          <w:highlight w:val="none"/>
          <w:u w:val="single"/>
        </w:rPr>
        <w:t>****</w:t>
      </w:r>
      <w:r>
        <w:rPr>
          <w:rFonts w:hint="eastAsia" w:ascii="宋体" w:hAnsi="宋体" w:cs="宋体"/>
          <w:color w:val="auto"/>
          <w:sz w:val="28"/>
          <w:szCs w:val="28"/>
          <w:highlight w:val="none"/>
        </w:rPr>
        <w:t>的项目（分包号：**）采购活动提供本单位制造的货物，或者提供其他残疾人福利性单位制造的货物（不包括使用非残疾人福利性单位注册商标的货物）。</w:t>
      </w:r>
    </w:p>
    <w:p w14:paraId="31E65974">
      <w:pPr>
        <w:spacing w:line="48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本单位对上述声明的真实性负责。如有虚假，将依法承担相应责任。</w:t>
      </w:r>
    </w:p>
    <w:p w14:paraId="7491D8B2">
      <w:pPr>
        <w:spacing w:line="480" w:lineRule="exact"/>
        <w:ind w:firstLine="560"/>
        <w:rPr>
          <w:rFonts w:hint="eastAsia" w:ascii="宋体" w:hAnsi="宋体" w:cs="宋体"/>
          <w:color w:val="auto"/>
          <w:sz w:val="28"/>
          <w:szCs w:val="28"/>
          <w:highlight w:val="none"/>
        </w:rPr>
      </w:pPr>
    </w:p>
    <w:p w14:paraId="5ADF4917">
      <w:pPr>
        <w:spacing w:line="48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备注：</w:t>
      </w:r>
    </w:p>
    <w:p w14:paraId="037EFC6A">
      <w:pPr>
        <w:spacing w:line="480" w:lineRule="exact"/>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t>1.专门面向中小微型企业采购的项目，投标人为残疾人福利性单位并提供本单位制造的货物，或者提供其他残疾人福利性单位制造的货物，必须提供此声明函，否则将不能通过资格审查。</w:t>
      </w:r>
    </w:p>
    <w:p w14:paraId="751C730B">
      <w:pPr>
        <w:spacing w:line="48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 非专门面向中小微型企业采购的项目，投标人如不提供此声明函，价格将不做相应扣除。</w:t>
      </w:r>
    </w:p>
    <w:p w14:paraId="47FE3C38">
      <w:pPr>
        <w:spacing w:line="48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3.中标人为残疾人福利性单位的，此声明函将随中标/成交结果同时公告，接受社会监督。</w:t>
      </w:r>
    </w:p>
    <w:p w14:paraId="38349A07">
      <w:pPr>
        <w:spacing w:line="480" w:lineRule="exact"/>
        <w:ind w:firstLine="584"/>
        <w:rPr>
          <w:rFonts w:hint="eastAsia" w:ascii="宋体" w:hAnsi="宋体" w:cs="宋体"/>
          <w:color w:val="auto"/>
          <w:spacing w:val="6"/>
          <w:sz w:val="28"/>
          <w:szCs w:val="28"/>
          <w:highlight w:val="none"/>
        </w:rPr>
      </w:pPr>
    </w:p>
    <w:p w14:paraId="2EE59A68">
      <w:pPr>
        <w:tabs>
          <w:tab w:val="left" w:pos="4860"/>
        </w:tabs>
        <w:spacing w:line="480" w:lineRule="exact"/>
        <w:ind w:right="1559" w:firstLine="584"/>
        <w:jc w:val="right"/>
        <w:rPr>
          <w:rFonts w:hint="eastAsia" w:ascii="宋体" w:hAnsi="宋体" w:cs="宋体"/>
          <w:color w:val="auto"/>
          <w:sz w:val="28"/>
          <w:szCs w:val="28"/>
          <w:highlight w:val="none"/>
        </w:rPr>
      </w:pPr>
      <w:r>
        <w:rPr>
          <w:rFonts w:hint="eastAsia" w:ascii="宋体" w:hAnsi="宋体" w:cs="宋体"/>
          <w:color w:val="auto"/>
          <w:sz w:val="28"/>
          <w:szCs w:val="28"/>
          <w:highlight w:val="none"/>
        </w:rPr>
        <w:t>投标人全称（加盖CA电子公章）：</w:t>
      </w:r>
    </w:p>
    <w:p w14:paraId="5E50283E">
      <w:pPr>
        <w:tabs>
          <w:tab w:val="left" w:pos="4860"/>
        </w:tabs>
        <w:spacing w:line="480" w:lineRule="exact"/>
        <w:ind w:right="1559" w:firstLine="560"/>
        <w:jc w:val="right"/>
        <w:rPr>
          <w:rFonts w:hint="eastAsia" w:ascii="宋体" w:hAnsi="宋体" w:cs="宋体"/>
          <w:color w:val="auto"/>
          <w:sz w:val="28"/>
          <w:szCs w:val="28"/>
          <w:highlight w:val="none"/>
        </w:rPr>
      </w:pPr>
      <w:r>
        <w:rPr>
          <w:rFonts w:hint="eastAsia" w:ascii="宋体" w:hAnsi="宋体" w:cs="宋体"/>
          <w:color w:val="auto"/>
          <w:sz w:val="28"/>
          <w:szCs w:val="28"/>
          <w:highlight w:val="none"/>
        </w:rPr>
        <w:t>日  期：</w:t>
      </w:r>
    </w:p>
    <w:p w14:paraId="3A06B91D">
      <w:pPr>
        <w:spacing w:line="480" w:lineRule="exact"/>
        <w:jc w:val="center"/>
        <w:rPr>
          <w:rFonts w:hint="eastAsia" w:ascii="宋体" w:hAnsi="宋体" w:cs="宋体"/>
          <w:b/>
          <w:color w:val="auto"/>
          <w:sz w:val="28"/>
          <w:szCs w:val="28"/>
          <w:highlight w:val="none"/>
        </w:rPr>
      </w:pPr>
    </w:p>
    <w:p w14:paraId="1FF0AF0D">
      <w:pPr>
        <w:ind w:firstLine="420"/>
        <w:rPr>
          <w:rFonts w:hint="eastAsia" w:ascii="宋体" w:hAnsi="宋体" w:cs="宋体"/>
          <w:color w:val="auto"/>
          <w:sz w:val="28"/>
          <w:szCs w:val="28"/>
          <w:highlight w:val="none"/>
        </w:rPr>
      </w:pPr>
    </w:p>
    <w:p w14:paraId="480302C3">
      <w:pPr>
        <w:spacing w:line="300" w:lineRule="auto"/>
        <w:rPr>
          <w:rFonts w:hint="eastAsia" w:ascii="宋体" w:hAnsi="宋体" w:cs="宋体"/>
          <w:color w:val="auto"/>
          <w:sz w:val="28"/>
          <w:szCs w:val="28"/>
          <w:highlight w:val="none"/>
        </w:rPr>
      </w:pPr>
    </w:p>
    <w:p w14:paraId="2ACCD240">
      <w:pPr>
        <w:spacing w:line="300" w:lineRule="auto"/>
        <w:rPr>
          <w:rFonts w:hint="eastAsia" w:ascii="宋体" w:hAnsi="宋体" w:cs="宋体"/>
          <w:color w:val="auto"/>
          <w:sz w:val="28"/>
          <w:szCs w:val="28"/>
          <w:highlight w:val="none"/>
        </w:rPr>
      </w:pPr>
    </w:p>
    <w:p w14:paraId="332DA5F7">
      <w:pPr>
        <w:spacing w:line="300" w:lineRule="auto"/>
        <w:rPr>
          <w:rFonts w:hint="eastAsia" w:ascii="宋体" w:hAnsi="宋体" w:cs="宋体"/>
          <w:color w:val="auto"/>
          <w:sz w:val="28"/>
          <w:szCs w:val="28"/>
          <w:highlight w:val="none"/>
        </w:rPr>
      </w:pPr>
    </w:p>
    <w:p w14:paraId="665BD3BF">
      <w:pPr>
        <w:spacing w:line="300" w:lineRule="auto"/>
        <w:rPr>
          <w:rFonts w:hint="eastAsia" w:ascii="宋体" w:hAnsi="宋体" w:cs="宋体"/>
          <w:color w:val="auto"/>
          <w:sz w:val="28"/>
          <w:szCs w:val="28"/>
          <w:highlight w:val="none"/>
        </w:rPr>
      </w:pPr>
    </w:p>
    <w:p w14:paraId="6FB7BE15">
      <w:pPr>
        <w:spacing w:line="300" w:lineRule="auto"/>
        <w:rPr>
          <w:rFonts w:hint="eastAsia" w:ascii="宋体" w:hAnsi="宋体" w:cs="宋体"/>
          <w:color w:val="auto"/>
          <w:sz w:val="32"/>
          <w:szCs w:val="32"/>
          <w:highlight w:val="none"/>
        </w:rPr>
      </w:pPr>
    </w:p>
    <w:p w14:paraId="7E319D04">
      <w:pPr>
        <w:spacing w:line="30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附件</w:t>
      </w:r>
      <w:r>
        <w:rPr>
          <w:rFonts w:hint="eastAsia" w:ascii="宋体" w:hAnsi="宋体" w:cs="宋体"/>
          <w:color w:val="auto"/>
          <w:sz w:val="32"/>
          <w:szCs w:val="32"/>
          <w:highlight w:val="none"/>
          <w:lang w:val="en-US" w:eastAsia="zh-CN"/>
        </w:rPr>
        <w:t>13</w:t>
      </w:r>
    </w:p>
    <w:p w14:paraId="3DB2226C">
      <w:pPr>
        <w:spacing w:line="420" w:lineRule="exact"/>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监狱和戒毒管理部门所属企业证明材料</w:t>
      </w:r>
    </w:p>
    <w:p w14:paraId="505F0D70">
      <w:pPr>
        <w:spacing w:line="420" w:lineRule="exact"/>
        <w:ind w:firstLine="495"/>
        <w:rPr>
          <w:rFonts w:hint="eastAsia" w:ascii="宋体" w:hAnsi="宋体" w:cs="宋体"/>
          <w:color w:val="auto"/>
          <w:sz w:val="28"/>
          <w:szCs w:val="28"/>
          <w:highlight w:val="none"/>
        </w:rPr>
      </w:pPr>
    </w:p>
    <w:p w14:paraId="3CBA308B">
      <w:pPr>
        <w:spacing w:line="420" w:lineRule="exact"/>
        <w:ind w:firstLine="498"/>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（格式自拟）</w:t>
      </w:r>
    </w:p>
    <w:p w14:paraId="45978917">
      <w:pPr>
        <w:tabs>
          <w:tab w:val="left" w:pos="1260"/>
        </w:tabs>
        <w:spacing w:line="300" w:lineRule="auto"/>
        <w:contextualSpacing/>
        <w:rPr>
          <w:rFonts w:hint="eastAsia" w:ascii="宋体" w:hAnsi="宋体" w:cs="宋体"/>
          <w:color w:val="auto"/>
          <w:sz w:val="28"/>
          <w:szCs w:val="28"/>
          <w:highlight w:val="none"/>
        </w:rPr>
      </w:pPr>
    </w:p>
    <w:p w14:paraId="21890D36">
      <w:pPr>
        <w:tabs>
          <w:tab w:val="left" w:pos="1260"/>
        </w:tabs>
        <w:spacing w:line="300" w:lineRule="auto"/>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p>
    <w:p w14:paraId="6D8C2780">
      <w:pPr>
        <w:spacing w:line="300" w:lineRule="auto"/>
        <w:rPr>
          <w:rFonts w:hint="eastAsia" w:ascii="宋体" w:hAnsi="宋体" w:cs="宋体"/>
          <w:color w:val="auto"/>
          <w:sz w:val="32"/>
          <w:szCs w:val="32"/>
          <w:highlight w:val="none"/>
        </w:rPr>
      </w:pPr>
    </w:p>
    <w:p w14:paraId="2CE5B9D7">
      <w:pPr>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br w:type="page" w:clear="all"/>
      </w:r>
    </w:p>
    <w:p w14:paraId="4FA8BD6A">
      <w:pPr>
        <w:spacing w:line="300" w:lineRule="auto"/>
        <w:rPr>
          <w:rFonts w:hint="eastAsia" w:ascii="宋体" w:hAnsi="宋体" w:cs="宋体"/>
          <w:color w:val="auto"/>
          <w:sz w:val="28"/>
          <w:szCs w:val="28"/>
          <w:highlight w:val="none"/>
        </w:rPr>
      </w:pPr>
      <w:r>
        <w:rPr>
          <w:rFonts w:hint="eastAsia" w:ascii="宋体" w:hAnsi="宋体" w:cs="宋体"/>
          <w:color w:val="auto"/>
          <w:sz w:val="32"/>
          <w:szCs w:val="32"/>
          <w:highlight w:val="none"/>
          <w:lang w:val="en-US" w:eastAsia="zh-CN"/>
        </w:rPr>
        <w:t>附件14</w:t>
      </w:r>
    </w:p>
    <w:p w14:paraId="666D5033">
      <w:pPr>
        <w:tabs>
          <w:tab w:val="left" w:pos="1260"/>
        </w:tabs>
        <w:spacing w:line="300" w:lineRule="auto"/>
        <w:contextualSpacing/>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t>AI 算力及数据合规承诺函</w:t>
      </w:r>
    </w:p>
    <w:p w14:paraId="6C982253">
      <w:pPr>
        <w:tabs>
          <w:tab w:val="left" w:pos="1260"/>
        </w:tabs>
        <w:spacing w:line="300" w:lineRule="auto"/>
        <w:contextualSpacing/>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致：南通职业大学 </w:t>
      </w:r>
    </w:p>
    <w:p w14:paraId="07E00952">
      <w:pPr>
        <w:tabs>
          <w:tab w:val="left" w:pos="1260"/>
        </w:tabs>
        <w:spacing w:line="300" w:lineRule="auto"/>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我方参与</w:t>
      </w:r>
      <w:r>
        <w:rPr>
          <w:rFonts w:hint="eastAsia" w:ascii="宋体" w:hAnsi="宋体" w:cs="宋体"/>
          <w:b/>
          <w:bCs/>
          <w:color w:val="auto"/>
          <w:sz w:val="28"/>
          <w:szCs w:val="28"/>
          <w:highlight w:val="none"/>
          <w:u w:val="single"/>
          <w:lang w:val="en-US" w:eastAsia="zh-CN"/>
        </w:rPr>
        <w:t>南通职业大学 2026 钟秀校区常规智慧教室项目</w:t>
      </w:r>
      <w:r>
        <w:rPr>
          <w:rFonts w:hint="eastAsia" w:ascii="宋体" w:hAnsi="宋体" w:cs="宋体"/>
          <w:color w:val="auto"/>
          <w:sz w:val="28"/>
          <w:szCs w:val="28"/>
          <w:highlight w:val="none"/>
          <w:lang w:val="en-US" w:eastAsia="zh-CN"/>
        </w:rPr>
        <w:t>投标，针对招标文件相关要求，郑重承诺如下：</w:t>
      </w:r>
    </w:p>
    <w:p w14:paraId="5FAABCB6">
      <w:pPr>
        <w:tabs>
          <w:tab w:val="left" w:pos="1260"/>
        </w:tabs>
        <w:spacing w:line="300" w:lineRule="auto"/>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1.免费</w:t>
      </w:r>
      <w:r>
        <w:rPr>
          <w:rFonts w:hint="eastAsia" w:ascii="宋体" w:hAnsi="宋体" w:cs="宋体"/>
          <w:color w:val="auto"/>
          <w:sz w:val="28"/>
          <w:szCs w:val="28"/>
          <w:highlight w:val="none"/>
        </w:rPr>
        <w:t>质保期内，免费提供≥45 路并发 AI 算力（本地/云端可选），稳定支撑课堂行为分析、语音转写、AI 教学评价、学生伴学、数据管理，课后自动生成完整课堂、课程分析报告，无额外收费。</w:t>
      </w:r>
    </w:p>
    <w:p w14:paraId="1A1AF4C7">
      <w:pPr>
        <w:tabs>
          <w:tab w:val="left" w:pos="1260"/>
        </w:tabs>
        <w:spacing w:line="300" w:lineRule="auto"/>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无偿交付本项目全部师生课堂生成的各类分析报告，不设权限、下载限制。</w:t>
      </w:r>
    </w:p>
    <w:p w14:paraId="6AB7988C">
      <w:pPr>
        <w:tabs>
          <w:tab w:val="left" w:pos="1260"/>
        </w:tabs>
        <w:spacing w:line="300" w:lineRule="auto"/>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课堂数据全程脱敏处理，严格遵守《个人信息保护法》；敏感词库由校方审核后方启用，敏感词检测仅作校内教学参考，不作为师生考评依据。</w:t>
      </w:r>
    </w:p>
    <w:p w14:paraId="105FC3D4">
      <w:pPr>
        <w:tabs>
          <w:tab w:val="left" w:pos="1260"/>
        </w:tabs>
        <w:spacing w:line="300" w:lineRule="auto"/>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4.</w:t>
      </w:r>
      <w:r>
        <w:rPr>
          <w:rFonts w:hint="eastAsia" w:ascii="宋体" w:hAnsi="宋体" w:cs="宋体"/>
          <w:color w:val="auto"/>
          <w:sz w:val="28"/>
          <w:szCs w:val="28"/>
          <w:highlight w:val="none"/>
        </w:rPr>
        <w:t>校方自有算力充足时，免费完成整套平台迁移、本地化部署调试，不收取任何技术服务费。</w:t>
      </w:r>
    </w:p>
    <w:p w14:paraId="4F083FE8">
      <w:pPr>
        <w:tabs>
          <w:tab w:val="left" w:pos="1260"/>
        </w:tabs>
        <w:spacing w:line="300" w:lineRule="auto"/>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若未履行以上任一承诺，采购人有权扣除全额履约保证金、解除合同，我方承担全部损失；投标未提供本函或承诺不达标，自愿按无效投标处理。</w:t>
      </w:r>
    </w:p>
    <w:p w14:paraId="1A80D75E">
      <w:pPr>
        <w:tabs>
          <w:tab w:val="left" w:pos="1260"/>
        </w:tabs>
        <w:spacing w:line="300" w:lineRule="auto"/>
        <w:contextualSpacing/>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投标人（CA 电子公章/公章）： </w:t>
      </w:r>
    </w:p>
    <w:p w14:paraId="04E5BDE8">
      <w:pPr>
        <w:tabs>
          <w:tab w:val="left" w:pos="1260"/>
        </w:tabs>
        <w:spacing w:line="300" w:lineRule="auto"/>
        <w:contextualSpacing/>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统一社会信用代码： </w:t>
      </w:r>
    </w:p>
    <w:p w14:paraId="2F438598">
      <w:pPr>
        <w:tabs>
          <w:tab w:val="left" w:pos="1260"/>
        </w:tabs>
        <w:spacing w:line="300" w:lineRule="auto"/>
        <w:contextualSpacing/>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法定代表人（签字/签章）： </w:t>
      </w:r>
    </w:p>
    <w:p w14:paraId="147C6827">
      <w:pPr>
        <w:tabs>
          <w:tab w:val="left" w:pos="1260"/>
        </w:tabs>
        <w:spacing w:line="300" w:lineRule="auto"/>
        <w:contextualSpacing/>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联系电话： </w:t>
      </w:r>
    </w:p>
    <w:p w14:paraId="33A0197D">
      <w:pPr>
        <w:tabs>
          <w:tab w:val="left" w:pos="1260"/>
        </w:tabs>
        <w:spacing w:line="300" w:lineRule="auto"/>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日期：____年__月</w:t>
      </w:r>
      <w:r>
        <w:rPr>
          <w:rFonts w:hint="eastAsia" w:ascii="宋体" w:hAnsi="宋体" w:cs="宋体"/>
          <w:color w:val="auto"/>
          <w:sz w:val="28"/>
          <w:szCs w:val="28"/>
          <w:highlight w:val="none"/>
          <w:u w:val="single"/>
          <w:lang w:val="en-US" w:eastAsia="zh-CN"/>
        </w:rPr>
        <w:t>_  _</w:t>
      </w:r>
      <w:r>
        <w:rPr>
          <w:rFonts w:hint="eastAsia" w:ascii="宋体" w:hAnsi="宋体" w:cs="宋体"/>
          <w:color w:val="auto"/>
          <w:sz w:val="28"/>
          <w:szCs w:val="28"/>
          <w:highlight w:val="none"/>
          <w:lang w:val="en-US" w:eastAsia="zh-CN"/>
        </w:rPr>
        <w:t>日</w:t>
      </w:r>
    </w:p>
    <w:p w14:paraId="42F36808">
      <w:pPr>
        <w:spacing w:line="300" w:lineRule="auto"/>
        <w:rPr>
          <w:rFonts w:hint="eastAsia" w:ascii="宋体" w:hAnsi="宋体" w:cs="宋体"/>
          <w:color w:val="auto"/>
          <w:sz w:val="32"/>
          <w:szCs w:val="32"/>
          <w:highlight w:val="none"/>
        </w:rPr>
        <w:sectPr>
          <w:pgSz w:w="11906" w:h="16838"/>
          <w:pgMar w:top="1440" w:right="1797" w:bottom="1440" w:left="1797" w:header="851" w:footer="992" w:gutter="0"/>
          <w:cols w:space="720" w:num="1"/>
          <w:docGrid w:linePitch="360" w:charSpace="0"/>
        </w:sectPr>
      </w:pPr>
    </w:p>
    <w:p w14:paraId="27840451">
      <w:pPr>
        <w:spacing w:line="30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附件1</w:t>
      </w:r>
      <w:r>
        <w:rPr>
          <w:rFonts w:hint="eastAsia" w:ascii="宋体" w:hAnsi="宋体" w:cs="宋体"/>
          <w:color w:val="auto"/>
          <w:sz w:val="32"/>
          <w:szCs w:val="32"/>
          <w:highlight w:val="none"/>
          <w:lang w:val="en-US" w:eastAsia="zh-CN"/>
        </w:rPr>
        <w:t>5</w:t>
      </w:r>
    </w:p>
    <w:p w14:paraId="27FBCE9A">
      <w:pPr>
        <w:spacing w:line="460" w:lineRule="exact"/>
        <w:jc w:val="center"/>
        <w:rPr>
          <w:rFonts w:hint="eastAsia" w:ascii="宋体" w:hAnsi="宋体" w:cs="宋体"/>
          <w:bCs/>
          <w:color w:val="auto"/>
          <w:sz w:val="40"/>
          <w:szCs w:val="40"/>
          <w:highlight w:val="none"/>
        </w:rPr>
      </w:pPr>
      <w:r>
        <w:rPr>
          <w:rFonts w:hint="eastAsia" w:ascii="宋体" w:hAnsi="宋体" w:cs="宋体"/>
          <w:bCs/>
          <w:color w:val="auto"/>
          <w:sz w:val="40"/>
          <w:szCs w:val="40"/>
          <w:highlight w:val="none"/>
        </w:rPr>
        <w:t>质疑函范本</w:t>
      </w:r>
    </w:p>
    <w:p w14:paraId="45ABDBE8">
      <w:pPr>
        <w:spacing w:before="312" w:line="460" w:lineRule="exact"/>
        <w:outlineLvl w:val="1"/>
        <w:rPr>
          <w:rFonts w:hint="eastAsia" w:ascii="宋体" w:hAnsi="宋体" w:cs="宋体"/>
          <w:bCs/>
          <w:color w:val="auto"/>
          <w:sz w:val="28"/>
          <w:szCs w:val="28"/>
          <w:highlight w:val="none"/>
        </w:rPr>
      </w:pPr>
      <w:bookmarkStart w:id="179" w:name="_Toc31083"/>
      <w:r>
        <w:rPr>
          <w:rFonts w:hint="eastAsia" w:ascii="宋体" w:hAnsi="宋体" w:cs="宋体"/>
          <w:bCs/>
          <w:color w:val="auto"/>
          <w:sz w:val="28"/>
          <w:szCs w:val="28"/>
          <w:highlight w:val="none"/>
        </w:rPr>
        <w:t>一、质疑投标人基本信息</w:t>
      </w:r>
      <w:bookmarkEnd w:id="179"/>
    </w:p>
    <w:p w14:paraId="7BA0DD6F">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质疑投标人：</w:t>
      </w:r>
    </w:p>
    <w:p w14:paraId="3F786E10">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地址：邮编：</w:t>
      </w:r>
    </w:p>
    <w:p w14:paraId="4F7648CD">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联系人：联系电话：</w:t>
      </w:r>
    </w:p>
    <w:p w14:paraId="33BFAC43">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授权代表：</w:t>
      </w:r>
    </w:p>
    <w:p w14:paraId="543141B9">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联系电话：</w:t>
      </w:r>
    </w:p>
    <w:p w14:paraId="69BC9CE7">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地址：邮编：</w:t>
      </w:r>
    </w:p>
    <w:p w14:paraId="5B0F5D99">
      <w:pPr>
        <w:spacing w:line="460" w:lineRule="exact"/>
        <w:outlineLvl w:val="1"/>
        <w:rPr>
          <w:rFonts w:hint="eastAsia" w:ascii="宋体" w:hAnsi="宋体" w:cs="宋体"/>
          <w:bCs/>
          <w:color w:val="auto"/>
          <w:sz w:val="28"/>
          <w:szCs w:val="28"/>
          <w:highlight w:val="none"/>
        </w:rPr>
      </w:pPr>
      <w:bookmarkStart w:id="180" w:name="_Toc10335"/>
      <w:r>
        <w:rPr>
          <w:rFonts w:hint="eastAsia" w:ascii="宋体" w:hAnsi="宋体" w:cs="宋体"/>
          <w:bCs/>
          <w:color w:val="auto"/>
          <w:sz w:val="28"/>
          <w:szCs w:val="28"/>
          <w:highlight w:val="none"/>
        </w:rPr>
        <w:t>二、质疑项目基本情况</w:t>
      </w:r>
      <w:bookmarkEnd w:id="180"/>
    </w:p>
    <w:p w14:paraId="5B3B31D3">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质疑项目的名称：</w:t>
      </w:r>
    </w:p>
    <w:p w14:paraId="06503AF9">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质疑项目的编号：包号：</w:t>
      </w:r>
    </w:p>
    <w:p w14:paraId="54822CE5">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名称：</w:t>
      </w:r>
    </w:p>
    <w:p w14:paraId="7116E8C2">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招标文件获取日期：</w:t>
      </w:r>
    </w:p>
    <w:p w14:paraId="6A7223CF">
      <w:pPr>
        <w:spacing w:line="460" w:lineRule="exact"/>
        <w:outlineLvl w:val="1"/>
        <w:rPr>
          <w:rFonts w:hint="eastAsia" w:ascii="宋体" w:hAnsi="宋体" w:cs="宋体"/>
          <w:bCs/>
          <w:color w:val="auto"/>
          <w:sz w:val="28"/>
          <w:szCs w:val="28"/>
          <w:highlight w:val="none"/>
        </w:rPr>
      </w:pPr>
      <w:bookmarkStart w:id="181" w:name="_Toc16480"/>
      <w:r>
        <w:rPr>
          <w:rFonts w:hint="eastAsia" w:ascii="宋体" w:hAnsi="宋体" w:cs="宋体"/>
          <w:bCs/>
          <w:color w:val="auto"/>
          <w:sz w:val="28"/>
          <w:szCs w:val="28"/>
          <w:highlight w:val="none"/>
        </w:rPr>
        <w:t>三、质疑事项具体内容</w:t>
      </w:r>
      <w:bookmarkEnd w:id="181"/>
    </w:p>
    <w:p w14:paraId="727F3618">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质疑事项1：</w:t>
      </w:r>
    </w:p>
    <w:p w14:paraId="1AC8EA80">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事实依据：</w:t>
      </w:r>
    </w:p>
    <w:p w14:paraId="7CD7FA71">
      <w:pPr>
        <w:spacing w:line="460" w:lineRule="exact"/>
        <w:rPr>
          <w:rFonts w:hint="eastAsia" w:ascii="宋体" w:hAnsi="宋体" w:cs="宋体"/>
          <w:color w:val="auto"/>
          <w:sz w:val="28"/>
          <w:szCs w:val="28"/>
          <w:highlight w:val="none"/>
        </w:rPr>
      </w:pPr>
    </w:p>
    <w:p w14:paraId="25F047E1">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法律依据：</w:t>
      </w:r>
    </w:p>
    <w:p w14:paraId="6C632AC3">
      <w:pPr>
        <w:spacing w:line="460" w:lineRule="exact"/>
        <w:rPr>
          <w:rFonts w:hint="eastAsia" w:ascii="宋体" w:hAnsi="宋体" w:cs="宋体"/>
          <w:color w:val="auto"/>
          <w:sz w:val="28"/>
          <w:szCs w:val="28"/>
          <w:highlight w:val="none"/>
          <w:u w:val="single"/>
        </w:rPr>
      </w:pPr>
    </w:p>
    <w:p w14:paraId="1CDC6036">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质疑事项2</w:t>
      </w:r>
    </w:p>
    <w:p w14:paraId="73896D0F">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w:t>
      </w:r>
    </w:p>
    <w:p w14:paraId="714F1621">
      <w:pPr>
        <w:spacing w:line="460" w:lineRule="exact"/>
        <w:outlineLvl w:val="1"/>
        <w:rPr>
          <w:rFonts w:hint="eastAsia" w:ascii="宋体" w:hAnsi="宋体" w:cs="宋体"/>
          <w:bCs/>
          <w:color w:val="auto"/>
          <w:sz w:val="28"/>
          <w:szCs w:val="28"/>
          <w:highlight w:val="none"/>
        </w:rPr>
      </w:pPr>
      <w:bookmarkStart w:id="182" w:name="_Toc21173"/>
      <w:r>
        <w:rPr>
          <w:rFonts w:hint="eastAsia" w:ascii="宋体" w:hAnsi="宋体" w:cs="宋体"/>
          <w:bCs/>
          <w:color w:val="auto"/>
          <w:sz w:val="28"/>
          <w:szCs w:val="28"/>
          <w:highlight w:val="none"/>
        </w:rPr>
        <w:t>四、与质疑事项相关的质疑请求</w:t>
      </w:r>
      <w:bookmarkEnd w:id="182"/>
    </w:p>
    <w:p w14:paraId="62005FEF">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请求：</w:t>
      </w:r>
    </w:p>
    <w:p w14:paraId="44A6E3C4">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签字(签章)：                   公章：                      </w:t>
      </w:r>
    </w:p>
    <w:p w14:paraId="40C5CE18">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w:t>
      </w:r>
    </w:p>
    <w:p w14:paraId="6438CACF">
      <w:pPr>
        <w:spacing w:line="460" w:lineRule="exact"/>
        <w:rPr>
          <w:rFonts w:hint="eastAsia" w:ascii="宋体" w:hAnsi="宋体" w:cs="宋体"/>
          <w:color w:val="auto"/>
          <w:sz w:val="28"/>
          <w:szCs w:val="28"/>
          <w:highlight w:val="none"/>
        </w:rPr>
      </w:pPr>
    </w:p>
    <w:p w14:paraId="7F2A3822">
      <w:pPr>
        <w:spacing w:line="460" w:lineRule="exact"/>
        <w:rPr>
          <w:rFonts w:hint="eastAsia" w:ascii="宋体" w:hAnsi="宋体" w:cs="宋体"/>
          <w:b/>
          <w:color w:val="auto"/>
          <w:sz w:val="28"/>
          <w:szCs w:val="28"/>
          <w:highlight w:val="none"/>
        </w:rPr>
      </w:pPr>
    </w:p>
    <w:p w14:paraId="1707E93A">
      <w:pPr>
        <w:spacing w:line="460" w:lineRule="exact"/>
        <w:rPr>
          <w:rFonts w:hint="eastAsia" w:ascii="宋体" w:hAnsi="宋体" w:cs="宋体"/>
          <w:b/>
          <w:color w:val="auto"/>
          <w:sz w:val="28"/>
          <w:szCs w:val="28"/>
          <w:highlight w:val="none"/>
        </w:rPr>
      </w:pPr>
    </w:p>
    <w:p w14:paraId="681640AA">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质疑函制作说明：</w:t>
      </w:r>
    </w:p>
    <w:p w14:paraId="1043E50F">
      <w:pPr>
        <w:widowControl/>
        <w:spacing w:line="460" w:lineRule="exact"/>
        <w:ind w:firstLine="560"/>
        <w:jc w:val="left"/>
        <w:outlineLvl w:val="2"/>
        <w:rPr>
          <w:rFonts w:hint="eastAsia" w:ascii="宋体" w:hAnsi="宋体" w:cs="宋体"/>
          <w:color w:val="auto"/>
          <w:sz w:val="28"/>
          <w:szCs w:val="28"/>
          <w:highlight w:val="none"/>
        </w:rPr>
      </w:pPr>
      <w:bookmarkStart w:id="183" w:name="_Toc29150"/>
      <w:r>
        <w:rPr>
          <w:rFonts w:hint="eastAsia" w:ascii="宋体" w:hAnsi="宋体" w:cs="宋体"/>
          <w:color w:val="auto"/>
          <w:sz w:val="28"/>
          <w:szCs w:val="28"/>
          <w:highlight w:val="none"/>
        </w:rPr>
        <w:t>1.投标人提出质疑时，应提交质疑函和必要的证明材料。</w:t>
      </w:r>
      <w:bookmarkEnd w:id="183"/>
    </w:p>
    <w:p w14:paraId="0324C8EA">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14:paraId="48354D93">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3.质疑投标人若对项目的某一分包进行质疑，质疑函中应列明具体分包号。</w:t>
      </w:r>
    </w:p>
    <w:p w14:paraId="1D239DED">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4.质疑函的质疑事项应具体、明确，并有必要的事实依据和法律依据。</w:t>
      </w:r>
    </w:p>
    <w:p w14:paraId="472614DC">
      <w:pPr>
        <w:widowControl/>
        <w:spacing w:line="460" w:lineRule="exact"/>
        <w:ind w:firstLine="560"/>
        <w:jc w:val="left"/>
        <w:outlineLvl w:val="2"/>
        <w:rPr>
          <w:rFonts w:hint="eastAsia" w:ascii="宋体" w:hAnsi="宋体" w:cs="宋体"/>
          <w:color w:val="auto"/>
          <w:sz w:val="28"/>
          <w:szCs w:val="28"/>
          <w:highlight w:val="none"/>
        </w:rPr>
      </w:pPr>
      <w:bookmarkStart w:id="184" w:name="_Toc8790"/>
      <w:r>
        <w:rPr>
          <w:rFonts w:hint="eastAsia" w:ascii="宋体" w:hAnsi="宋体" w:cs="宋体"/>
          <w:color w:val="auto"/>
          <w:sz w:val="28"/>
          <w:szCs w:val="28"/>
          <w:highlight w:val="none"/>
        </w:rPr>
        <w:t>5.质疑函的质疑请求应与质疑事项相关。</w:t>
      </w:r>
      <w:bookmarkEnd w:id="184"/>
    </w:p>
    <w:p w14:paraId="5A4DDBE7">
      <w:pPr>
        <w:widowControl/>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6.质疑投标人为自然人的，质疑函应由本人签字；质疑投标人为法人或者其他组织的，质疑函应由法定代表人、主要负责人，或者其授权代表签字或者盖章，并加盖公章。</w:t>
      </w:r>
    </w:p>
    <w:p w14:paraId="20B9B0EF">
      <w:pPr>
        <w:spacing w:line="300" w:lineRule="auto"/>
        <w:rPr>
          <w:rFonts w:hint="eastAsia" w:ascii="宋体" w:hAnsi="宋体" w:cs="宋体"/>
          <w:color w:val="auto"/>
          <w:sz w:val="28"/>
          <w:szCs w:val="28"/>
          <w:highlight w:val="none"/>
        </w:rPr>
      </w:pPr>
    </w:p>
    <w:p w14:paraId="3F9EF092">
      <w:pPr>
        <w:widowControl/>
        <w:ind w:firstLine="560"/>
        <w:jc w:val="left"/>
        <w:rPr>
          <w:rFonts w:hint="eastAsia" w:ascii="宋体" w:hAnsi="宋体" w:cs="宋体"/>
          <w:color w:val="auto"/>
          <w:sz w:val="28"/>
          <w:szCs w:val="28"/>
          <w:highlight w:val="none"/>
        </w:rPr>
      </w:pPr>
    </w:p>
    <w:p w14:paraId="368ED973">
      <w:pPr>
        <w:widowControl/>
        <w:ind w:firstLine="560"/>
        <w:jc w:val="left"/>
        <w:rPr>
          <w:rFonts w:hint="eastAsia" w:ascii="宋体" w:hAnsi="宋体" w:cs="宋体"/>
          <w:color w:val="auto"/>
          <w:sz w:val="28"/>
          <w:szCs w:val="28"/>
          <w:highlight w:val="none"/>
        </w:rPr>
      </w:pPr>
    </w:p>
    <w:p w14:paraId="706E0AEA">
      <w:pPr>
        <w:widowControl/>
        <w:ind w:firstLine="560"/>
        <w:jc w:val="left"/>
        <w:rPr>
          <w:rFonts w:hint="eastAsia" w:ascii="宋体" w:hAnsi="宋体" w:cs="宋体"/>
          <w:color w:val="auto"/>
          <w:sz w:val="28"/>
          <w:szCs w:val="28"/>
          <w:highlight w:val="none"/>
        </w:rPr>
      </w:pPr>
    </w:p>
    <w:p w14:paraId="0E0DB1BF">
      <w:pPr>
        <w:widowControl/>
        <w:ind w:firstLine="560"/>
        <w:jc w:val="left"/>
        <w:rPr>
          <w:rFonts w:hint="eastAsia" w:ascii="宋体" w:hAnsi="宋体" w:cs="宋体"/>
          <w:color w:val="auto"/>
          <w:sz w:val="28"/>
          <w:szCs w:val="28"/>
          <w:highlight w:val="none"/>
        </w:rPr>
      </w:pPr>
    </w:p>
    <w:p w14:paraId="4BC0C779">
      <w:pPr>
        <w:widowControl/>
        <w:ind w:firstLine="560"/>
        <w:jc w:val="left"/>
        <w:rPr>
          <w:rFonts w:hint="eastAsia" w:ascii="宋体" w:hAnsi="宋体" w:cs="宋体"/>
          <w:color w:val="auto"/>
          <w:sz w:val="28"/>
          <w:szCs w:val="28"/>
          <w:highlight w:val="none"/>
        </w:rPr>
      </w:pPr>
    </w:p>
    <w:p w14:paraId="65B906EC">
      <w:pPr>
        <w:widowControl/>
        <w:ind w:firstLine="560"/>
        <w:jc w:val="left"/>
        <w:rPr>
          <w:rFonts w:hint="eastAsia" w:ascii="宋体" w:hAnsi="宋体" w:cs="宋体"/>
          <w:color w:val="auto"/>
          <w:sz w:val="28"/>
          <w:szCs w:val="28"/>
          <w:highlight w:val="none"/>
        </w:rPr>
      </w:pPr>
    </w:p>
    <w:p w14:paraId="791FB51E">
      <w:pPr>
        <w:widowControl/>
        <w:ind w:firstLine="560"/>
        <w:jc w:val="left"/>
        <w:rPr>
          <w:rFonts w:hint="eastAsia" w:ascii="宋体" w:hAnsi="宋体" w:cs="宋体"/>
          <w:color w:val="auto"/>
          <w:sz w:val="28"/>
          <w:szCs w:val="28"/>
          <w:highlight w:val="none"/>
        </w:rPr>
      </w:pPr>
    </w:p>
    <w:p w14:paraId="6789B22A">
      <w:pPr>
        <w:widowControl/>
        <w:ind w:firstLine="560"/>
        <w:jc w:val="left"/>
        <w:rPr>
          <w:rFonts w:hint="eastAsia" w:ascii="宋体" w:hAnsi="宋体" w:cs="宋体"/>
          <w:color w:val="auto"/>
          <w:sz w:val="28"/>
          <w:szCs w:val="28"/>
          <w:highlight w:val="none"/>
        </w:rPr>
      </w:pPr>
    </w:p>
    <w:p w14:paraId="26C4510B">
      <w:pPr>
        <w:widowControl/>
        <w:ind w:firstLine="560"/>
        <w:jc w:val="left"/>
        <w:rPr>
          <w:rFonts w:hint="eastAsia" w:ascii="宋体" w:hAnsi="宋体" w:cs="宋体"/>
          <w:color w:val="auto"/>
          <w:sz w:val="28"/>
          <w:szCs w:val="28"/>
          <w:highlight w:val="none"/>
        </w:rPr>
      </w:pPr>
    </w:p>
    <w:p w14:paraId="254BC9AD">
      <w:pPr>
        <w:widowControl/>
        <w:ind w:firstLine="560"/>
        <w:jc w:val="left"/>
        <w:rPr>
          <w:rFonts w:hint="eastAsia" w:ascii="宋体" w:hAnsi="宋体" w:cs="宋体"/>
          <w:color w:val="auto"/>
          <w:sz w:val="28"/>
          <w:szCs w:val="28"/>
          <w:highlight w:val="none"/>
        </w:rPr>
      </w:pPr>
    </w:p>
    <w:p w14:paraId="062E764E">
      <w:pPr>
        <w:widowControl/>
        <w:ind w:firstLine="560"/>
        <w:jc w:val="left"/>
        <w:rPr>
          <w:rFonts w:hint="eastAsia" w:ascii="宋体" w:hAnsi="宋体" w:cs="宋体"/>
          <w:color w:val="auto"/>
          <w:sz w:val="28"/>
          <w:szCs w:val="28"/>
          <w:highlight w:val="none"/>
        </w:rPr>
      </w:pPr>
    </w:p>
    <w:p w14:paraId="60022612">
      <w:pPr>
        <w:spacing w:line="120" w:lineRule="auto"/>
        <w:jc w:val="center"/>
        <w:rPr>
          <w:rFonts w:eastAsia="方正小标宋_GBK"/>
          <w:color w:val="auto"/>
          <w:sz w:val="44"/>
          <w:szCs w:val="44"/>
          <w:highlight w:val="none"/>
        </w:rPr>
      </w:pPr>
      <w:r>
        <w:rPr>
          <w:rFonts w:hint="eastAsia" w:eastAsia="方正小标宋_GBK"/>
          <w:color w:val="auto"/>
          <w:sz w:val="44"/>
          <w:szCs w:val="44"/>
          <w:highlight w:val="none"/>
        </w:rPr>
        <w:t>江苏中润工程建设咨询有限公司</w:t>
      </w:r>
    </w:p>
    <w:p w14:paraId="6BC75DF3">
      <w:pPr>
        <w:spacing w:line="120" w:lineRule="auto"/>
        <w:jc w:val="center"/>
        <w:rPr>
          <w:rFonts w:eastAsia="方正仿宋_GBK"/>
          <w:color w:val="auto"/>
          <w:sz w:val="30"/>
          <w:szCs w:val="30"/>
          <w:highlight w:val="none"/>
        </w:rPr>
      </w:pPr>
      <w:r>
        <w:rPr>
          <w:rFonts w:eastAsia="方正小标宋_GBK"/>
          <w:color w:val="auto"/>
          <w:sz w:val="44"/>
          <w:szCs w:val="44"/>
          <w:highlight w:val="none"/>
        </w:rPr>
        <w:t>政府采购供应商友情提醒</w:t>
      </w:r>
    </w:p>
    <w:p w14:paraId="199319C2">
      <w:pPr>
        <w:spacing w:line="500" w:lineRule="exact"/>
        <w:ind w:firstLine="600"/>
        <w:rPr>
          <w:rFonts w:eastAsia="方正仿宋_GBK"/>
          <w:color w:val="auto"/>
          <w:sz w:val="30"/>
          <w:szCs w:val="30"/>
          <w:highlight w:val="none"/>
        </w:rPr>
      </w:pPr>
      <w:r>
        <w:rPr>
          <w:rFonts w:eastAsia="方正仿宋_GBK"/>
          <w:color w:val="auto"/>
          <w:sz w:val="30"/>
          <w:szCs w:val="30"/>
          <w:highlight w:val="none"/>
        </w:rPr>
        <w:t>供应商在参与政府采购项目中的常见问题，现将有关常见问题提醒如下：</w:t>
      </w:r>
    </w:p>
    <w:p w14:paraId="5E128A8E">
      <w:pPr>
        <w:spacing w:line="500" w:lineRule="exact"/>
        <w:ind w:firstLine="602"/>
        <w:rPr>
          <w:rFonts w:eastAsia="方正仿宋_GBK"/>
          <w:b/>
          <w:bCs/>
          <w:color w:val="auto"/>
          <w:sz w:val="30"/>
          <w:szCs w:val="30"/>
          <w:highlight w:val="none"/>
        </w:rPr>
      </w:pPr>
      <w:r>
        <w:rPr>
          <w:rFonts w:eastAsia="方正仿宋_GBK"/>
          <w:b/>
          <w:bCs/>
          <w:color w:val="auto"/>
          <w:sz w:val="30"/>
          <w:szCs w:val="30"/>
          <w:highlight w:val="none"/>
        </w:rPr>
        <w:t>一、如何参与政府采购项目？</w:t>
      </w:r>
    </w:p>
    <w:p w14:paraId="3FD192F6">
      <w:pPr>
        <w:spacing w:line="500" w:lineRule="exact"/>
        <w:ind w:firstLine="600"/>
        <w:rPr>
          <w:rFonts w:eastAsia="方正仿宋_GBK"/>
          <w:color w:val="auto"/>
          <w:sz w:val="30"/>
          <w:szCs w:val="30"/>
          <w:highlight w:val="none"/>
        </w:rPr>
      </w:pPr>
      <w:r>
        <w:rPr>
          <w:rFonts w:eastAsia="方正仿宋_GBK"/>
          <w:color w:val="auto"/>
          <w:sz w:val="30"/>
          <w:szCs w:val="30"/>
          <w:highlight w:val="none"/>
        </w:rPr>
        <w:t>答：（1）潜在供应商如有意向参与</w:t>
      </w:r>
      <w:r>
        <w:rPr>
          <w:rFonts w:hint="eastAsia" w:eastAsia="方正仿宋_GBK"/>
          <w:color w:val="auto"/>
          <w:sz w:val="30"/>
          <w:szCs w:val="30"/>
          <w:highlight w:val="none"/>
        </w:rPr>
        <w:t>本公司</w:t>
      </w:r>
      <w:r>
        <w:rPr>
          <w:rFonts w:eastAsia="方正仿宋_GBK"/>
          <w:color w:val="auto"/>
          <w:sz w:val="30"/>
          <w:szCs w:val="30"/>
          <w:highlight w:val="none"/>
        </w:rPr>
        <w:t>政府采购项目，必须按照以下方法进行操作，方可视为参与成功。</w:t>
      </w:r>
    </w:p>
    <w:p w14:paraId="0497BCEC">
      <w:pPr>
        <w:spacing w:line="500" w:lineRule="exact"/>
        <w:ind w:firstLine="600"/>
        <w:rPr>
          <w:rFonts w:eastAsia="方正仿宋_GBK"/>
          <w:color w:val="auto"/>
          <w:sz w:val="30"/>
          <w:szCs w:val="30"/>
          <w:highlight w:val="none"/>
        </w:rPr>
      </w:pPr>
      <w:r>
        <w:rPr>
          <w:rFonts w:eastAsia="方正仿宋_GBK"/>
          <w:color w:val="auto"/>
          <w:sz w:val="30"/>
          <w:szCs w:val="30"/>
          <w:highlight w:val="none"/>
        </w:rPr>
        <w:t>方法为：“苏采云”系统用户注册--获取“CA数字证书”--CA绑定与登录--网上报名--下载</w:t>
      </w:r>
      <w:r>
        <w:rPr>
          <w:rFonts w:hint="eastAsia" w:eastAsia="方正仿宋_GBK"/>
          <w:color w:val="auto"/>
          <w:sz w:val="30"/>
          <w:szCs w:val="30"/>
          <w:highlight w:val="none"/>
        </w:rPr>
        <w:t>招标文件</w:t>
      </w:r>
      <w:r>
        <w:rPr>
          <w:rFonts w:eastAsia="方正仿宋_GBK"/>
          <w:color w:val="auto"/>
          <w:sz w:val="30"/>
          <w:szCs w:val="30"/>
          <w:highlight w:val="none"/>
        </w:rPr>
        <w:t>（后缀名为“.kedt”）--将后缀名为“.kedt”的</w:t>
      </w:r>
      <w:r>
        <w:rPr>
          <w:rFonts w:hint="eastAsia" w:eastAsia="方正仿宋_GBK"/>
          <w:color w:val="auto"/>
          <w:sz w:val="30"/>
          <w:szCs w:val="30"/>
          <w:highlight w:val="none"/>
        </w:rPr>
        <w:t>招标文件</w:t>
      </w:r>
      <w:r>
        <w:rPr>
          <w:rFonts w:eastAsia="方正仿宋_GBK"/>
          <w:color w:val="auto"/>
          <w:sz w:val="30"/>
          <w:szCs w:val="30"/>
          <w:highlight w:val="none"/>
        </w:rPr>
        <w:t>导入政府采购客户端工具--制作投标文件--导出加密的投标文件（后缀名为zip）--通过“苏采云”系统上传投标文件。</w:t>
      </w:r>
    </w:p>
    <w:p w14:paraId="0673AD7D">
      <w:pPr>
        <w:spacing w:line="500" w:lineRule="exact"/>
        <w:ind w:firstLine="600"/>
        <w:rPr>
          <w:rFonts w:eastAsia="方正仿宋_GBK"/>
          <w:color w:val="auto"/>
          <w:sz w:val="30"/>
          <w:szCs w:val="30"/>
          <w:highlight w:val="none"/>
        </w:rPr>
      </w:pPr>
      <w:r>
        <w:rPr>
          <w:rFonts w:hint="eastAsia" w:eastAsia="方正仿宋_GBK"/>
          <w:color w:val="auto"/>
          <w:sz w:val="30"/>
          <w:szCs w:val="30"/>
          <w:highlight w:val="none"/>
        </w:rPr>
        <w:t>招标文件</w:t>
      </w:r>
      <w:r>
        <w:rPr>
          <w:rFonts w:eastAsia="方正仿宋_GBK"/>
          <w:color w:val="auto"/>
          <w:sz w:val="30"/>
          <w:szCs w:val="30"/>
          <w:highlight w:val="none"/>
        </w:rPr>
        <w:t>及其附件（如有）会在江苏省政府采购网进行公示，供应商可前往江苏省政府采购网查看下载，请注意，</w:t>
      </w:r>
      <w:r>
        <w:rPr>
          <w:rFonts w:hint="eastAsia" w:eastAsia="方正仿宋_GBK"/>
          <w:color w:val="auto"/>
          <w:sz w:val="30"/>
          <w:szCs w:val="30"/>
          <w:highlight w:val="none"/>
        </w:rPr>
        <w:t>招标文件获取时限</w:t>
      </w:r>
      <w:r>
        <w:rPr>
          <w:rFonts w:eastAsia="方正仿宋_GBK"/>
          <w:color w:val="auto"/>
          <w:sz w:val="30"/>
          <w:szCs w:val="30"/>
          <w:highlight w:val="none"/>
        </w:rPr>
        <w:t>为</w:t>
      </w:r>
      <w:r>
        <w:rPr>
          <w:rFonts w:hint="eastAsia" w:eastAsia="方正仿宋_GBK"/>
          <w:color w:val="auto"/>
          <w:sz w:val="30"/>
          <w:szCs w:val="30"/>
          <w:highlight w:val="none"/>
        </w:rPr>
        <w:t>自</w:t>
      </w:r>
      <w:r>
        <w:rPr>
          <w:rFonts w:eastAsia="方正仿宋_GBK"/>
          <w:color w:val="auto"/>
          <w:sz w:val="30"/>
          <w:szCs w:val="30"/>
          <w:highlight w:val="none"/>
        </w:rPr>
        <w:t>采购公告发布之日起5个工作日内，仅在江苏省政府采购网下载</w:t>
      </w:r>
      <w:r>
        <w:rPr>
          <w:rFonts w:hint="eastAsia" w:eastAsia="方正仿宋_GBK"/>
          <w:color w:val="auto"/>
          <w:sz w:val="30"/>
          <w:szCs w:val="30"/>
          <w:highlight w:val="none"/>
        </w:rPr>
        <w:t>招标文件</w:t>
      </w:r>
      <w:r>
        <w:rPr>
          <w:rFonts w:eastAsia="方正仿宋_GBK"/>
          <w:color w:val="auto"/>
          <w:sz w:val="30"/>
          <w:szCs w:val="30"/>
          <w:highlight w:val="none"/>
        </w:rPr>
        <w:t>无法参与后续项目投标。</w:t>
      </w:r>
    </w:p>
    <w:p w14:paraId="1FC0EA94">
      <w:pPr>
        <w:spacing w:line="500" w:lineRule="exact"/>
        <w:ind w:firstLine="600"/>
        <w:rPr>
          <w:rFonts w:eastAsia="方正仿宋_GBK"/>
          <w:color w:val="auto"/>
          <w:sz w:val="30"/>
          <w:szCs w:val="30"/>
          <w:highlight w:val="none"/>
        </w:rPr>
      </w:pPr>
      <w:r>
        <w:rPr>
          <w:rFonts w:eastAsia="方正仿宋_GBK"/>
          <w:color w:val="auto"/>
          <w:sz w:val="30"/>
          <w:szCs w:val="30"/>
          <w:highlight w:val="none"/>
        </w:rPr>
        <w:t>（2）“CA数字证书”的办理材料以及供应商操作手册详见：</w:t>
      </w:r>
    </w:p>
    <w:p w14:paraId="2D223040">
      <w:pPr>
        <w:spacing w:line="500" w:lineRule="exact"/>
        <w:ind w:firstLine="600"/>
        <w:rPr>
          <w:rFonts w:eastAsia="方正仿宋_GBK"/>
          <w:color w:val="auto"/>
          <w:sz w:val="30"/>
          <w:szCs w:val="30"/>
          <w:highlight w:val="none"/>
        </w:rPr>
      </w:pPr>
      <w:r>
        <w:rPr>
          <w:rFonts w:eastAsia="方正仿宋_GBK"/>
          <w:color w:val="auto"/>
          <w:sz w:val="30"/>
          <w:szCs w:val="30"/>
          <w:highlight w:val="none"/>
        </w:rPr>
        <w:t>http://www.ccgp-jiangsu.gov.cn/jiangsu/zlxz/ee/ee3a4bc5a3454aa2b0d9312230633ce9.html</w:t>
      </w:r>
    </w:p>
    <w:p w14:paraId="30DD5D8F">
      <w:pPr>
        <w:spacing w:line="500" w:lineRule="exact"/>
        <w:ind w:firstLine="602"/>
        <w:rPr>
          <w:rFonts w:eastAsia="方正仿宋_GBK"/>
          <w:b/>
          <w:bCs/>
          <w:color w:val="auto"/>
          <w:sz w:val="30"/>
          <w:szCs w:val="30"/>
          <w:highlight w:val="none"/>
        </w:rPr>
      </w:pPr>
      <w:r>
        <w:rPr>
          <w:rFonts w:eastAsia="方正仿宋_GBK"/>
          <w:b/>
          <w:bCs/>
          <w:color w:val="auto"/>
          <w:sz w:val="30"/>
          <w:szCs w:val="30"/>
          <w:highlight w:val="none"/>
        </w:rPr>
        <w:t>二、如何正确填写《中小企业声明函》？</w:t>
      </w:r>
    </w:p>
    <w:p w14:paraId="38E48591">
      <w:pPr>
        <w:spacing w:line="500" w:lineRule="exact"/>
        <w:ind w:firstLine="600"/>
        <w:rPr>
          <w:rFonts w:eastAsia="方正仿宋_GBK"/>
          <w:color w:val="auto"/>
          <w:sz w:val="30"/>
          <w:szCs w:val="30"/>
          <w:highlight w:val="none"/>
        </w:rPr>
      </w:pPr>
      <w:r>
        <w:rPr>
          <w:rFonts w:eastAsia="方正仿宋_GBK"/>
          <w:color w:val="auto"/>
          <w:sz w:val="30"/>
          <w:szCs w:val="30"/>
          <w:highlight w:val="none"/>
        </w:rPr>
        <w:t>答：受中小企业扶持政策的供应商应当满足下列条件：在货物采购项目中，货物应当由中小企业</w:t>
      </w:r>
      <w:r>
        <w:rPr>
          <w:rFonts w:eastAsia="方正仿宋_GBK"/>
          <w:b/>
          <w:bCs/>
          <w:color w:val="auto"/>
          <w:sz w:val="30"/>
          <w:szCs w:val="30"/>
          <w:highlight w:val="none"/>
        </w:rPr>
        <w:t>制造</w:t>
      </w:r>
      <w:r>
        <w:rPr>
          <w:rFonts w:eastAsia="方正仿宋_GBK"/>
          <w:color w:val="auto"/>
          <w:sz w:val="30"/>
          <w:szCs w:val="30"/>
          <w:highlight w:val="none"/>
        </w:rPr>
        <w:t>，不对其中涉及的服务的承接商作出要求。货物类项目制造商在填写中小企业声明函时，需按照采购标的中的标的清单</w:t>
      </w:r>
      <w:r>
        <w:rPr>
          <w:rFonts w:eastAsia="方正仿宋_GBK"/>
          <w:b/>
          <w:bCs/>
          <w:color w:val="auto"/>
          <w:sz w:val="30"/>
          <w:szCs w:val="30"/>
          <w:highlight w:val="none"/>
        </w:rPr>
        <w:t>逐项进行响应</w:t>
      </w:r>
      <w:r>
        <w:rPr>
          <w:rFonts w:eastAsia="方正仿宋_GBK"/>
          <w:color w:val="auto"/>
          <w:sz w:val="30"/>
          <w:szCs w:val="30"/>
          <w:highlight w:val="none"/>
        </w:rPr>
        <w:t>；在工程采购项目中，工程应当由中小企业承建，不对其中涉及的货物的制造商和服务的承接商作出要求；在服务采购项目中，服务的承接商应当为中小企业，不对其中涉及的货物的制造商作出要求。</w:t>
      </w:r>
    </w:p>
    <w:p w14:paraId="4E2FFD4A">
      <w:pPr>
        <w:spacing w:line="500" w:lineRule="exact"/>
        <w:ind w:firstLine="600"/>
        <w:rPr>
          <w:rFonts w:eastAsia="方正仿宋_GBK"/>
          <w:color w:val="auto"/>
          <w:sz w:val="30"/>
          <w:szCs w:val="30"/>
          <w:highlight w:val="none"/>
        </w:rPr>
      </w:pPr>
      <w:r>
        <w:rPr>
          <w:rFonts w:eastAsia="方正仿宋_GBK"/>
          <w:color w:val="auto"/>
          <w:sz w:val="30"/>
          <w:szCs w:val="30"/>
          <w:highlight w:val="none"/>
        </w:rPr>
        <w:t>如采购项目允许分包，所有分包供应商也需按照采购项目的属性提供《中小企业声明函》，否则视为不享受中小企业扶持政策。</w:t>
      </w:r>
    </w:p>
    <w:p w14:paraId="25820E51">
      <w:pPr>
        <w:spacing w:line="500" w:lineRule="exact"/>
        <w:ind w:firstLine="602"/>
        <w:rPr>
          <w:rFonts w:eastAsia="方正仿宋_GBK"/>
          <w:b/>
          <w:bCs/>
          <w:color w:val="auto"/>
          <w:sz w:val="30"/>
          <w:szCs w:val="30"/>
          <w:highlight w:val="none"/>
        </w:rPr>
      </w:pPr>
      <w:r>
        <w:rPr>
          <w:rFonts w:eastAsia="方正仿宋_GBK"/>
          <w:b/>
          <w:bCs/>
          <w:color w:val="auto"/>
          <w:sz w:val="30"/>
          <w:szCs w:val="30"/>
          <w:highlight w:val="none"/>
        </w:rPr>
        <w:t>三、填写附件的时候有哪些需要注意的？</w:t>
      </w:r>
    </w:p>
    <w:p w14:paraId="2CDFAE5B">
      <w:pPr>
        <w:spacing w:line="500" w:lineRule="exact"/>
        <w:ind w:firstLine="600"/>
        <w:rPr>
          <w:rFonts w:eastAsia="方正仿宋_GBK"/>
          <w:color w:val="auto"/>
          <w:sz w:val="30"/>
          <w:szCs w:val="30"/>
          <w:highlight w:val="none"/>
        </w:rPr>
      </w:pPr>
      <w:r>
        <w:rPr>
          <w:rFonts w:eastAsia="方正仿宋_GBK"/>
          <w:color w:val="auto"/>
          <w:sz w:val="30"/>
          <w:szCs w:val="30"/>
          <w:highlight w:val="none"/>
        </w:rPr>
        <w:t>答：供应商需严格按照</w:t>
      </w:r>
      <w:r>
        <w:rPr>
          <w:rFonts w:hint="eastAsia" w:eastAsia="方正仿宋_GBK"/>
          <w:color w:val="auto"/>
          <w:sz w:val="30"/>
          <w:szCs w:val="30"/>
          <w:highlight w:val="none"/>
        </w:rPr>
        <w:t>招标文件</w:t>
      </w:r>
      <w:r>
        <w:rPr>
          <w:rFonts w:eastAsia="方正仿宋_GBK"/>
          <w:color w:val="auto"/>
          <w:sz w:val="30"/>
          <w:szCs w:val="30"/>
          <w:highlight w:val="none"/>
        </w:rPr>
        <w:t>要求填写相关附件，如响应文件有要求提供承诺函且需供应商自拟格式的，请务必按照文件要求对所有需承诺内容进行逐项、完整响应，不得缺项漏项。</w:t>
      </w:r>
    </w:p>
    <w:p w14:paraId="30C789EA">
      <w:pPr>
        <w:spacing w:line="500" w:lineRule="exact"/>
        <w:ind w:firstLine="602"/>
        <w:rPr>
          <w:rFonts w:eastAsia="方正仿宋_GBK"/>
          <w:b/>
          <w:bCs/>
          <w:color w:val="auto"/>
          <w:sz w:val="30"/>
          <w:szCs w:val="30"/>
          <w:highlight w:val="none"/>
        </w:rPr>
      </w:pPr>
      <w:r>
        <w:rPr>
          <w:rFonts w:eastAsia="方正仿宋_GBK"/>
          <w:b/>
          <w:bCs/>
          <w:color w:val="auto"/>
          <w:sz w:val="30"/>
          <w:szCs w:val="30"/>
          <w:highlight w:val="none"/>
        </w:rPr>
        <w:t>四、报价时有哪些注意事项？</w:t>
      </w:r>
    </w:p>
    <w:p w14:paraId="635E7784">
      <w:pPr>
        <w:spacing w:line="500" w:lineRule="exact"/>
        <w:ind w:firstLine="600"/>
        <w:rPr>
          <w:rFonts w:eastAsia="方正仿宋_GBK"/>
          <w:color w:val="auto"/>
          <w:sz w:val="30"/>
          <w:szCs w:val="30"/>
          <w:highlight w:val="none"/>
        </w:rPr>
      </w:pPr>
      <w:r>
        <w:rPr>
          <w:rFonts w:eastAsia="方正仿宋_GBK"/>
          <w:color w:val="auto"/>
          <w:sz w:val="30"/>
          <w:szCs w:val="30"/>
          <w:highlight w:val="none"/>
        </w:rPr>
        <w:t>答：各供应商报价时应注意总报价不得高于最高限价。涉及分项报价有最高限价要求的，应当逐项审查；分项报价与总价存在换算关系的，应核对换算是否准确。</w:t>
      </w:r>
    </w:p>
    <w:p w14:paraId="42491D81">
      <w:pPr>
        <w:spacing w:line="500" w:lineRule="exact"/>
        <w:ind w:firstLine="600"/>
        <w:rPr>
          <w:rFonts w:hint="eastAsia" w:eastAsia="方正仿宋_GBK"/>
          <w:color w:val="auto"/>
          <w:sz w:val="30"/>
          <w:szCs w:val="30"/>
          <w:highlight w:val="none"/>
        </w:rPr>
      </w:pPr>
      <w:r>
        <w:rPr>
          <w:rFonts w:hint="eastAsia" w:eastAsia="方正仿宋_GBK"/>
          <w:color w:val="auto"/>
          <w:sz w:val="30"/>
          <w:szCs w:val="30"/>
          <w:highlight w:val="none"/>
        </w:rPr>
        <w:t>（1）根据财库〔2026〕2号文件,政府采购评审中出现下列情形之一的，评审委员会应当启动异常低价投标（响应）审查程序：</w:t>
      </w:r>
    </w:p>
    <w:p w14:paraId="2EE4F164">
      <w:pPr>
        <w:spacing w:line="500" w:lineRule="exact"/>
        <w:ind w:firstLine="600"/>
        <w:rPr>
          <w:rFonts w:hint="eastAsia" w:eastAsia="方正仿宋_GBK"/>
          <w:color w:val="auto"/>
          <w:sz w:val="30"/>
          <w:szCs w:val="30"/>
          <w:highlight w:val="none"/>
        </w:rPr>
      </w:pPr>
      <w:r>
        <w:rPr>
          <w:rFonts w:hint="eastAsia" w:eastAsia="方正仿宋_GBK"/>
          <w:color w:val="auto"/>
          <w:sz w:val="30"/>
          <w:szCs w:val="30"/>
          <w:highlight w:val="none"/>
        </w:rPr>
        <w:t xml:space="preserve">1.投标（响应）报价低于全部通过符合性审查供应商投标（响应）报价平均值50%的，即投标（响应）报价&lt;全部通过符合性审查供应商投标（响应）报价平均值×50%； </w:t>
      </w:r>
    </w:p>
    <w:p w14:paraId="16C1CCD3">
      <w:pPr>
        <w:spacing w:line="500" w:lineRule="exact"/>
        <w:ind w:firstLine="600"/>
        <w:rPr>
          <w:rFonts w:hint="eastAsia" w:eastAsia="方正仿宋_GBK"/>
          <w:color w:val="auto"/>
          <w:sz w:val="30"/>
          <w:szCs w:val="30"/>
          <w:highlight w:val="none"/>
        </w:rPr>
      </w:pPr>
      <w:r>
        <w:rPr>
          <w:rFonts w:hint="eastAsia" w:eastAsia="方正仿宋_GBK"/>
          <w:color w:val="auto"/>
          <w:sz w:val="30"/>
          <w:szCs w:val="30"/>
          <w:highlight w:val="none"/>
        </w:rPr>
        <w:t xml:space="preserve">2.投标（响应）报价低于通过符合性审查的次低报价供应商投标（响应）报价50%的，即投标（响应）报价&lt;通过符合性审查的次低报价供应商投标（响应）报价×50%； </w:t>
      </w:r>
    </w:p>
    <w:p w14:paraId="17CE87E0">
      <w:pPr>
        <w:spacing w:line="500" w:lineRule="exact"/>
        <w:ind w:firstLine="600"/>
        <w:rPr>
          <w:rFonts w:hint="eastAsia" w:eastAsia="方正仿宋_GBK"/>
          <w:color w:val="auto"/>
          <w:sz w:val="30"/>
          <w:szCs w:val="30"/>
          <w:highlight w:val="none"/>
        </w:rPr>
      </w:pPr>
      <w:r>
        <w:rPr>
          <w:rFonts w:hint="eastAsia" w:eastAsia="方正仿宋_GBK"/>
          <w:color w:val="auto"/>
          <w:sz w:val="30"/>
          <w:szCs w:val="30"/>
          <w:highlight w:val="none"/>
        </w:rPr>
        <w:t>3.投标（响应）报价低于采购项目最高限价</w:t>
      </w:r>
      <w:r>
        <w:rPr>
          <w:rFonts w:hint="eastAsia" w:eastAsia="方正仿宋_GBK"/>
          <w:color w:val="auto"/>
          <w:sz w:val="30"/>
          <w:szCs w:val="30"/>
          <w:highlight w:val="none"/>
          <w:lang w:val="en-US" w:eastAsia="zh-CN"/>
        </w:rPr>
        <w:t>45</w:t>
      </w:r>
      <w:r>
        <w:rPr>
          <w:rFonts w:hint="eastAsia" w:eastAsia="方正仿宋_GBK"/>
          <w:color w:val="auto"/>
          <w:sz w:val="30"/>
          <w:szCs w:val="30"/>
          <w:highlight w:val="none"/>
        </w:rPr>
        <w:t>%的，即投标（响应）报价&lt;采购项目最高限价×</w:t>
      </w:r>
      <w:r>
        <w:rPr>
          <w:rFonts w:hint="eastAsia" w:eastAsia="方正仿宋_GBK"/>
          <w:color w:val="auto"/>
          <w:sz w:val="30"/>
          <w:szCs w:val="30"/>
          <w:highlight w:val="none"/>
          <w:lang w:val="en-US" w:eastAsia="zh-CN"/>
        </w:rPr>
        <w:t>45</w:t>
      </w:r>
      <w:r>
        <w:rPr>
          <w:rFonts w:hint="eastAsia" w:eastAsia="方正仿宋_GBK"/>
          <w:color w:val="auto"/>
          <w:sz w:val="30"/>
          <w:szCs w:val="30"/>
          <w:highlight w:val="none"/>
        </w:rPr>
        <w:t xml:space="preserve">%； </w:t>
      </w:r>
    </w:p>
    <w:p w14:paraId="5F25FEFD">
      <w:pPr>
        <w:spacing w:line="500" w:lineRule="exact"/>
        <w:ind w:firstLine="600"/>
        <w:rPr>
          <w:rFonts w:hint="eastAsia" w:eastAsia="方正仿宋_GBK"/>
          <w:color w:val="auto"/>
          <w:sz w:val="30"/>
          <w:szCs w:val="30"/>
          <w:highlight w:val="none"/>
        </w:rPr>
      </w:pPr>
      <w:r>
        <w:rPr>
          <w:rFonts w:hint="eastAsia" w:eastAsia="方正仿宋_GBK"/>
          <w:color w:val="auto"/>
          <w:sz w:val="30"/>
          <w:szCs w:val="30"/>
          <w:highlight w:val="none"/>
        </w:rPr>
        <w:t xml:space="preserve">4.评审委员会基于专业判断，认为供应商报价过低，有可能影响产品质量或者不能诚信履约的其他情形。 </w:t>
      </w:r>
    </w:p>
    <w:p w14:paraId="5EEA9AF2">
      <w:pPr>
        <w:spacing w:line="500" w:lineRule="exact"/>
        <w:ind w:firstLine="600"/>
        <w:rPr>
          <w:rFonts w:hint="eastAsia" w:eastAsia="方正仿宋_GBK"/>
          <w:color w:val="auto"/>
          <w:sz w:val="30"/>
          <w:szCs w:val="30"/>
          <w:highlight w:val="none"/>
        </w:rPr>
      </w:pPr>
      <w:r>
        <w:rPr>
          <w:rFonts w:hint="eastAsia" w:eastAsia="方正仿宋_GBK"/>
          <w:color w:val="auto"/>
          <w:sz w:val="30"/>
          <w:szCs w:val="30"/>
          <w:highlight w:val="none"/>
        </w:rPr>
        <w:t xml:space="preserve">采购人可以结合具体项目实际情况，提高上述第1项至第3项中启动异常低价投标（响应）审查的数值标准，但是最高不得超过65%。 </w:t>
      </w:r>
    </w:p>
    <w:p w14:paraId="5F44A902">
      <w:pPr>
        <w:spacing w:line="500" w:lineRule="exact"/>
        <w:ind w:firstLine="600"/>
        <w:rPr>
          <w:rFonts w:hint="eastAsia" w:eastAsia="方正仿宋_GBK"/>
          <w:color w:val="auto"/>
          <w:sz w:val="30"/>
          <w:szCs w:val="30"/>
          <w:highlight w:val="none"/>
        </w:rPr>
      </w:pPr>
      <w:r>
        <w:rPr>
          <w:rFonts w:hint="eastAsia" w:eastAsia="方正仿宋_GBK"/>
          <w:color w:val="auto"/>
          <w:sz w:val="30"/>
          <w:szCs w:val="30"/>
          <w:highlight w:val="none"/>
        </w:rPr>
        <w:t xml:space="preserve">相关法律法规对供应商报价有规定的，从其规定。 </w:t>
      </w:r>
    </w:p>
    <w:p w14:paraId="7A8539FF">
      <w:pPr>
        <w:spacing w:line="500" w:lineRule="exact"/>
        <w:ind w:firstLine="600"/>
        <w:rPr>
          <w:rFonts w:hint="eastAsia" w:eastAsia="方正仿宋_GBK"/>
          <w:color w:val="auto"/>
          <w:sz w:val="30"/>
          <w:szCs w:val="30"/>
          <w:highlight w:val="none"/>
        </w:rPr>
      </w:pPr>
      <w:r>
        <w:rPr>
          <w:rFonts w:hint="eastAsia" w:eastAsia="方正仿宋_GBK"/>
          <w:color w:val="auto"/>
          <w:sz w:val="30"/>
          <w:szCs w:val="30"/>
          <w:highlight w:val="none"/>
        </w:rPr>
        <w:t>（2）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投标人已随投标（响应）文件一并提交相关书面说明及必要的证明材料的，在评审现场可不再重复提交。</w:t>
      </w:r>
    </w:p>
    <w:p w14:paraId="4A17F0AF">
      <w:pPr>
        <w:spacing w:line="500" w:lineRule="exact"/>
        <w:ind w:firstLine="600"/>
        <w:rPr>
          <w:rFonts w:hint="eastAsia" w:eastAsia="方正仿宋_GBK"/>
          <w:color w:val="auto"/>
          <w:sz w:val="30"/>
          <w:szCs w:val="30"/>
          <w:highlight w:val="none"/>
        </w:rPr>
      </w:pPr>
      <w:r>
        <w:rPr>
          <w:rFonts w:hint="eastAsia" w:eastAsia="方正仿宋_GBK"/>
          <w:color w:val="auto"/>
          <w:sz w:val="30"/>
          <w:szCs w:val="30"/>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p>
    <w:p w14:paraId="5D03407E">
      <w:pPr>
        <w:spacing w:line="500" w:lineRule="exact"/>
        <w:ind w:firstLine="600"/>
        <w:rPr>
          <w:rFonts w:eastAsia="方正仿宋_GBK"/>
          <w:color w:val="auto"/>
          <w:sz w:val="30"/>
          <w:szCs w:val="30"/>
          <w:highlight w:val="none"/>
        </w:rPr>
      </w:pPr>
      <w:r>
        <w:rPr>
          <w:rFonts w:eastAsia="方正仿宋_GBK"/>
          <w:color w:val="auto"/>
          <w:sz w:val="30"/>
          <w:szCs w:val="30"/>
          <w:highlight w:val="none"/>
        </w:rPr>
        <w:t>各</w:t>
      </w:r>
      <w:r>
        <w:rPr>
          <w:rFonts w:hint="eastAsia" w:eastAsia="方正仿宋_GBK"/>
          <w:color w:val="auto"/>
          <w:sz w:val="30"/>
          <w:szCs w:val="30"/>
          <w:highlight w:val="none"/>
        </w:rPr>
        <w:t>投标（响应）</w:t>
      </w:r>
      <w:r>
        <w:rPr>
          <w:rFonts w:eastAsia="方正仿宋_GBK"/>
          <w:color w:val="auto"/>
          <w:sz w:val="30"/>
          <w:szCs w:val="30"/>
          <w:highlight w:val="none"/>
        </w:rPr>
        <w:t>供应商应当</w:t>
      </w:r>
      <w:r>
        <w:rPr>
          <w:rFonts w:hint="eastAsia" w:eastAsia="方正仿宋_GBK"/>
          <w:color w:val="auto"/>
          <w:sz w:val="30"/>
          <w:szCs w:val="30"/>
          <w:highlight w:val="none"/>
        </w:rPr>
        <w:t>始终</w:t>
      </w:r>
      <w:r>
        <w:rPr>
          <w:rFonts w:eastAsia="方正仿宋_GBK"/>
          <w:color w:val="auto"/>
          <w:sz w:val="30"/>
          <w:szCs w:val="30"/>
          <w:highlight w:val="none"/>
        </w:rPr>
        <w:t>关注开标大厅</w:t>
      </w:r>
      <w:r>
        <w:rPr>
          <w:rFonts w:hint="eastAsia" w:eastAsia="方正仿宋_GBK"/>
          <w:color w:val="auto"/>
          <w:sz w:val="30"/>
          <w:szCs w:val="30"/>
          <w:highlight w:val="none"/>
        </w:rPr>
        <w:t>，</w:t>
      </w:r>
      <w:r>
        <w:rPr>
          <w:rFonts w:eastAsia="方正仿宋_GBK"/>
          <w:color w:val="auto"/>
          <w:sz w:val="30"/>
          <w:szCs w:val="30"/>
          <w:highlight w:val="none"/>
        </w:rPr>
        <w:t>并</w:t>
      </w:r>
      <w:r>
        <w:rPr>
          <w:rFonts w:hint="eastAsia" w:eastAsia="方正仿宋_GBK"/>
          <w:color w:val="auto"/>
          <w:sz w:val="30"/>
          <w:szCs w:val="30"/>
          <w:highlight w:val="none"/>
        </w:rPr>
        <w:t>及时</w:t>
      </w:r>
      <w:r>
        <w:rPr>
          <w:rFonts w:eastAsia="方正仿宋_GBK"/>
          <w:color w:val="auto"/>
          <w:sz w:val="30"/>
          <w:szCs w:val="30"/>
          <w:highlight w:val="none"/>
        </w:rPr>
        <w:t>进行响应。</w:t>
      </w:r>
      <w:r>
        <w:rPr>
          <w:rFonts w:hint="eastAsia" w:eastAsia="方正仿宋_GBK"/>
          <w:color w:val="auto"/>
          <w:sz w:val="30"/>
          <w:szCs w:val="30"/>
          <w:highlight w:val="none"/>
        </w:rPr>
        <w:t>如</w:t>
      </w:r>
      <w:r>
        <w:rPr>
          <w:rFonts w:eastAsia="方正仿宋_GBK"/>
          <w:color w:val="auto"/>
          <w:sz w:val="30"/>
          <w:szCs w:val="30"/>
          <w:highlight w:val="none"/>
        </w:rPr>
        <w:t>投标（响应）供应商不提供书面说明、证明材料，或者提供的书面说明、证明材料不能证明其报价合理性的，评审委员会</w:t>
      </w:r>
      <w:r>
        <w:rPr>
          <w:rFonts w:hint="eastAsia" w:eastAsia="方正仿宋_GBK"/>
          <w:color w:val="auto"/>
          <w:sz w:val="30"/>
          <w:szCs w:val="30"/>
          <w:highlight w:val="none"/>
        </w:rPr>
        <w:t>有权</w:t>
      </w:r>
      <w:r>
        <w:rPr>
          <w:rFonts w:eastAsia="方正仿宋_GBK"/>
          <w:color w:val="auto"/>
          <w:sz w:val="30"/>
          <w:szCs w:val="30"/>
          <w:highlight w:val="none"/>
        </w:rPr>
        <w:t>将其作为无效投标（响应）处理。</w:t>
      </w:r>
    </w:p>
    <w:p w14:paraId="457C42C1">
      <w:pPr>
        <w:spacing w:line="500" w:lineRule="exact"/>
        <w:ind w:firstLine="600"/>
        <w:rPr>
          <w:rFonts w:eastAsia="方正仿宋_GBK"/>
          <w:color w:val="auto"/>
          <w:sz w:val="30"/>
          <w:szCs w:val="30"/>
          <w:highlight w:val="none"/>
        </w:rPr>
      </w:pPr>
      <w:r>
        <w:rPr>
          <w:rFonts w:eastAsia="方正仿宋_GBK"/>
          <w:color w:val="auto"/>
          <w:sz w:val="30"/>
          <w:szCs w:val="30"/>
          <w:highlight w:val="none"/>
        </w:rPr>
        <w:t>对报价异常低且经评审委员会启动相关审查机制后仍中标或成交的供应商，</w:t>
      </w:r>
      <w:r>
        <w:rPr>
          <w:rFonts w:hint="eastAsia" w:eastAsia="方正仿宋_GBK"/>
          <w:color w:val="auto"/>
          <w:sz w:val="30"/>
          <w:szCs w:val="30"/>
          <w:highlight w:val="none"/>
          <w:lang w:eastAsia="zh-CN"/>
        </w:rPr>
        <w:t>采购人</w:t>
      </w:r>
      <w:r>
        <w:rPr>
          <w:rFonts w:hint="eastAsia" w:eastAsia="方正仿宋_GBK"/>
          <w:color w:val="auto"/>
          <w:sz w:val="30"/>
          <w:szCs w:val="30"/>
          <w:highlight w:val="none"/>
        </w:rPr>
        <w:t>将</w:t>
      </w:r>
      <w:r>
        <w:rPr>
          <w:rFonts w:eastAsia="方正仿宋_GBK"/>
          <w:color w:val="auto"/>
          <w:sz w:val="30"/>
          <w:szCs w:val="30"/>
          <w:highlight w:val="none"/>
        </w:rPr>
        <w:t>重点关注其履约能力、履约承诺、实际履约情况等。</w:t>
      </w:r>
    </w:p>
    <w:p w14:paraId="0D0E821E">
      <w:pPr>
        <w:spacing w:line="500" w:lineRule="exact"/>
        <w:ind w:firstLine="602"/>
        <w:rPr>
          <w:rFonts w:eastAsia="方正仿宋_GBK"/>
          <w:b/>
          <w:bCs/>
          <w:color w:val="auto"/>
          <w:sz w:val="30"/>
          <w:szCs w:val="30"/>
          <w:highlight w:val="none"/>
        </w:rPr>
      </w:pPr>
      <w:r>
        <w:rPr>
          <w:rFonts w:eastAsia="方正仿宋_GBK"/>
          <w:b/>
          <w:bCs/>
          <w:color w:val="auto"/>
          <w:sz w:val="30"/>
          <w:szCs w:val="30"/>
          <w:highlight w:val="none"/>
        </w:rPr>
        <w:t>五、开评标过程中供应商的注意事项有哪些？</w:t>
      </w:r>
    </w:p>
    <w:p w14:paraId="4998B11C">
      <w:pPr>
        <w:spacing w:line="500" w:lineRule="exact"/>
        <w:ind w:firstLine="600"/>
        <w:rPr>
          <w:rFonts w:eastAsia="方正仿宋_GBK"/>
          <w:color w:val="auto"/>
          <w:sz w:val="30"/>
          <w:szCs w:val="30"/>
          <w:highlight w:val="none"/>
        </w:rPr>
      </w:pPr>
      <w:r>
        <w:rPr>
          <w:rFonts w:eastAsia="方正仿宋_GBK"/>
          <w:color w:val="auto"/>
          <w:sz w:val="30"/>
          <w:szCs w:val="30"/>
          <w:highlight w:val="none"/>
        </w:rPr>
        <w:t>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p>
    <w:p w14:paraId="734D9B6D">
      <w:pPr>
        <w:spacing w:line="500" w:lineRule="exact"/>
        <w:ind w:firstLine="602"/>
        <w:rPr>
          <w:rFonts w:eastAsia="方正仿宋_GBK"/>
          <w:b/>
          <w:bCs/>
          <w:color w:val="auto"/>
          <w:sz w:val="30"/>
          <w:szCs w:val="30"/>
          <w:highlight w:val="none"/>
        </w:rPr>
      </w:pPr>
      <w:r>
        <w:rPr>
          <w:rFonts w:eastAsia="方正仿宋_GBK"/>
          <w:b/>
          <w:bCs/>
          <w:color w:val="auto"/>
          <w:sz w:val="30"/>
          <w:szCs w:val="30"/>
          <w:highlight w:val="none"/>
        </w:rPr>
        <w:t>六、评标结束后什么时候能查询结果？如何查询？</w:t>
      </w:r>
    </w:p>
    <w:p w14:paraId="53CAA998">
      <w:pPr>
        <w:spacing w:line="500" w:lineRule="exact"/>
        <w:ind w:firstLine="600"/>
        <w:rPr>
          <w:rFonts w:eastAsia="方正仿宋_GBK"/>
          <w:color w:val="auto"/>
          <w:sz w:val="30"/>
          <w:szCs w:val="30"/>
          <w:highlight w:val="none"/>
        </w:rPr>
      </w:pPr>
      <w:r>
        <w:rPr>
          <w:rFonts w:eastAsia="方正仿宋_GBK"/>
          <w:color w:val="auto"/>
          <w:sz w:val="30"/>
          <w:szCs w:val="30"/>
          <w:highlight w:val="none"/>
        </w:rPr>
        <w:t>答：</w:t>
      </w:r>
      <w:r>
        <w:rPr>
          <w:rFonts w:hint="eastAsia" w:eastAsia="方正仿宋_GBK"/>
          <w:color w:val="auto"/>
          <w:sz w:val="30"/>
          <w:szCs w:val="30"/>
          <w:highlight w:val="none"/>
        </w:rPr>
        <w:t>对于采用公开招标或封闭式框架协议方式采购的项目，</w:t>
      </w:r>
      <w:r>
        <w:rPr>
          <w:rFonts w:eastAsia="方正仿宋_GBK"/>
          <w:color w:val="auto"/>
          <w:sz w:val="30"/>
          <w:szCs w:val="30"/>
          <w:highlight w:val="none"/>
        </w:rPr>
        <w:t>项目中标</w:t>
      </w:r>
      <w:r>
        <w:rPr>
          <w:rFonts w:hint="eastAsia" w:eastAsia="方正仿宋_GBK"/>
          <w:color w:val="auto"/>
          <w:sz w:val="30"/>
          <w:szCs w:val="30"/>
          <w:highlight w:val="none"/>
        </w:rPr>
        <w:t>（入围）</w:t>
      </w:r>
      <w:r>
        <w:rPr>
          <w:rFonts w:eastAsia="方正仿宋_GBK"/>
          <w:color w:val="auto"/>
          <w:sz w:val="30"/>
          <w:szCs w:val="30"/>
          <w:highlight w:val="none"/>
        </w:rPr>
        <w:t>公告</w:t>
      </w:r>
      <w:r>
        <w:rPr>
          <w:rFonts w:hint="eastAsia" w:eastAsia="方正仿宋_GBK"/>
          <w:color w:val="auto"/>
          <w:sz w:val="30"/>
          <w:szCs w:val="30"/>
          <w:highlight w:val="none"/>
        </w:rPr>
        <w:t>发布</w:t>
      </w:r>
      <w:r>
        <w:rPr>
          <w:rFonts w:eastAsia="方正仿宋_GBK"/>
          <w:color w:val="auto"/>
          <w:sz w:val="30"/>
          <w:szCs w:val="30"/>
          <w:highlight w:val="none"/>
        </w:rPr>
        <w:t>，参与供应商即可在</w:t>
      </w:r>
      <w:r>
        <w:rPr>
          <w:rFonts w:hint="eastAsia" w:eastAsia="方正仿宋_GBK"/>
          <w:color w:val="auto"/>
          <w:sz w:val="30"/>
          <w:szCs w:val="30"/>
          <w:highlight w:val="none"/>
        </w:rPr>
        <w:t>“</w:t>
      </w:r>
      <w:r>
        <w:rPr>
          <w:rFonts w:eastAsia="方正仿宋_GBK"/>
          <w:color w:val="auto"/>
          <w:sz w:val="30"/>
          <w:szCs w:val="30"/>
          <w:highlight w:val="none"/>
        </w:rPr>
        <w:t>苏采云</w:t>
      </w:r>
      <w:r>
        <w:rPr>
          <w:rFonts w:hint="eastAsia" w:eastAsia="方正仿宋_GBK"/>
          <w:color w:val="auto"/>
          <w:sz w:val="30"/>
          <w:szCs w:val="30"/>
          <w:highlight w:val="none"/>
        </w:rPr>
        <w:t>”</w:t>
      </w:r>
      <w:r>
        <w:rPr>
          <w:rFonts w:eastAsia="方正仿宋_GBK"/>
          <w:color w:val="auto"/>
          <w:sz w:val="30"/>
          <w:szCs w:val="30"/>
          <w:highlight w:val="none"/>
        </w:rPr>
        <w:t>系统中查看</w:t>
      </w:r>
      <w:r>
        <w:rPr>
          <w:rFonts w:hint="eastAsia" w:eastAsia="方正仿宋_GBK"/>
          <w:color w:val="auto"/>
          <w:sz w:val="30"/>
          <w:szCs w:val="30"/>
          <w:highlight w:val="none"/>
        </w:rPr>
        <w:t>评审</w:t>
      </w:r>
      <w:r>
        <w:rPr>
          <w:rFonts w:eastAsia="方正仿宋_GBK"/>
          <w:color w:val="auto"/>
          <w:sz w:val="30"/>
          <w:szCs w:val="30"/>
          <w:highlight w:val="none"/>
        </w:rPr>
        <w:t>结果。</w:t>
      </w:r>
    </w:p>
    <w:p w14:paraId="17C103F8">
      <w:pPr>
        <w:spacing w:line="500" w:lineRule="exact"/>
        <w:ind w:firstLine="600"/>
        <w:rPr>
          <w:rFonts w:eastAsia="方正仿宋_GBK"/>
          <w:color w:val="auto"/>
          <w:sz w:val="30"/>
          <w:szCs w:val="30"/>
          <w:highlight w:val="none"/>
        </w:rPr>
      </w:pPr>
      <w:r>
        <w:rPr>
          <w:rFonts w:eastAsia="方正仿宋_GBK"/>
          <w:color w:val="auto"/>
          <w:sz w:val="30"/>
          <w:szCs w:val="30"/>
          <w:highlight w:val="none"/>
        </w:rPr>
        <w:t>供应商查询</w:t>
      </w:r>
      <w:r>
        <w:rPr>
          <w:rFonts w:hint="eastAsia" w:eastAsia="方正仿宋_GBK"/>
          <w:color w:val="auto"/>
          <w:sz w:val="30"/>
          <w:szCs w:val="30"/>
          <w:highlight w:val="none"/>
        </w:rPr>
        <w:t>评审</w:t>
      </w:r>
      <w:r>
        <w:rPr>
          <w:rFonts w:eastAsia="方正仿宋_GBK"/>
          <w:color w:val="auto"/>
          <w:sz w:val="30"/>
          <w:szCs w:val="30"/>
          <w:highlight w:val="none"/>
        </w:rPr>
        <w:t>结果的</w:t>
      </w:r>
      <w:r>
        <w:rPr>
          <w:rFonts w:hint="eastAsia" w:eastAsia="方正仿宋_GBK"/>
          <w:color w:val="auto"/>
          <w:sz w:val="30"/>
          <w:szCs w:val="30"/>
          <w:highlight w:val="none"/>
        </w:rPr>
        <w:t>路径</w:t>
      </w:r>
      <w:r>
        <w:rPr>
          <w:rFonts w:eastAsia="方正仿宋_GBK"/>
          <w:color w:val="auto"/>
          <w:sz w:val="30"/>
          <w:szCs w:val="30"/>
          <w:highlight w:val="none"/>
        </w:rPr>
        <w:t>为：</w:t>
      </w:r>
      <w:r>
        <w:rPr>
          <w:rFonts w:hint="eastAsia" w:eastAsia="方正仿宋_GBK"/>
          <w:color w:val="auto"/>
          <w:sz w:val="30"/>
          <w:szCs w:val="30"/>
          <w:highlight w:val="none"/>
        </w:rPr>
        <w:t>登录“苏采云”系统-</w:t>
      </w:r>
      <w:r>
        <w:rPr>
          <w:rFonts w:eastAsia="方正仿宋_GBK"/>
          <w:color w:val="auto"/>
          <w:sz w:val="30"/>
          <w:szCs w:val="30"/>
          <w:highlight w:val="none"/>
        </w:rPr>
        <w:t>点击【采购项目参与】-【评审结果查询】-点击【查看】按钮，进入评审结果详情页面。供应商可以查看到资格符合评审是否通过、评审总得分、排名和是否中标/成交。</w:t>
      </w:r>
    </w:p>
    <w:p w14:paraId="7D8DFD84">
      <w:pPr>
        <w:rPr>
          <w:color w:val="auto"/>
          <w:highlight w:val="none"/>
        </w:rPr>
      </w:pPr>
    </w:p>
    <w:p w14:paraId="38CD3C6F">
      <w:pPr>
        <w:widowControl/>
        <w:jc w:val="left"/>
        <w:rPr>
          <w:rFonts w:hint="eastAsia" w:ascii="宋体" w:hAnsi="宋体" w:cs="宋体"/>
          <w:color w:val="auto"/>
          <w:sz w:val="28"/>
          <w:szCs w:val="28"/>
          <w:highlight w:val="none"/>
        </w:rPr>
      </w:pPr>
    </w:p>
    <w:sectPr>
      <w:pgSz w:w="11906" w:h="16838"/>
      <w:pgMar w:top="1440" w:right="1797" w:bottom="1440" w:left="1797"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1" w:fontKey="{772125CB-D940-4697-A1B0-A43E403ECFCE}"/>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Verdana">
    <w:panose1 w:val="020B0604030504040204"/>
    <w:charset w:val="00"/>
    <w:family w:val="auto"/>
    <w:pitch w:val="default"/>
    <w:sig w:usb0="A00006FF" w:usb1="4000205B" w:usb2="00000010" w:usb3="00000000" w:csb0="2000019F" w:csb1="00000000"/>
  </w:font>
  <w:font w:name="仿宋_GB2312">
    <w:altName w:val="仿宋"/>
    <w:panose1 w:val="02010609060101010101"/>
    <w:charset w:val="00"/>
    <w:family w:val="auto"/>
    <w:pitch w:val="default"/>
    <w:sig w:usb0="00000000" w:usb1="00000000" w:usb2="00000000" w:usb3="00000000" w:csb0="00000000" w:csb1="00000000"/>
    <w:embedRegular r:id="rId2" w:fontKey="{DDD0444D-D7FB-4143-BCE3-D26EEAA95678}"/>
  </w:font>
  <w:font w:name="仿宋">
    <w:panose1 w:val="02010609060101010101"/>
    <w:charset w:val="86"/>
    <w:family w:val="auto"/>
    <w:pitch w:val="default"/>
    <w:sig w:usb0="800002BF" w:usb1="38CF7CFA" w:usb2="00000016" w:usb3="00000000" w:csb0="00040001" w:csb1="00000000"/>
    <w:embedRegular r:id="rId3" w:fontKey="{BF4B9B4B-34C4-4830-AA5B-C97F2CA90FCA}"/>
  </w:font>
  <w:font w:name="PMingLiU">
    <w:altName w:val="Sitka Text"/>
    <w:panose1 w:val="02020500000000000000"/>
    <w:charset w:val="00"/>
    <w:family w:val="auto"/>
    <w:pitch w:val="default"/>
    <w:sig w:usb0="00000000" w:usb1="00000000" w:usb2="00000000" w:usb3="00000000" w:csb0="00000000" w:csb1="00000000"/>
  </w:font>
  <w:font w:name="Sitka Text">
    <w:panose1 w:val="00000000000000000000"/>
    <w:charset w:val="00"/>
    <w:family w:val="auto"/>
    <w:pitch w:val="default"/>
    <w:sig w:usb0="A00002EF" w:usb1="4000204B" w:usb2="00000000" w:usb3="00000000" w:csb0="2000019F" w:csb1="00000000"/>
  </w:font>
  <w:font w:name="ˎ̥">
    <w:altName w:val="Yu Gothic UI"/>
    <w:panose1 w:val="020B0503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Tahoma">
    <w:panose1 w:val="020B0604030504040204"/>
    <w:charset w:val="00"/>
    <w:family w:val="auto"/>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A00002BF" w:usb1="38CF7CFA" w:usb2="00082016" w:usb3="00000000" w:csb0="00040001" w:csb1="00000000"/>
    <w:embedRegular r:id="rId4" w:fontKey="{9AF893CE-7D0F-4DAE-AFD7-617CF2E441CE}"/>
  </w:font>
  <w:font w:name="等线">
    <w:panose1 w:val="02010600030101010101"/>
    <w:charset w:val="86"/>
    <w:family w:val="auto"/>
    <w:pitch w:val="default"/>
    <w:sig w:usb0="A00002BF" w:usb1="38CF7CFA" w:usb2="00000016" w:usb3="00000000" w:csb0="0004000F" w:csb1="00000000"/>
  </w:font>
  <w:font w:name="Times New Roman Regular">
    <w:altName w:val="Times New Roman"/>
    <w:panose1 w:val="02020603050405020304"/>
    <w:charset w:val="00"/>
    <w:family w:val="auto"/>
    <w:pitch w:val="default"/>
    <w:sig w:usb0="00000000" w:usb1="00000000" w:usb2="00000000" w:usb3="00000000" w:csb0="0000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魏碑_GBK">
    <w:altName w:val="Yu Gothic UI"/>
    <w:panose1 w:val="020B0503020202020204"/>
    <w:charset w:val="00"/>
    <w:family w:val="auto"/>
    <w:pitch w:val="default"/>
    <w:sig w:usb0="00000000" w:usb1="00000000" w:usb2="00000000" w:usb3="00000000" w:csb0="00000000" w:csb1="00000000"/>
    <w:embedRegular r:id="rId5" w:fontKey="{368C7819-45D3-4A18-B26F-250215642C41}"/>
  </w:font>
  <w:font w:name="方正仿宋_GBK">
    <w:panose1 w:val="02000000000000000000"/>
    <w:charset w:val="86"/>
    <w:family w:val="auto"/>
    <w:pitch w:val="default"/>
    <w:sig w:usb0="A00002BF" w:usb1="38CF7CFA" w:usb2="00082016" w:usb3="00000000" w:csb0="00040001" w:csb1="00000000"/>
    <w:embedRegular r:id="rId6" w:fontKey="{DED7BA57-8D0E-41DD-84A2-E6B18B817767}"/>
  </w:font>
  <w:font w:name="WPSEMBED1">
    <w:panose1 w:val="02000000000000000000"/>
    <w:charset w:val="86"/>
    <w:family w:val="auto"/>
    <w:pitch w:val="default"/>
    <w:sig w:usb0="A00002BF" w:usb1="38CF7CFA" w:usb2="00082016" w:usb3="00000000" w:csb0="00040001" w:csb1="00000000"/>
  </w:font>
  <w:font w:name="KSOFE4500885">
    <w:panose1 w:val="02010609060101010101"/>
    <w:charset w:val="86"/>
    <w:family w:val="auto"/>
    <w:pitch w:val="default"/>
    <w:sig w:usb0="00000001" w:usb1="00000000" w:usb2="00000000" w:usb3="00000000" w:csb0="00040001" w:csb1="00000000"/>
  </w:font>
  <w:font w:name="WPSEMBED2">
    <w:panose1 w:val="02000000000000000000"/>
    <w:charset w:val="86"/>
    <w:family w:val="auto"/>
    <w:pitch w:val="default"/>
    <w:sig w:usb0="A00002BF" w:usb1="38CF7CFA" w:usb2="00082016" w:usb3="00000000" w:csb0="00040001" w:csb1="00000000"/>
  </w:font>
  <w:font w:name="KSOF429D5CD3">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D89DAA">
    <w:pPr>
      <w:pStyle w:val="3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C25B6C">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41C25B6C">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5AC0C">
    <w:pPr>
      <w:pStyle w:val="3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483F29">
                          <w:pPr>
                            <w:pStyle w:val="3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NpqzE8AgAAbwQAAA4AAAAAAAAAAQAgAAAAHwEAAGRycy9lMm9E&#10;b2MueG1sUEsFBgAAAAAGAAYAWQEAAM0FAAAAAA==&#10;">
              <v:fill on="f" focussize="0,0"/>
              <v:stroke on="f" weight="0.5pt"/>
              <v:imagedata o:title=""/>
              <o:lock v:ext="edit" aspectratio="f"/>
              <v:textbox inset="0mm,0mm,0mm,0mm" style="mso-fit-shape-to-text:t;">
                <w:txbxContent>
                  <w:p w14:paraId="38483F29">
                    <w:pPr>
                      <w:pStyle w:val="3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3E8EF">
    <w:pPr>
      <w:pStyle w:val="3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972185" cy="147955"/>
                      </a:xfrm>
                      <a:prstGeom prst="rect">
                        <a:avLst/>
                      </a:prstGeom>
                      <a:noFill/>
                      <a:ln>
                        <a:noFill/>
                      </a:ln>
                      <a:effectLst/>
                    </wps:spPr>
                    <wps:txbx>
                      <w:txbxContent>
                        <w:p w14:paraId="125E3AE2">
                          <w:pPr>
                            <w:pStyle w:val="31"/>
                          </w:pPr>
                          <w:r>
                            <w:fldChar w:fldCharType="begin"/>
                          </w:r>
                          <w:r>
                            <w:instrText xml:space="preserve"> PAGE  \* MERGEFORMAT </w:instrText>
                          </w:r>
                          <w:r>
                            <w:fldChar w:fldCharType="separate"/>
                          </w:r>
                          <w:r>
                            <w:t>3</w:t>
                          </w:r>
                          <w:r>
                            <w:fldChar w:fldCharType="end"/>
                          </w:r>
                        </w:p>
                      </w:txbxContent>
                    </wps:txbx>
                    <wps:bodyPr rot="0" vert="horz" wrap="none" lIns="0" tIns="0" rIns="0" bIns="0" anchor="t" anchorCtr="0" upright="1">
                      <a:spAutoFit/>
                    </wps:bodyPr>
                  </wps:wsp>
                </a:graphicData>
              </a:graphic>
            </wp:anchor>
          </w:drawing>
        </mc:Choice>
        <mc:Fallback>
          <w:pict>
            <v:shape id="文本框 2" o:spid="_x0000_s1026" o:spt="202" type="#_x0000_t202" style="position:absolute;left:0pt;margin-top:0pt;height:11.65pt;width:76.55pt;mso-position-horizontal:center;mso-position-horizontal-relative:margin;mso-wrap-style:none;z-index:251660288;mso-width-relative:page;mso-height-relative:page;" filled="f" stroked="f" coordsize="21600,21600" o:gfxdata="UEsDBAoAAAAAAIdO4kAAAAAAAAAAAAAAAAAEAAAAZHJzL1BLAwQUAAAACACHTuJANJ2k0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NJ2k0NIAAAAEAQAADwAAAAAAAAABACAAAAAi&#10;AAAAZHJzL2Rvd25yZXYueG1sUEsBAhQAFAAAAAgAh07iQMK/gYEQAgAAEAQAAA4AAAAAAAAAAQAg&#10;AAAAIQEAAGRycy9lMm9Eb2MueG1sUEsFBgAAAAAGAAYAWQEAAKMFAAAAAA==&#10;">
              <v:fill on="f" focussize="0,0"/>
              <v:stroke on="f"/>
              <v:imagedata o:title=""/>
              <o:lock v:ext="edit" aspectratio="f"/>
              <v:textbox inset="0mm,0mm,0mm,0mm" style="mso-fit-shape-to-text:t;">
                <w:txbxContent>
                  <w:p w14:paraId="125E3AE2">
                    <w:pPr>
                      <w:pStyle w:val="31"/>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4C738">
    <w:pPr>
      <w:pStyle w:val="3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2"/>
              <wp:cNvGraphicFramePr/>
              <a:graphic xmlns:a="http://schemas.openxmlformats.org/drawingml/2006/main">
                <a:graphicData uri="http://schemas.microsoft.com/office/word/2010/wordprocessingShape">
                  <wps:wsp>
                    <wps:cNvSpPr txBox="1"/>
                    <wps:spPr bwMode="auto">
                      <a:xfrm>
                        <a:off x="0" y="0"/>
                        <a:ext cx="972185" cy="147955"/>
                      </a:xfrm>
                      <a:prstGeom prst="rect">
                        <a:avLst/>
                      </a:prstGeom>
                      <a:noFill/>
                      <a:ln>
                        <a:noFill/>
                      </a:ln>
                      <a:effectLst/>
                    </wps:spPr>
                    <wps:txbx>
                      <w:txbxContent>
                        <w:p w14:paraId="5BDE202D">
                          <w:pPr>
                            <w:pStyle w:val="31"/>
                          </w:pPr>
                          <w:r>
                            <w:fldChar w:fldCharType="begin"/>
                          </w:r>
                          <w:r>
                            <w:instrText xml:space="preserve"> PAGE  \* MERGEFORMAT </w:instrText>
                          </w:r>
                          <w:r>
                            <w:fldChar w:fldCharType="separate"/>
                          </w:r>
                          <w:r>
                            <w:t>90</w:t>
                          </w:r>
                          <w:r>
                            <w:fldChar w:fldCharType="end"/>
                          </w:r>
                        </w:p>
                      </w:txbxContent>
                    </wps:txbx>
                    <wps:bodyPr wrap="none" lIns="0" tIns="0" rIns="0" bIns="0">
                      <a:spAutoFit/>
                    </wps:bodyPr>
                  </wps:wsp>
                </a:graphicData>
              </a:graphic>
            </wp:anchor>
          </w:drawing>
        </mc:Choice>
        <mc:Fallback>
          <w:pict>
            <v:shape id="文本框 2" o:spid="_x0000_s1026" o:spt="202" type="#_x0000_t202" style="position:absolute;left:0pt;margin-top:0pt;height:11.65pt;width:76.55pt;mso-position-horizontal:center;mso-position-horizontal-relative:margin;mso-wrap-style:none;z-index:251659264;mso-width-relative:page;mso-height-relative:page;" filled="f" stroked="f" coordsize="21600,21600" o:gfxdata="UEsDBAoAAAAAAIdO4kAAAAAAAAAAAAAAAAAEAAAAZHJzL1BLAwQUAAAACACHTuJANJ2k0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NJ2k0NIAAAAEAQAADwAAAAAAAAABACAAAAAi&#10;AAAAZHJzL2Rvd25yZXYueG1sUEsBAhQAFAAAAAgAh07iQD+mROrXAQAApwMAAA4AAAAAAAAAAQAg&#10;AAAAIQEAAGRycy9lMm9Eb2MueG1sUEsFBgAAAAAGAAYAWQEAAGoFAAAAAA==&#10;">
              <v:fill on="f" focussize="0,0"/>
              <v:stroke on="f"/>
              <v:imagedata o:title=""/>
              <o:lock v:ext="edit" aspectratio="f"/>
              <v:textbox inset="0mm,0mm,0mm,0mm" style="mso-fit-shape-to-text:t;">
                <w:txbxContent>
                  <w:p w14:paraId="5BDE202D">
                    <w:pPr>
                      <w:pStyle w:val="31"/>
                    </w:pPr>
                    <w:r>
                      <w:fldChar w:fldCharType="begin"/>
                    </w:r>
                    <w:r>
                      <w:instrText xml:space="preserve"> PAGE  \* MERGEFORMAT </w:instrText>
                    </w:r>
                    <w:r>
                      <w:fldChar w:fldCharType="separate"/>
                    </w:r>
                    <w:r>
                      <w:t>90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DB136">
    <w:pPr>
      <w:pStyle w:val="3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B72217">
    <w:pPr>
      <w:pStyle w:val="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47279">
    <w:pPr>
      <w:pStyle w:val="3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A1DC5">
    <w:pPr>
      <w:pStyle w:val="32"/>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63E24">
    <w:pPr>
      <w:pStyle w:val="3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3FFB0">
    <w:pPr>
      <w:pStyle w:val="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bullet"/>
      <w:pStyle w:val="283"/>
      <w:lvlText w:val=""/>
      <w:lvlJc w:val="left"/>
      <w:pPr>
        <w:tabs>
          <w:tab w:val="left" w:pos="480"/>
        </w:tabs>
        <w:ind w:left="480" w:hanging="480"/>
      </w:pPr>
      <w:rPr>
        <w:rFonts w:hint="default" w:ascii="Wingdings" w:hAnsi="Wingdings"/>
        <w:sz w:val="16"/>
      </w:rPr>
    </w:lvl>
    <w:lvl w:ilvl="1" w:tentative="0">
      <w:start w:val="1"/>
      <w:numFmt w:val="ideographTraditional"/>
      <w:lvlText w:val="%2、"/>
      <w:lvlJc w:val="left"/>
      <w:pPr>
        <w:tabs>
          <w:tab w:val="left" w:pos="960"/>
        </w:tabs>
        <w:ind w:left="960" w:hanging="480"/>
      </w:pPr>
    </w:lvl>
    <w:lvl w:ilvl="2" w:tentative="0">
      <w:start w:val="1"/>
      <w:numFmt w:val="lowerRoman"/>
      <w:lvlText w:val="%3."/>
      <w:lvlJc w:val="right"/>
      <w:pPr>
        <w:tabs>
          <w:tab w:val="left" w:pos="1440"/>
        </w:tabs>
        <w:ind w:left="1440" w:hanging="480"/>
      </w:pPr>
    </w:lvl>
    <w:lvl w:ilvl="3" w:tentative="0">
      <w:start w:val="1"/>
      <w:numFmt w:val="decimal"/>
      <w:lvlText w:val="%4."/>
      <w:lvlJc w:val="left"/>
      <w:pPr>
        <w:tabs>
          <w:tab w:val="left" w:pos="1920"/>
        </w:tabs>
        <w:ind w:left="1920" w:hanging="480"/>
      </w:pPr>
    </w:lvl>
    <w:lvl w:ilvl="4" w:tentative="0">
      <w:start w:val="1"/>
      <w:numFmt w:val="ideographTraditional"/>
      <w:lvlText w:val="%5、"/>
      <w:lvlJc w:val="left"/>
      <w:pPr>
        <w:tabs>
          <w:tab w:val="left" w:pos="2400"/>
        </w:tabs>
        <w:ind w:left="2400" w:hanging="480"/>
      </w:pPr>
    </w:lvl>
    <w:lvl w:ilvl="5" w:tentative="0">
      <w:start w:val="1"/>
      <w:numFmt w:val="lowerRoman"/>
      <w:lvlText w:val="%6."/>
      <w:lvlJc w:val="right"/>
      <w:pPr>
        <w:tabs>
          <w:tab w:val="left" w:pos="2880"/>
        </w:tabs>
        <w:ind w:left="2880" w:hanging="480"/>
      </w:pPr>
    </w:lvl>
    <w:lvl w:ilvl="6" w:tentative="0">
      <w:start w:val="1"/>
      <w:numFmt w:val="decimal"/>
      <w:lvlText w:val="%7."/>
      <w:lvlJc w:val="left"/>
      <w:pPr>
        <w:tabs>
          <w:tab w:val="left" w:pos="3360"/>
        </w:tabs>
        <w:ind w:left="3360" w:hanging="480"/>
      </w:pPr>
    </w:lvl>
    <w:lvl w:ilvl="7" w:tentative="0">
      <w:start w:val="1"/>
      <w:numFmt w:val="ideographTraditional"/>
      <w:lvlText w:val="%8、"/>
      <w:lvlJc w:val="left"/>
      <w:pPr>
        <w:tabs>
          <w:tab w:val="left" w:pos="3840"/>
        </w:tabs>
        <w:ind w:left="3840" w:hanging="480"/>
      </w:pPr>
    </w:lvl>
    <w:lvl w:ilvl="8" w:tentative="0">
      <w:start w:val="1"/>
      <w:numFmt w:val="lowerRoman"/>
      <w:lvlText w:val="%9."/>
      <w:lvlJc w:val="right"/>
      <w:pPr>
        <w:tabs>
          <w:tab w:val="left"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documentProtection w:enforcement="0"/>
  <w:defaultTabStop w:val="420"/>
  <w:characterSpacingControl w:val="doNotCompress"/>
  <w:compat>
    <w:balanceSingleByteDoubleByteWidth/>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FA0EFF"/>
    <w:rsid w:val="1B132AFA"/>
    <w:rsid w:val="22E9597C"/>
    <w:rsid w:val="353C7514"/>
    <w:rsid w:val="4444198E"/>
    <w:rsid w:val="482A12F4"/>
    <w:rsid w:val="4E507D60"/>
    <w:rsid w:val="556C044D"/>
    <w:rsid w:val="5E195069"/>
    <w:rsid w:val="72466EA9"/>
    <w:rsid w:val="7B3E7BD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208"/>
    <w:qFormat/>
    <w:uiPriority w:val="0"/>
    <w:pPr>
      <w:keepNext/>
      <w:keepLines/>
      <w:spacing w:before="340" w:after="330" w:line="578" w:lineRule="auto"/>
      <w:outlineLvl w:val="0"/>
    </w:pPr>
    <w:rPr>
      <w:b/>
      <w:bCs/>
      <w:sz w:val="44"/>
      <w:szCs w:val="44"/>
    </w:rPr>
  </w:style>
  <w:style w:type="paragraph" w:styleId="3">
    <w:name w:val="heading 2"/>
    <w:basedOn w:val="1"/>
    <w:next w:val="1"/>
    <w:link w:val="209"/>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210"/>
    <w:qFormat/>
    <w:uiPriority w:val="0"/>
    <w:pPr>
      <w:keepNext/>
      <w:keepLines/>
      <w:spacing w:before="260" w:after="260" w:line="416" w:lineRule="auto"/>
      <w:outlineLvl w:val="2"/>
    </w:pPr>
    <w:rPr>
      <w:b/>
      <w:bCs/>
      <w:sz w:val="32"/>
      <w:szCs w:val="32"/>
    </w:rPr>
  </w:style>
  <w:style w:type="paragraph" w:styleId="5">
    <w:name w:val="heading 4"/>
    <w:basedOn w:val="1"/>
    <w:next w:val="1"/>
    <w:link w:val="211"/>
    <w:qFormat/>
    <w:uiPriority w:val="0"/>
    <w:pPr>
      <w:keepNext/>
      <w:jc w:val="center"/>
      <w:outlineLvl w:val="3"/>
    </w:pPr>
    <w:rPr>
      <w:rFonts w:eastAsia="新宋体"/>
      <w:sz w:val="30"/>
      <w:szCs w:val="21"/>
    </w:rPr>
  </w:style>
  <w:style w:type="paragraph" w:styleId="6">
    <w:name w:val="heading 5"/>
    <w:basedOn w:val="1"/>
    <w:next w:val="1"/>
    <w:link w:val="212"/>
    <w:qFormat/>
    <w:uiPriority w:val="0"/>
    <w:pPr>
      <w:keepNext/>
      <w:keepLines/>
      <w:spacing w:before="280" w:after="290" w:line="376" w:lineRule="auto"/>
      <w:outlineLvl w:val="4"/>
    </w:pPr>
    <w:rPr>
      <w:b/>
      <w:bCs/>
      <w:sz w:val="28"/>
      <w:szCs w:val="28"/>
    </w:rPr>
  </w:style>
  <w:style w:type="paragraph" w:styleId="7">
    <w:name w:val="heading 6"/>
    <w:basedOn w:val="1"/>
    <w:next w:val="8"/>
    <w:link w:val="213"/>
    <w:qFormat/>
    <w:uiPriority w:val="0"/>
    <w:pPr>
      <w:keepNext/>
      <w:jc w:val="center"/>
      <w:outlineLvl w:val="5"/>
    </w:pPr>
    <w:rPr>
      <w:b/>
      <w:sz w:val="44"/>
      <w:szCs w:val="20"/>
    </w:rPr>
  </w:style>
  <w:style w:type="paragraph" w:styleId="9">
    <w:name w:val="heading 7"/>
    <w:basedOn w:val="1"/>
    <w:next w:val="1"/>
    <w:link w:val="215"/>
    <w:qFormat/>
    <w:uiPriority w:val="0"/>
    <w:pPr>
      <w:keepNext/>
      <w:keepLines/>
      <w:spacing w:before="240" w:after="64" w:line="320" w:lineRule="auto"/>
      <w:outlineLvl w:val="6"/>
    </w:pPr>
    <w:rPr>
      <w:b/>
      <w:bCs/>
      <w:sz w:val="24"/>
    </w:rPr>
  </w:style>
  <w:style w:type="paragraph" w:styleId="10">
    <w:name w:val="heading 8"/>
    <w:basedOn w:val="1"/>
    <w:next w:val="1"/>
    <w:link w:val="216"/>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1"/>
    <w:link w:val="217"/>
    <w:qFormat/>
    <w:uiPriority w:val="0"/>
    <w:pPr>
      <w:keepNext/>
      <w:keepLines/>
      <w:spacing w:before="240" w:after="64" w:line="320" w:lineRule="auto"/>
      <w:outlineLvl w:val="8"/>
    </w:pPr>
    <w:rPr>
      <w:rFonts w:ascii="Arial" w:hAnsi="Arial" w:eastAsia="黑体"/>
      <w:sz w:val="24"/>
      <w:szCs w:val="21"/>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8">
    <w:name w:val="Normal Indent"/>
    <w:basedOn w:val="1"/>
    <w:link w:val="214"/>
    <w:qFormat/>
    <w:uiPriority w:val="0"/>
    <w:pPr>
      <w:ind w:firstLine="420"/>
    </w:pPr>
    <w:rPr>
      <w:sz w:val="20"/>
      <w:szCs w:val="20"/>
    </w:rPr>
  </w:style>
  <w:style w:type="paragraph" w:styleId="12">
    <w:name w:val="toc 7"/>
    <w:basedOn w:val="1"/>
    <w:next w:val="1"/>
    <w:unhideWhenUsed/>
    <w:qFormat/>
    <w:uiPriority w:val="39"/>
    <w:pPr>
      <w:spacing w:after="57"/>
      <w:ind w:left="1701" w:right="0" w:firstLine="0"/>
    </w:pPr>
  </w:style>
  <w:style w:type="paragraph" w:styleId="13">
    <w:name w:val="Note Heading"/>
    <w:basedOn w:val="1"/>
    <w:next w:val="1"/>
    <w:qFormat/>
    <w:uiPriority w:val="0"/>
    <w:rPr>
      <w:rFonts w:ascii="Verdana" w:hAnsi="Verdana"/>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18"/>
    <w:semiHidden/>
    <w:qFormat/>
    <w:uiPriority w:val="0"/>
    <w:pPr>
      <w:shd w:val="clear" w:color="auto" w:fill="000080"/>
    </w:pPr>
    <w:rPr>
      <w:sz w:val="20"/>
    </w:rPr>
  </w:style>
  <w:style w:type="paragraph" w:styleId="16">
    <w:name w:val="toa heading"/>
    <w:basedOn w:val="1"/>
    <w:next w:val="1"/>
    <w:qFormat/>
    <w:uiPriority w:val="0"/>
    <w:pPr>
      <w:spacing w:line="360" w:lineRule="atLeast"/>
      <w:jc w:val="center"/>
    </w:pPr>
    <w:rPr>
      <w:rFonts w:ascii="Arial" w:hAnsi="Arial" w:eastAsia="黑体"/>
      <w:sz w:val="36"/>
      <w:szCs w:val="20"/>
    </w:rPr>
  </w:style>
  <w:style w:type="paragraph" w:styleId="17">
    <w:name w:val="annotation text"/>
    <w:basedOn w:val="1"/>
    <w:link w:val="219"/>
    <w:unhideWhenUsed/>
    <w:qFormat/>
    <w:uiPriority w:val="99"/>
    <w:pPr>
      <w:jc w:val="left"/>
    </w:pPr>
  </w:style>
  <w:style w:type="paragraph" w:styleId="18">
    <w:name w:val="Body Text 3"/>
    <w:basedOn w:val="1"/>
    <w:link w:val="220"/>
    <w:qFormat/>
    <w:uiPriority w:val="0"/>
    <w:pPr>
      <w:spacing w:after="120"/>
    </w:pPr>
    <w:rPr>
      <w:sz w:val="16"/>
      <w:szCs w:val="16"/>
    </w:rPr>
  </w:style>
  <w:style w:type="paragraph" w:styleId="19">
    <w:name w:val="Body Text"/>
    <w:basedOn w:val="1"/>
    <w:next w:val="1"/>
    <w:link w:val="221"/>
    <w:qFormat/>
    <w:uiPriority w:val="0"/>
    <w:rPr>
      <w:rFonts w:ascii="仿宋_GB2312" w:eastAsia="仿宋_GB2312"/>
      <w:sz w:val="24"/>
      <w:szCs w:val="20"/>
    </w:rPr>
  </w:style>
  <w:style w:type="paragraph" w:styleId="20">
    <w:name w:val="Body Text Indent"/>
    <w:basedOn w:val="1"/>
    <w:next w:val="21"/>
    <w:link w:val="222"/>
    <w:qFormat/>
    <w:uiPriority w:val="0"/>
    <w:pPr>
      <w:ind w:left="765"/>
    </w:pPr>
    <w:rPr>
      <w:rFonts w:ascii="仿宋_GB2312" w:eastAsia="仿宋_GB2312"/>
      <w:sz w:val="28"/>
      <w:szCs w:val="20"/>
    </w:rPr>
  </w:style>
  <w:style w:type="paragraph" w:styleId="21">
    <w:name w:val="envelope return"/>
    <w:basedOn w:val="1"/>
    <w:unhideWhenUsed/>
    <w:qFormat/>
    <w:uiPriority w:val="99"/>
    <w:rPr>
      <w:rFonts w:ascii="Arial" w:hAnsi="Arial"/>
    </w:rPr>
  </w:style>
  <w:style w:type="paragraph" w:styleId="22">
    <w:name w:val="Block Text"/>
    <w:basedOn w:val="1"/>
    <w:next w:val="19"/>
    <w:qFormat/>
    <w:uiPriority w:val="0"/>
    <w:pPr>
      <w:spacing w:line="360" w:lineRule="auto"/>
      <w:ind w:right="210" w:firstLine="560"/>
    </w:pPr>
    <w:rPr>
      <w:rFonts w:ascii="宋体" w:hAnsi="宋体"/>
      <w:color w:val="000000"/>
      <w:spacing w:val="20"/>
      <w:sz w:val="24"/>
      <w:szCs w:val="18"/>
    </w:rPr>
  </w:style>
  <w:style w:type="paragraph" w:styleId="23">
    <w:name w:val="toc 5"/>
    <w:basedOn w:val="1"/>
    <w:next w:val="1"/>
    <w:unhideWhenUsed/>
    <w:qFormat/>
    <w:uiPriority w:val="39"/>
    <w:pPr>
      <w:spacing w:after="57"/>
      <w:ind w:left="1134" w:right="0" w:firstLine="0"/>
    </w:pPr>
  </w:style>
  <w:style w:type="paragraph" w:styleId="24">
    <w:name w:val="toc 3"/>
    <w:basedOn w:val="1"/>
    <w:next w:val="1"/>
    <w:unhideWhenUsed/>
    <w:qFormat/>
    <w:uiPriority w:val="39"/>
    <w:pPr>
      <w:ind w:left="840"/>
    </w:pPr>
  </w:style>
  <w:style w:type="paragraph" w:styleId="25">
    <w:name w:val="Plain Text"/>
    <w:basedOn w:val="1"/>
    <w:link w:val="223"/>
    <w:qFormat/>
    <w:uiPriority w:val="0"/>
    <w:rPr>
      <w:rFonts w:ascii="宋体" w:hAnsi="Courier New"/>
      <w:sz w:val="20"/>
      <w:szCs w:val="21"/>
    </w:rPr>
  </w:style>
  <w:style w:type="paragraph" w:styleId="26">
    <w:name w:val="toc 8"/>
    <w:basedOn w:val="1"/>
    <w:next w:val="1"/>
    <w:unhideWhenUsed/>
    <w:qFormat/>
    <w:uiPriority w:val="39"/>
    <w:pPr>
      <w:spacing w:after="57"/>
      <w:ind w:left="1984" w:right="0" w:firstLine="0"/>
    </w:pPr>
  </w:style>
  <w:style w:type="paragraph" w:styleId="27">
    <w:name w:val="Date"/>
    <w:basedOn w:val="1"/>
    <w:next w:val="1"/>
    <w:link w:val="224"/>
    <w:qFormat/>
    <w:uiPriority w:val="0"/>
    <w:rPr>
      <w:sz w:val="24"/>
      <w:szCs w:val="20"/>
    </w:rPr>
  </w:style>
  <w:style w:type="paragraph" w:styleId="28">
    <w:name w:val="Body Text Indent 2"/>
    <w:basedOn w:val="1"/>
    <w:link w:val="225"/>
    <w:qFormat/>
    <w:uiPriority w:val="0"/>
    <w:pPr>
      <w:spacing w:line="500" w:lineRule="exact"/>
      <w:ind w:firstLine="560"/>
    </w:pPr>
    <w:rPr>
      <w:rFonts w:eastAsia="仿宋_GB2312"/>
      <w:sz w:val="28"/>
      <w:szCs w:val="20"/>
    </w:rPr>
  </w:style>
  <w:style w:type="paragraph" w:styleId="29">
    <w:name w:val="endnote text"/>
    <w:basedOn w:val="1"/>
    <w:link w:val="203"/>
    <w:semiHidden/>
    <w:unhideWhenUsed/>
    <w:qFormat/>
    <w:uiPriority w:val="99"/>
    <w:pPr>
      <w:spacing w:after="0" w:line="240" w:lineRule="auto"/>
    </w:pPr>
    <w:rPr>
      <w:sz w:val="20"/>
    </w:rPr>
  </w:style>
  <w:style w:type="paragraph" w:styleId="30">
    <w:name w:val="Balloon Text"/>
    <w:basedOn w:val="1"/>
    <w:link w:val="226"/>
    <w:semiHidden/>
    <w:qFormat/>
    <w:uiPriority w:val="0"/>
    <w:rPr>
      <w:sz w:val="18"/>
      <w:szCs w:val="18"/>
    </w:rPr>
  </w:style>
  <w:style w:type="paragraph" w:styleId="31">
    <w:name w:val="footer"/>
    <w:basedOn w:val="1"/>
    <w:link w:val="227"/>
    <w:qFormat/>
    <w:uiPriority w:val="99"/>
    <w:pPr>
      <w:tabs>
        <w:tab w:val="center" w:pos="4153"/>
        <w:tab w:val="right" w:pos="8306"/>
      </w:tabs>
      <w:jc w:val="left"/>
    </w:pPr>
    <w:rPr>
      <w:sz w:val="18"/>
      <w:szCs w:val="20"/>
    </w:rPr>
  </w:style>
  <w:style w:type="paragraph" w:styleId="32">
    <w:name w:val="header"/>
    <w:basedOn w:val="1"/>
    <w:link w:val="228"/>
    <w:qFormat/>
    <w:uiPriority w:val="0"/>
    <w:pPr>
      <w:pBdr>
        <w:bottom w:val="single" w:color="auto" w:sz="6" w:space="1"/>
      </w:pBdr>
      <w:tabs>
        <w:tab w:val="center" w:pos="4153"/>
        <w:tab w:val="right" w:pos="8306"/>
      </w:tabs>
      <w:jc w:val="center"/>
    </w:pPr>
    <w:rPr>
      <w:sz w:val="18"/>
      <w:szCs w:val="18"/>
    </w:rPr>
  </w:style>
  <w:style w:type="paragraph" w:styleId="33">
    <w:name w:val="toc 1"/>
    <w:basedOn w:val="1"/>
    <w:next w:val="1"/>
    <w:semiHidden/>
    <w:qFormat/>
    <w:uiPriority w:val="0"/>
    <w:rPr>
      <w:sz w:val="24"/>
    </w:rPr>
  </w:style>
  <w:style w:type="paragraph" w:styleId="34">
    <w:name w:val="toc 4"/>
    <w:basedOn w:val="1"/>
    <w:next w:val="1"/>
    <w:unhideWhenUsed/>
    <w:qFormat/>
    <w:uiPriority w:val="39"/>
    <w:pPr>
      <w:spacing w:after="57"/>
      <w:ind w:left="850" w:right="0" w:firstLine="0"/>
    </w:pPr>
  </w:style>
  <w:style w:type="paragraph" w:styleId="35">
    <w:name w:val="Subtitle"/>
    <w:basedOn w:val="1"/>
    <w:next w:val="1"/>
    <w:link w:val="69"/>
    <w:qFormat/>
    <w:uiPriority w:val="11"/>
    <w:pPr>
      <w:spacing w:before="200" w:after="200"/>
    </w:pPr>
    <w:rPr>
      <w:sz w:val="24"/>
      <w:szCs w:val="24"/>
    </w:rPr>
  </w:style>
  <w:style w:type="paragraph" w:styleId="36">
    <w:name w:val="List"/>
    <w:basedOn w:val="1"/>
    <w:qFormat/>
    <w:uiPriority w:val="0"/>
    <w:pPr>
      <w:ind w:left="200" w:hanging="200"/>
    </w:pPr>
  </w:style>
  <w:style w:type="paragraph" w:styleId="37">
    <w:name w:val="footnote text"/>
    <w:basedOn w:val="1"/>
    <w:link w:val="202"/>
    <w:semiHidden/>
    <w:unhideWhenUsed/>
    <w:qFormat/>
    <w:uiPriority w:val="99"/>
    <w:pPr>
      <w:spacing w:after="40" w:line="240" w:lineRule="auto"/>
    </w:pPr>
    <w:rPr>
      <w:sz w:val="18"/>
    </w:rPr>
  </w:style>
  <w:style w:type="paragraph" w:styleId="38">
    <w:name w:val="toc 6"/>
    <w:basedOn w:val="1"/>
    <w:next w:val="1"/>
    <w:unhideWhenUsed/>
    <w:qFormat/>
    <w:uiPriority w:val="39"/>
    <w:pPr>
      <w:spacing w:after="57"/>
      <w:ind w:left="1417" w:right="0" w:firstLine="0"/>
    </w:pPr>
  </w:style>
  <w:style w:type="paragraph" w:styleId="39">
    <w:name w:val="Body Text Indent 3"/>
    <w:basedOn w:val="1"/>
    <w:link w:val="229"/>
    <w:qFormat/>
    <w:uiPriority w:val="0"/>
    <w:pPr>
      <w:spacing w:after="120"/>
      <w:ind w:left="420"/>
    </w:pPr>
    <w:rPr>
      <w:sz w:val="16"/>
      <w:szCs w:val="16"/>
    </w:rPr>
  </w:style>
  <w:style w:type="paragraph" w:styleId="40">
    <w:name w:val="table of figures"/>
    <w:basedOn w:val="1"/>
    <w:next w:val="1"/>
    <w:unhideWhenUsed/>
    <w:qFormat/>
    <w:uiPriority w:val="99"/>
    <w:pPr>
      <w:spacing w:after="0" w:afterAutospacing="0"/>
    </w:pPr>
  </w:style>
  <w:style w:type="paragraph" w:styleId="41">
    <w:name w:val="toc 2"/>
    <w:basedOn w:val="1"/>
    <w:next w:val="1"/>
    <w:unhideWhenUsed/>
    <w:qFormat/>
    <w:uiPriority w:val="39"/>
    <w:pPr>
      <w:ind w:left="420"/>
    </w:pPr>
  </w:style>
  <w:style w:type="paragraph" w:styleId="42">
    <w:name w:val="toc 9"/>
    <w:basedOn w:val="1"/>
    <w:next w:val="1"/>
    <w:unhideWhenUsed/>
    <w:qFormat/>
    <w:uiPriority w:val="39"/>
    <w:pPr>
      <w:spacing w:after="57"/>
      <w:ind w:left="2268" w:right="0" w:firstLine="0"/>
    </w:pPr>
  </w:style>
  <w:style w:type="paragraph" w:styleId="43">
    <w:name w:val="Body Text 2"/>
    <w:basedOn w:val="1"/>
    <w:link w:val="230"/>
    <w:qFormat/>
    <w:uiPriority w:val="0"/>
    <w:rPr>
      <w:b/>
      <w:bCs/>
      <w:sz w:val="18"/>
    </w:rPr>
  </w:style>
  <w:style w:type="paragraph" w:styleId="44">
    <w:name w:val="Normal (Web)"/>
    <w:basedOn w:val="1"/>
    <w:qFormat/>
    <w:uiPriority w:val="0"/>
    <w:pPr>
      <w:widowControl/>
      <w:spacing w:before="100" w:beforeAutospacing="1" w:after="100" w:afterAutospacing="1"/>
      <w:jc w:val="left"/>
    </w:pPr>
    <w:rPr>
      <w:rFonts w:ascii="宋体" w:hAnsi="宋体"/>
      <w:color w:val="000000"/>
      <w:sz w:val="24"/>
    </w:rPr>
  </w:style>
  <w:style w:type="paragraph" w:styleId="45">
    <w:name w:val="Title"/>
    <w:basedOn w:val="1"/>
    <w:next w:val="1"/>
    <w:link w:val="68"/>
    <w:qFormat/>
    <w:uiPriority w:val="10"/>
    <w:pPr>
      <w:spacing w:before="300" w:after="200"/>
      <w:contextualSpacing/>
    </w:pPr>
    <w:rPr>
      <w:sz w:val="48"/>
      <w:szCs w:val="48"/>
    </w:rPr>
  </w:style>
  <w:style w:type="paragraph" w:styleId="46">
    <w:name w:val="annotation subject"/>
    <w:basedOn w:val="17"/>
    <w:next w:val="17"/>
    <w:link w:val="231"/>
    <w:unhideWhenUsed/>
    <w:qFormat/>
    <w:uiPriority w:val="99"/>
    <w:rPr>
      <w:b/>
      <w:bCs/>
    </w:rPr>
  </w:style>
  <w:style w:type="paragraph" w:styleId="47">
    <w:name w:val="Body Text First Indent"/>
    <w:basedOn w:val="19"/>
    <w:link w:val="232"/>
    <w:qFormat/>
    <w:uiPriority w:val="0"/>
    <w:pPr>
      <w:spacing w:after="120"/>
      <w:ind w:firstLine="420"/>
    </w:pPr>
    <w:rPr>
      <w:rFonts w:ascii="Times New Roman" w:eastAsia="宋体"/>
      <w:szCs w:val="24"/>
    </w:rPr>
  </w:style>
  <w:style w:type="paragraph" w:styleId="48">
    <w:name w:val="Body Text First Indent 2"/>
    <w:basedOn w:val="20"/>
    <w:unhideWhenUsed/>
    <w:qFormat/>
    <w:uiPriority w:val="99"/>
    <w:pPr>
      <w:ind w:firstLine="200"/>
    </w:pPr>
  </w:style>
  <w:style w:type="table" w:styleId="50">
    <w:name w:val="Table Grid"/>
    <w:basedOn w:val="4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2">
    <w:name w:val="Strong"/>
    <w:qFormat/>
    <w:uiPriority w:val="0"/>
    <w:rPr>
      <w:b/>
      <w:bCs/>
    </w:rPr>
  </w:style>
  <w:style w:type="character" w:styleId="53">
    <w:name w:val="endnote reference"/>
    <w:basedOn w:val="51"/>
    <w:semiHidden/>
    <w:unhideWhenUsed/>
    <w:qFormat/>
    <w:uiPriority w:val="99"/>
    <w:rPr>
      <w:vertAlign w:val="superscript"/>
    </w:rPr>
  </w:style>
  <w:style w:type="character" w:styleId="54">
    <w:name w:val="page number"/>
    <w:qFormat/>
    <w:uiPriority w:val="0"/>
  </w:style>
  <w:style w:type="character" w:styleId="55">
    <w:name w:val="FollowedHyperlink"/>
    <w:qFormat/>
    <w:uiPriority w:val="0"/>
    <w:rPr>
      <w:color w:val="800080"/>
      <w:u w:val="single"/>
    </w:rPr>
  </w:style>
  <w:style w:type="character" w:styleId="56">
    <w:name w:val="Hyperlink"/>
    <w:qFormat/>
    <w:uiPriority w:val="0"/>
    <w:rPr>
      <w:color w:val="0000FF"/>
      <w:u w:val="single"/>
    </w:rPr>
  </w:style>
  <w:style w:type="character" w:styleId="57">
    <w:name w:val="annotation reference"/>
    <w:unhideWhenUsed/>
    <w:qFormat/>
    <w:uiPriority w:val="99"/>
    <w:rPr>
      <w:sz w:val="21"/>
      <w:szCs w:val="21"/>
    </w:rPr>
  </w:style>
  <w:style w:type="character" w:styleId="58">
    <w:name w:val="footnote reference"/>
    <w:basedOn w:val="51"/>
    <w:unhideWhenUsed/>
    <w:qFormat/>
    <w:uiPriority w:val="99"/>
    <w:rPr>
      <w:vertAlign w:val="superscript"/>
    </w:rPr>
  </w:style>
  <w:style w:type="character" w:customStyle="1" w:styleId="59">
    <w:name w:val="Heading 1 Char"/>
    <w:basedOn w:val="51"/>
    <w:qFormat/>
    <w:uiPriority w:val="9"/>
    <w:rPr>
      <w:rFonts w:ascii="Arial" w:hAnsi="Arial" w:eastAsia="Arial" w:cs="Arial"/>
      <w:sz w:val="40"/>
      <w:szCs w:val="40"/>
    </w:rPr>
  </w:style>
  <w:style w:type="character" w:customStyle="1" w:styleId="60">
    <w:name w:val="Heading 2 Char"/>
    <w:basedOn w:val="51"/>
    <w:qFormat/>
    <w:uiPriority w:val="9"/>
    <w:rPr>
      <w:rFonts w:ascii="Arial" w:hAnsi="Arial" w:eastAsia="Arial" w:cs="Arial"/>
      <w:sz w:val="34"/>
    </w:rPr>
  </w:style>
  <w:style w:type="character" w:customStyle="1" w:styleId="61">
    <w:name w:val="Heading 3 Char"/>
    <w:basedOn w:val="51"/>
    <w:qFormat/>
    <w:uiPriority w:val="9"/>
    <w:rPr>
      <w:rFonts w:ascii="Arial" w:hAnsi="Arial" w:eastAsia="Arial" w:cs="Arial"/>
      <w:sz w:val="30"/>
      <w:szCs w:val="30"/>
    </w:rPr>
  </w:style>
  <w:style w:type="character" w:customStyle="1" w:styleId="62">
    <w:name w:val="Heading 4 Char"/>
    <w:basedOn w:val="51"/>
    <w:qFormat/>
    <w:uiPriority w:val="9"/>
    <w:rPr>
      <w:rFonts w:ascii="Arial" w:hAnsi="Arial" w:eastAsia="Arial" w:cs="Arial"/>
      <w:b/>
      <w:bCs/>
      <w:sz w:val="26"/>
      <w:szCs w:val="26"/>
    </w:rPr>
  </w:style>
  <w:style w:type="character" w:customStyle="1" w:styleId="63">
    <w:name w:val="Heading 5 Char"/>
    <w:basedOn w:val="51"/>
    <w:qFormat/>
    <w:uiPriority w:val="9"/>
    <w:rPr>
      <w:rFonts w:ascii="Arial" w:hAnsi="Arial" w:eastAsia="Arial" w:cs="Arial"/>
      <w:b/>
      <w:bCs/>
      <w:sz w:val="24"/>
      <w:szCs w:val="24"/>
    </w:rPr>
  </w:style>
  <w:style w:type="character" w:customStyle="1" w:styleId="64">
    <w:name w:val="Heading 6 Char"/>
    <w:basedOn w:val="51"/>
    <w:qFormat/>
    <w:uiPriority w:val="9"/>
    <w:rPr>
      <w:rFonts w:ascii="Arial" w:hAnsi="Arial" w:eastAsia="Arial" w:cs="Arial"/>
      <w:b/>
      <w:bCs/>
      <w:sz w:val="22"/>
      <w:szCs w:val="22"/>
    </w:rPr>
  </w:style>
  <w:style w:type="character" w:customStyle="1" w:styleId="65">
    <w:name w:val="Heading 7 Char"/>
    <w:basedOn w:val="51"/>
    <w:qFormat/>
    <w:uiPriority w:val="9"/>
    <w:rPr>
      <w:rFonts w:ascii="Arial" w:hAnsi="Arial" w:eastAsia="Arial" w:cs="Arial"/>
      <w:b/>
      <w:bCs/>
      <w:i/>
      <w:iCs/>
      <w:sz w:val="22"/>
      <w:szCs w:val="22"/>
    </w:rPr>
  </w:style>
  <w:style w:type="character" w:customStyle="1" w:styleId="66">
    <w:name w:val="Heading 8 Char"/>
    <w:basedOn w:val="51"/>
    <w:qFormat/>
    <w:uiPriority w:val="9"/>
    <w:rPr>
      <w:rFonts w:ascii="Arial" w:hAnsi="Arial" w:eastAsia="Arial" w:cs="Arial"/>
      <w:i/>
      <w:iCs/>
      <w:sz w:val="22"/>
      <w:szCs w:val="22"/>
    </w:rPr>
  </w:style>
  <w:style w:type="character" w:customStyle="1" w:styleId="67">
    <w:name w:val="Heading 9 Char"/>
    <w:basedOn w:val="51"/>
    <w:qFormat/>
    <w:uiPriority w:val="9"/>
    <w:rPr>
      <w:rFonts w:ascii="Arial" w:hAnsi="Arial" w:eastAsia="Arial" w:cs="Arial"/>
      <w:i/>
      <w:iCs/>
      <w:sz w:val="21"/>
      <w:szCs w:val="21"/>
    </w:rPr>
  </w:style>
  <w:style w:type="character" w:customStyle="1" w:styleId="68">
    <w:name w:val="Title Char"/>
    <w:basedOn w:val="51"/>
    <w:link w:val="45"/>
    <w:qFormat/>
    <w:uiPriority w:val="10"/>
    <w:rPr>
      <w:sz w:val="48"/>
      <w:szCs w:val="48"/>
    </w:rPr>
  </w:style>
  <w:style w:type="character" w:customStyle="1" w:styleId="69">
    <w:name w:val="Subtitle Char"/>
    <w:basedOn w:val="51"/>
    <w:link w:val="35"/>
    <w:qFormat/>
    <w:uiPriority w:val="11"/>
    <w:rPr>
      <w:sz w:val="24"/>
      <w:szCs w:val="24"/>
    </w:rPr>
  </w:style>
  <w:style w:type="paragraph" w:styleId="70">
    <w:name w:val="Quote"/>
    <w:basedOn w:val="1"/>
    <w:next w:val="1"/>
    <w:link w:val="71"/>
    <w:qFormat/>
    <w:uiPriority w:val="29"/>
    <w:pPr>
      <w:ind w:left="720" w:right="720"/>
    </w:pPr>
    <w:rPr>
      <w:i/>
    </w:rPr>
  </w:style>
  <w:style w:type="character" w:customStyle="1" w:styleId="71">
    <w:name w:val="Quote Char"/>
    <w:link w:val="70"/>
    <w:qFormat/>
    <w:uiPriority w:val="29"/>
    <w:rPr>
      <w:i/>
    </w:rPr>
  </w:style>
  <w:style w:type="paragraph" w:styleId="72">
    <w:name w:val="Intense Quote"/>
    <w:basedOn w:val="1"/>
    <w:next w:val="1"/>
    <w:link w:val="7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3">
    <w:name w:val="Intense Quote Char"/>
    <w:link w:val="72"/>
    <w:qFormat/>
    <w:uiPriority w:val="30"/>
    <w:rPr>
      <w:i/>
    </w:rPr>
  </w:style>
  <w:style w:type="character" w:customStyle="1" w:styleId="74">
    <w:name w:val="Header Char"/>
    <w:basedOn w:val="51"/>
    <w:qFormat/>
    <w:uiPriority w:val="99"/>
  </w:style>
  <w:style w:type="character" w:customStyle="1" w:styleId="75">
    <w:name w:val="Footer Char"/>
    <w:basedOn w:val="51"/>
    <w:qFormat/>
    <w:uiPriority w:val="99"/>
  </w:style>
  <w:style w:type="character" w:customStyle="1" w:styleId="76">
    <w:name w:val="Caption Char"/>
    <w:qFormat/>
    <w:uiPriority w:val="99"/>
  </w:style>
  <w:style w:type="table" w:customStyle="1" w:styleId="77">
    <w:name w:val="Table Grid Light"/>
    <w:basedOn w:val="4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8">
    <w:name w:val="Plain Table 1"/>
    <w:basedOn w:val="4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9">
    <w:name w:val="Plain Table 2"/>
    <w:basedOn w:val="4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0">
    <w:name w:val="Plain Table 3"/>
    <w:basedOn w:val="4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4"/>
    <w:basedOn w:val="4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Plain Table 5"/>
    <w:basedOn w:val="4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Grid Table 1 Light"/>
    <w:basedOn w:val="4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4">
    <w:name w:val="Grid Table 1 Light - Accent 1"/>
    <w:basedOn w:val="49"/>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5">
    <w:name w:val="Grid Table 1 Light - Accent 2"/>
    <w:basedOn w:val="49"/>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6">
    <w:name w:val="Grid Table 1 Light - Accent 3"/>
    <w:basedOn w:val="49"/>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7">
    <w:name w:val="Grid Table 1 Light - Accent 4"/>
    <w:basedOn w:val="49"/>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8">
    <w:name w:val="Grid Table 1 Light - Accent 5"/>
    <w:basedOn w:val="49"/>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9">
    <w:name w:val="Grid Table 1 Light - Accent 6"/>
    <w:basedOn w:val="49"/>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0">
    <w:name w:val="Grid Table 2"/>
    <w:basedOn w:val="4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2 - Accent 1"/>
    <w:basedOn w:val="49"/>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2">
    <w:name w:val="Grid Table 2 - Accent 2"/>
    <w:basedOn w:val="49"/>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2 - Accent 3"/>
    <w:basedOn w:val="49"/>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2 - Accent 4"/>
    <w:basedOn w:val="49"/>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2 - Accent 5"/>
    <w:basedOn w:val="49"/>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2 - Accent 6"/>
    <w:basedOn w:val="49"/>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Grid Table 3"/>
    <w:basedOn w:val="4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3 - Accent 1"/>
    <w:basedOn w:val="49"/>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9">
    <w:name w:val="Grid Table 3 - Accent 2"/>
    <w:basedOn w:val="49"/>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3 - Accent 3"/>
    <w:basedOn w:val="49"/>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3 - Accent 4"/>
    <w:basedOn w:val="49"/>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3 - Accent 5"/>
    <w:basedOn w:val="49"/>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3 - Accent 6"/>
    <w:basedOn w:val="49"/>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Grid Table 4"/>
    <w:basedOn w:val="4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4 - Accent 1"/>
    <w:basedOn w:val="49"/>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6">
    <w:name w:val="Grid Table 4 - Accent 2"/>
    <w:basedOn w:val="49"/>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7">
    <w:name w:val="Grid Table 4 - Accent 3"/>
    <w:basedOn w:val="49"/>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8">
    <w:name w:val="Grid Table 4 - Accent 4"/>
    <w:basedOn w:val="49"/>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9">
    <w:name w:val="Grid Table 4 - Accent 5"/>
    <w:basedOn w:val="49"/>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0">
    <w:name w:val="Grid Table 4 - Accent 6"/>
    <w:basedOn w:val="49"/>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1">
    <w:name w:val="Grid Table 5 Dark"/>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2">
    <w:name w:val="Grid Table 5 Dark- Accent 1"/>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3">
    <w:name w:val="Grid Table 5 Dark - Accent 2"/>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4">
    <w:name w:val="Grid Table 5 Dark - Accent 3"/>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5">
    <w:name w:val="Grid Table 5 Dark- Accent 4"/>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6">
    <w:name w:val="Grid Table 5 Dark - Accent 5"/>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7">
    <w:name w:val="Grid Table 5 Dark - Accent 6"/>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8">
    <w:name w:val="Grid Table 6 Colorful"/>
    <w:basedOn w:val="4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6 Colorful - Accent 1"/>
    <w:basedOn w:val="49"/>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0">
    <w:name w:val="Grid Table 6 Colorful - Accent 2"/>
    <w:basedOn w:val="49"/>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1">
    <w:name w:val="Grid Table 6 Colorful - Accent 3"/>
    <w:basedOn w:val="49"/>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2">
    <w:name w:val="Grid Table 6 Colorful - Accent 4"/>
    <w:basedOn w:val="49"/>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3">
    <w:name w:val="Grid Table 6 Colorful - Accent 5"/>
    <w:basedOn w:val="49"/>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4">
    <w:name w:val="Grid Table 6 Colorful - Accent 6"/>
    <w:basedOn w:val="49"/>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5">
    <w:name w:val="Grid Table 7 Colorful"/>
    <w:basedOn w:val="4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6">
    <w:name w:val="Grid Table 7 Colorful - Accent 1"/>
    <w:basedOn w:val="49"/>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7">
    <w:name w:val="Grid Table 7 Colorful - Accent 2"/>
    <w:basedOn w:val="49"/>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8">
    <w:name w:val="Grid Table 7 Colorful - Accent 3"/>
    <w:basedOn w:val="49"/>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9">
    <w:name w:val="Grid Table 7 Colorful - Accent 4"/>
    <w:basedOn w:val="49"/>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0">
    <w:name w:val="Grid Table 7 Colorful - Accent 5"/>
    <w:basedOn w:val="49"/>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1">
    <w:name w:val="Grid Table 7 Colorful - Accent 6"/>
    <w:basedOn w:val="49"/>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2">
    <w:name w:val="List Table 1 Light"/>
    <w:basedOn w:val="4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3">
    <w:name w:val="List Table 1 Light - Accent 1"/>
    <w:basedOn w:val="49"/>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4">
    <w:name w:val="List Table 1 Light - Accent 2"/>
    <w:basedOn w:val="49"/>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5">
    <w:name w:val="List Table 1 Light - Accent 3"/>
    <w:basedOn w:val="49"/>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6">
    <w:name w:val="List Table 1 Light - Accent 4"/>
    <w:basedOn w:val="49"/>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7">
    <w:name w:val="List Table 1 Light - Accent 5"/>
    <w:basedOn w:val="49"/>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8">
    <w:name w:val="List Table 1 Light - Accent 6"/>
    <w:basedOn w:val="49"/>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9">
    <w:name w:val="List Table 2"/>
    <w:basedOn w:val="4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2 - Accent 1"/>
    <w:basedOn w:val="49"/>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2 - Accent 2"/>
    <w:basedOn w:val="49"/>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2 - Accent 3"/>
    <w:basedOn w:val="49"/>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2 - Accent 4"/>
    <w:basedOn w:val="49"/>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2 - Accent 5"/>
    <w:basedOn w:val="49"/>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2 - Accent 6"/>
    <w:basedOn w:val="49"/>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List Table 3"/>
    <w:basedOn w:val="4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7">
    <w:name w:val="List Table 3 - Accent 1"/>
    <w:basedOn w:val="49"/>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8">
    <w:name w:val="List Table 3 - Accent 2"/>
    <w:basedOn w:val="49"/>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9">
    <w:name w:val="List Table 3 - Accent 3"/>
    <w:basedOn w:val="49"/>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0">
    <w:name w:val="List Table 3 - Accent 4"/>
    <w:basedOn w:val="49"/>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1">
    <w:name w:val="List Table 3 - Accent 5"/>
    <w:basedOn w:val="49"/>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2">
    <w:name w:val="List Table 3 - Accent 6"/>
    <w:basedOn w:val="49"/>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3">
    <w:name w:val="List Table 4"/>
    <w:basedOn w:val="4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4">
    <w:name w:val="List Table 4 - Accent 1"/>
    <w:basedOn w:val="49"/>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5">
    <w:name w:val="List Table 4 - Accent 2"/>
    <w:basedOn w:val="49"/>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6">
    <w:name w:val="List Table 4 - Accent 3"/>
    <w:basedOn w:val="49"/>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7">
    <w:name w:val="List Table 4 - Accent 4"/>
    <w:basedOn w:val="49"/>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8">
    <w:name w:val="List Table 4 - Accent 5"/>
    <w:basedOn w:val="49"/>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9">
    <w:name w:val="List Table 4 - Accent 6"/>
    <w:basedOn w:val="49"/>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0">
    <w:name w:val="List Table 5 Dark"/>
    <w:basedOn w:val="4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1">
    <w:name w:val="List Table 5 Dark - Accent 1"/>
    <w:basedOn w:val="49"/>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2">
    <w:name w:val="List Table 5 Dark - Accent 2"/>
    <w:basedOn w:val="49"/>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3">
    <w:name w:val="List Table 5 Dark - Accent 3"/>
    <w:basedOn w:val="49"/>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4">
    <w:name w:val="List Table 5 Dark - Accent 4"/>
    <w:basedOn w:val="49"/>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5">
    <w:name w:val="List Table 5 Dark - Accent 5"/>
    <w:basedOn w:val="49"/>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6">
    <w:name w:val="List Table 5 Dark - Accent 6"/>
    <w:basedOn w:val="49"/>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7">
    <w:name w:val="List Table 6 Colorful"/>
    <w:basedOn w:val="4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8">
    <w:name w:val="List Table 6 Colorful - Accent 1"/>
    <w:basedOn w:val="49"/>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9">
    <w:name w:val="List Table 6 Colorful - Accent 2"/>
    <w:basedOn w:val="49"/>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List Table 6 Colorful - Accent 3"/>
    <w:basedOn w:val="49"/>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1">
    <w:name w:val="List Table 6 Colorful - Accent 4"/>
    <w:basedOn w:val="49"/>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List Table 6 Colorful - Accent 5"/>
    <w:basedOn w:val="49"/>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3">
    <w:name w:val="List Table 6 Colorful - Accent 6"/>
    <w:basedOn w:val="49"/>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4">
    <w:name w:val="List Table 7 Colorful"/>
    <w:basedOn w:val="4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5">
    <w:name w:val="List Table 7 Colorful - Accent 1"/>
    <w:basedOn w:val="49"/>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6">
    <w:name w:val="List Table 7 Colorful - Accent 2"/>
    <w:basedOn w:val="49"/>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7">
    <w:name w:val="List Table 7 Colorful - Accent 3"/>
    <w:basedOn w:val="49"/>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8">
    <w:name w:val="List Table 7 Colorful - Accent 4"/>
    <w:basedOn w:val="49"/>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9">
    <w:name w:val="List Table 7 Colorful - Accent 5"/>
    <w:basedOn w:val="49"/>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0">
    <w:name w:val="List Table 7 Colorful - Accent 6"/>
    <w:basedOn w:val="49"/>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1">
    <w:name w:val="Lined - Accent"/>
    <w:basedOn w:val="4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Lined - Accent 1"/>
    <w:basedOn w:val="49"/>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3">
    <w:name w:val="Lined - Accent 2"/>
    <w:basedOn w:val="49"/>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4">
    <w:name w:val="Lined - Accent 3"/>
    <w:basedOn w:val="49"/>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5">
    <w:name w:val="Lined - Accent 4"/>
    <w:basedOn w:val="49"/>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6">
    <w:name w:val="Lined - Accent 5"/>
    <w:basedOn w:val="49"/>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7">
    <w:name w:val="Lined - Accent 6"/>
    <w:basedOn w:val="49"/>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8">
    <w:name w:val="Bordered &amp; Lined - Accent"/>
    <w:basedOn w:val="4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9">
    <w:name w:val="Bordered &amp; Lined - Accent 1"/>
    <w:basedOn w:val="49"/>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0">
    <w:name w:val="Bordered &amp; Lined - Accent 2"/>
    <w:basedOn w:val="49"/>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1">
    <w:name w:val="Bordered &amp; Lined - Accent 3"/>
    <w:basedOn w:val="49"/>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2">
    <w:name w:val="Bordered &amp; Lined - Accent 4"/>
    <w:basedOn w:val="49"/>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3">
    <w:name w:val="Bordered &amp; Lined - Accent 5"/>
    <w:basedOn w:val="49"/>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4">
    <w:name w:val="Bordered &amp; Lined - Accent 6"/>
    <w:basedOn w:val="49"/>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5">
    <w:name w:val="Bordered"/>
    <w:basedOn w:val="4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6">
    <w:name w:val="Bordered - Accent 1"/>
    <w:basedOn w:val="49"/>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7">
    <w:name w:val="Bordered - Accent 2"/>
    <w:basedOn w:val="49"/>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8">
    <w:name w:val="Bordered - Accent 3"/>
    <w:basedOn w:val="49"/>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9">
    <w:name w:val="Bordered - Accent 4"/>
    <w:basedOn w:val="49"/>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0">
    <w:name w:val="Bordered - Accent 5"/>
    <w:basedOn w:val="49"/>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1">
    <w:name w:val="Bordered - Accent 6"/>
    <w:basedOn w:val="49"/>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2">
    <w:name w:val="Footnote Text Char"/>
    <w:link w:val="37"/>
    <w:qFormat/>
    <w:uiPriority w:val="99"/>
    <w:rPr>
      <w:sz w:val="18"/>
    </w:rPr>
  </w:style>
  <w:style w:type="character" w:customStyle="1" w:styleId="203">
    <w:name w:val="Endnote Text Char"/>
    <w:link w:val="29"/>
    <w:qFormat/>
    <w:uiPriority w:val="99"/>
    <w:rPr>
      <w:sz w:val="20"/>
    </w:rPr>
  </w:style>
  <w:style w:type="paragraph" w:customStyle="1" w:styleId="204">
    <w:name w:val="TOC Heading"/>
    <w:unhideWhenUsed/>
    <w:qFormat/>
    <w:uiPriority w:val="39"/>
    <w:rPr>
      <w:rFonts w:hint="default" w:ascii="Times New Roman" w:hAnsi="Times New Roman" w:eastAsia="宋体" w:cs="Times New Roman"/>
    </w:rPr>
  </w:style>
  <w:style w:type="paragraph" w:customStyle="1" w:styleId="205">
    <w:name w:val="目录 82"/>
    <w:next w:val="1"/>
    <w:qFormat/>
    <w:uiPriority w:val="0"/>
    <w:pPr>
      <w:ind w:left="2550"/>
      <w:jc w:val="both"/>
    </w:pPr>
    <w:rPr>
      <w:rFonts w:hint="default" w:ascii="Times New Roman" w:hAnsi="Times New Roman" w:eastAsia="宋体" w:cs="Times New Roman"/>
      <w:sz w:val="21"/>
      <w:lang w:val="en-US" w:eastAsia="zh-CN" w:bidi="ar-SA"/>
    </w:rPr>
  </w:style>
  <w:style w:type="paragraph" w:customStyle="1" w:styleId="206">
    <w:name w:val="标题 41"/>
    <w:basedOn w:val="1"/>
    <w:next w:val="1"/>
    <w:qFormat/>
    <w:uiPriority w:val="0"/>
    <w:pPr>
      <w:keepNext/>
      <w:jc w:val="center"/>
      <w:outlineLvl w:val="3"/>
    </w:pPr>
    <w:rPr>
      <w:rFonts w:eastAsia="新宋体"/>
      <w:sz w:val="30"/>
      <w:szCs w:val="21"/>
    </w:rPr>
  </w:style>
  <w:style w:type="paragraph" w:customStyle="1" w:styleId="207">
    <w:name w:val="标题 21"/>
    <w:basedOn w:val="1"/>
    <w:next w:val="1"/>
    <w:unhideWhenUsed/>
    <w:qFormat/>
    <w:uiPriority w:val="9"/>
    <w:pPr>
      <w:keepNext/>
      <w:keepLines/>
      <w:spacing w:before="360" w:after="200"/>
      <w:outlineLvl w:val="1"/>
    </w:pPr>
    <w:rPr>
      <w:rFonts w:ascii="Arial" w:hAnsi="Arial" w:eastAsia="Arial"/>
      <w:sz w:val="34"/>
      <w:szCs w:val="20"/>
      <w:lang w:eastAsia="en-US"/>
    </w:rPr>
  </w:style>
  <w:style w:type="character" w:customStyle="1" w:styleId="208">
    <w:name w:val="标题 1 字符"/>
    <w:link w:val="2"/>
    <w:qFormat/>
    <w:uiPriority w:val="0"/>
    <w:rPr>
      <w:rFonts w:ascii="Times New Roman" w:hAnsi="Times New Roman" w:eastAsia="宋体" w:cs="Times New Roman"/>
      <w:b/>
      <w:bCs/>
      <w:sz w:val="44"/>
      <w:szCs w:val="44"/>
    </w:rPr>
  </w:style>
  <w:style w:type="character" w:customStyle="1" w:styleId="209">
    <w:name w:val="标题 2 字符"/>
    <w:link w:val="3"/>
    <w:qFormat/>
    <w:uiPriority w:val="0"/>
    <w:rPr>
      <w:rFonts w:ascii="Arial" w:hAnsi="Arial" w:eastAsia="黑体" w:cs="Times New Roman"/>
      <w:b/>
      <w:bCs/>
      <w:sz w:val="32"/>
      <w:szCs w:val="32"/>
    </w:rPr>
  </w:style>
  <w:style w:type="character" w:customStyle="1" w:styleId="210">
    <w:name w:val="标题 3 字符"/>
    <w:link w:val="4"/>
    <w:qFormat/>
    <w:uiPriority w:val="0"/>
    <w:rPr>
      <w:rFonts w:ascii="Times New Roman" w:hAnsi="Times New Roman" w:eastAsia="宋体" w:cs="Times New Roman"/>
      <w:b/>
      <w:bCs/>
      <w:sz w:val="32"/>
      <w:szCs w:val="32"/>
    </w:rPr>
  </w:style>
  <w:style w:type="character" w:customStyle="1" w:styleId="211">
    <w:name w:val="标题 4 字符"/>
    <w:link w:val="5"/>
    <w:qFormat/>
    <w:uiPriority w:val="0"/>
    <w:rPr>
      <w:rFonts w:ascii="Times New Roman" w:hAnsi="Times New Roman" w:eastAsia="新宋体" w:cs="Times New Roman"/>
      <w:sz w:val="30"/>
      <w:szCs w:val="21"/>
    </w:rPr>
  </w:style>
  <w:style w:type="character" w:customStyle="1" w:styleId="212">
    <w:name w:val="标题 5 字符"/>
    <w:link w:val="6"/>
    <w:qFormat/>
    <w:uiPriority w:val="0"/>
    <w:rPr>
      <w:rFonts w:ascii="Times New Roman" w:hAnsi="Times New Roman" w:eastAsia="宋体" w:cs="Times New Roman"/>
      <w:b/>
      <w:bCs/>
      <w:sz w:val="28"/>
      <w:szCs w:val="28"/>
    </w:rPr>
  </w:style>
  <w:style w:type="character" w:customStyle="1" w:styleId="213">
    <w:name w:val="标题 6 字符"/>
    <w:link w:val="7"/>
    <w:qFormat/>
    <w:uiPriority w:val="0"/>
    <w:rPr>
      <w:rFonts w:ascii="Times New Roman" w:hAnsi="Times New Roman" w:eastAsia="宋体" w:cs="Times New Roman"/>
      <w:b/>
      <w:sz w:val="44"/>
      <w:szCs w:val="20"/>
    </w:rPr>
  </w:style>
  <w:style w:type="character" w:customStyle="1" w:styleId="214">
    <w:name w:val="正文缩进 字符"/>
    <w:link w:val="8"/>
    <w:qFormat/>
    <w:uiPriority w:val="0"/>
    <w:rPr>
      <w:rFonts w:ascii="Times New Roman" w:hAnsi="Times New Roman" w:eastAsia="宋体" w:cs="Times New Roman"/>
      <w:sz w:val="20"/>
      <w:szCs w:val="20"/>
    </w:rPr>
  </w:style>
  <w:style w:type="character" w:customStyle="1" w:styleId="215">
    <w:name w:val="标题 7 字符"/>
    <w:link w:val="9"/>
    <w:qFormat/>
    <w:uiPriority w:val="0"/>
    <w:rPr>
      <w:rFonts w:ascii="Times New Roman" w:hAnsi="Times New Roman" w:eastAsia="宋体" w:cs="Times New Roman"/>
      <w:b/>
      <w:bCs/>
      <w:sz w:val="24"/>
      <w:szCs w:val="24"/>
    </w:rPr>
  </w:style>
  <w:style w:type="character" w:customStyle="1" w:styleId="216">
    <w:name w:val="标题 8 字符"/>
    <w:link w:val="10"/>
    <w:qFormat/>
    <w:uiPriority w:val="0"/>
    <w:rPr>
      <w:rFonts w:ascii="Arial" w:hAnsi="Arial" w:eastAsia="黑体" w:cs="Times New Roman"/>
      <w:sz w:val="24"/>
      <w:szCs w:val="24"/>
    </w:rPr>
  </w:style>
  <w:style w:type="character" w:customStyle="1" w:styleId="217">
    <w:name w:val="标题 9 字符"/>
    <w:link w:val="11"/>
    <w:qFormat/>
    <w:uiPriority w:val="0"/>
    <w:rPr>
      <w:rFonts w:ascii="Arial" w:hAnsi="Arial" w:eastAsia="黑体" w:cs="Times New Roman"/>
      <w:sz w:val="24"/>
      <w:szCs w:val="21"/>
    </w:rPr>
  </w:style>
  <w:style w:type="character" w:customStyle="1" w:styleId="218">
    <w:name w:val="文档结构图 字符"/>
    <w:link w:val="15"/>
    <w:semiHidden/>
    <w:qFormat/>
    <w:uiPriority w:val="0"/>
    <w:rPr>
      <w:szCs w:val="24"/>
      <w:shd w:val="clear" w:color="auto" w:fill="000080"/>
    </w:rPr>
  </w:style>
  <w:style w:type="character" w:customStyle="1" w:styleId="219">
    <w:name w:val="批注文字 字符"/>
    <w:link w:val="17"/>
    <w:qFormat/>
    <w:uiPriority w:val="99"/>
    <w:rPr>
      <w:sz w:val="21"/>
      <w:szCs w:val="24"/>
    </w:rPr>
  </w:style>
  <w:style w:type="character" w:customStyle="1" w:styleId="220">
    <w:name w:val="正文文本 3 字符"/>
    <w:link w:val="18"/>
    <w:qFormat/>
    <w:uiPriority w:val="0"/>
    <w:rPr>
      <w:rFonts w:ascii="Times New Roman" w:hAnsi="Times New Roman" w:eastAsia="宋体" w:cs="Times New Roman"/>
      <w:sz w:val="16"/>
      <w:szCs w:val="16"/>
    </w:rPr>
  </w:style>
  <w:style w:type="character" w:customStyle="1" w:styleId="221">
    <w:name w:val="正文文本 字符"/>
    <w:link w:val="19"/>
    <w:qFormat/>
    <w:uiPriority w:val="0"/>
    <w:rPr>
      <w:rFonts w:ascii="仿宋_GB2312" w:hAnsi="Times New Roman" w:eastAsia="仿宋_GB2312" w:cs="Times New Roman"/>
      <w:sz w:val="24"/>
      <w:szCs w:val="20"/>
    </w:rPr>
  </w:style>
  <w:style w:type="character" w:customStyle="1" w:styleId="222">
    <w:name w:val="正文文本缩进 字符"/>
    <w:link w:val="20"/>
    <w:qFormat/>
    <w:uiPriority w:val="0"/>
    <w:rPr>
      <w:rFonts w:ascii="仿宋_GB2312" w:hAnsi="Times New Roman" w:eastAsia="仿宋_GB2312" w:cs="Times New Roman"/>
      <w:sz w:val="28"/>
      <w:szCs w:val="20"/>
    </w:rPr>
  </w:style>
  <w:style w:type="character" w:customStyle="1" w:styleId="223">
    <w:name w:val="纯文本 字符"/>
    <w:link w:val="25"/>
    <w:qFormat/>
    <w:uiPriority w:val="0"/>
    <w:rPr>
      <w:rFonts w:ascii="宋体" w:hAnsi="Courier New" w:eastAsia="宋体" w:cs="Courier New"/>
      <w:szCs w:val="21"/>
    </w:rPr>
  </w:style>
  <w:style w:type="character" w:customStyle="1" w:styleId="224">
    <w:name w:val="日期 字符"/>
    <w:link w:val="27"/>
    <w:qFormat/>
    <w:uiPriority w:val="0"/>
    <w:rPr>
      <w:rFonts w:ascii="Times New Roman" w:hAnsi="Times New Roman" w:eastAsia="宋体" w:cs="Times New Roman"/>
      <w:sz w:val="24"/>
      <w:szCs w:val="20"/>
    </w:rPr>
  </w:style>
  <w:style w:type="character" w:customStyle="1" w:styleId="225">
    <w:name w:val="正文文本缩进 2 字符"/>
    <w:link w:val="28"/>
    <w:qFormat/>
    <w:uiPriority w:val="0"/>
    <w:rPr>
      <w:rFonts w:ascii="Times New Roman" w:hAnsi="Times New Roman" w:eastAsia="仿宋_GB2312" w:cs="Times New Roman"/>
      <w:sz w:val="28"/>
      <w:szCs w:val="20"/>
    </w:rPr>
  </w:style>
  <w:style w:type="character" w:customStyle="1" w:styleId="226">
    <w:name w:val="批注框文本 字符"/>
    <w:link w:val="30"/>
    <w:semiHidden/>
    <w:qFormat/>
    <w:uiPriority w:val="0"/>
    <w:rPr>
      <w:sz w:val="18"/>
      <w:szCs w:val="18"/>
    </w:rPr>
  </w:style>
  <w:style w:type="character" w:customStyle="1" w:styleId="227">
    <w:name w:val="页脚 字符"/>
    <w:link w:val="31"/>
    <w:qFormat/>
    <w:uiPriority w:val="99"/>
    <w:rPr>
      <w:rFonts w:ascii="Times New Roman" w:hAnsi="Times New Roman" w:eastAsia="宋体" w:cs="Times New Roman"/>
      <w:sz w:val="18"/>
      <w:szCs w:val="20"/>
    </w:rPr>
  </w:style>
  <w:style w:type="character" w:customStyle="1" w:styleId="228">
    <w:name w:val="页眉 字符"/>
    <w:link w:val="32"/>
    <w:qFormat/>
    <w:uiPriority w:val="0"/>
    <w:rPr>
      <w:rFonts w:ascii="Times New Roman" w:hAnsi="Times New Roman" w:eastAsia="宋体" w:cs="Times New Roman"/>
      <w:sz w:val="18"/>
      <w:szCs w:val="18"/>
    </w:rPr>
  </w:style>
  <w:style w:type="character" w:customStyle="1" w:styleId="229">
    <w:name w:val="正文文本缩进 3 字符"/>
    <w:link w:val="39"/>
    <w:qFormat/>
    <w:uiPriority w:val="0"/>
    <w:rPr>
      <w:rFonts w:ascii="Times New Roman" w:hAnsi="Times New Roman" w:eastAsia="宋体" w:cs="Times New Roman"/>
      <w:sz w:val="16"/>
      <w:szCs w:val="16"/>
    </w:rPr>
  </w:style>
  <w:style w:type="character" w:customStyle="1" w:styleId="230">
    <w:name w:val="正文文本 2 字符"/>
    <w:link w:val="43"/>
    <w:qFormat/>
    <w:uiPriority w:val="0"/>
    <w:rPr>
      <w:rFonts w:ascii="Times New Roman" w:hAnsi="Times New Roman" w:eastAsia="宋体" w:cs="Times New Roman"/>
      <w:b/>
      <w:bCs/>
      <w:sz w:val="18"/>
      <w:szCs w:val="24"/>
    </w:rPr>
  </w:style>
  <w:style w:type="character" w:customStyle="1" w:styleId="231">
    <w:name w:val="批注主题 字符"/>
    <w:link w:val="46"/>
    <w:semiHidden/>
    <w:qFormat/>
    <w:uiPriority w:val="99"/>
    <w:rPr>
      <w:b/>
      <w:bCs/>
      <w:sz w:val="21"/>
      <w:szCs w:val="24"/>
    </w:rPr>
  </w:style>
  <w:style w:type="character" w:customStyle="1" w:styleId="232">
    <w:name w:val="正文文本首行缩进 字符"/>
    <w:link w:val="47"/>
    <w:qFormat/>
    <w:uiPriority w:val="0"/>
    <w:rPr>
      <w:rFonts w:ascii="Times New Roman" w:hAnsi="Times New Roman" w:eastAsia="宋体" w:cs="Times New Roman"/>
      <w:sz w:val="24"/>
      <w:szCs w:val="24"/>
    </w:rPr>
  </w:style>
  <w:style w:type="paragraph" w:styleId="233">
    <w:name w:val="List Paragraph"/>
    <w:basedOn w:val="1"/>
    <w:link w:val="234"/>
    <w:qFormat/>
    <w:uiPriority w:val="99"/>
    <w:pPr>
      <w:ind w:firstLine="420"/>
    </w:pPr>
    <w:rPr>
      <w:sz w:val="20"/>
      <w:szCs w:val="20"/>
    </w:rPr>
  </w:style>
  <w:style w:type="character" w:customStyle="1" w:styleId="234">
    <w:name w:val="列表段落 字符1"/>
    <w:link w:val="233"/>
    <w:qFormat/>
    <w:uiPriority w:val="99"/>
  </w:style>
  <w:style w:type="paragraph" w:customStyle="1" w:styleId="235">
    <w:name w:val="style4"/>
    <w:basedOn w:val="1"/>
    <w:next w:val="236"/>
    <w:qFormat/>
    <w:uiPriority w:val="0"/>
    <w:pPr>
      <w:widowControl/>
      <w:spacing w:before="280" w:after="280"/>
    </w:pPr>
    <w:rPr>
      <w:rFonts w:ascii="宋体"/>
      <w:sz w:val="18"/>
    </w:rPr>
  </w:style>
  <w:style w:type="paragraph" w:customStyle="1" w:styleId="236">
    <w:name w:val="2"/>
    <w:next w:val="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37">
    <w:name w:val="Default"/>
    <w:basedOn w:val="1"/>
    <w:qFormat/>
    <w:uiPriority w:val="0"/>
    <w:pPr>
      <w:jc w:val="left"/>
    </w:pPr>
    <w:rPr>
      <w:rFonts w:ascii="Arial" w:hAnsi="Arial" w:eastAsia="PMingLiU"/>
      <w:sz w:val="20"/>
      <w:szCs w:val="20"/>
    </w:rPr>
  </w:style>
  <w:style w:type="paragraph" w:customStyle="1" w:styleId="238">
    <w:name w:val="无间隔1"/>
    <w:qFormat/>
    <w:uiPriority w:val="0"/>
    <w:rPr>
      <w:rFonts w:hint="default" w:ascii="Times New Roman" w:hAnsi="Times New Roman" w:eastAsia="宋体" w:cs="Calibri"/>
      <w:sz w:val="22"/>
      <w:lang w:val="en-US" w:eastAsia="zh-CN" w:bidi="ar-SA"/>
    </w:rPr>
  </w:style>
  <w:style w:type="paragraph" w:customStyle="1" w:styleId="239">
    <w:name w:val="正文缩进1"/>
    <w:basedOn w:val="1"/>
    <w:qFormat/>
    <w:uiPriority w:val="0"/>
    <w:pPr>
      <w:widowControl/>
      <w:ind w:firstLine="420"/>
      <w:jc w:val="left"/>
    </w:pPr>
  </w:style>
  <w:style w:type="character" w:customStyle="1" w:styleId="240">
    <w:name w:val="文档结构图 Char1"/>
    <w:semiHidden/>
    <w:qFormat/>
    <w:uiPriority w:val="99"/>
    <w:rPr>
      <w:rFonts w:ascii="宋体" w:hAnsi="Times New Roman" w:eastAsia="宋体" w:cs="Times New Roman"/>
      <w:sz w:val="18"/>
      <w:szCs w:val="18"/>
    </w:rPr>
  </w:style>
  <w:style w:type="character" w:customStyle="1" w:styleId="241">
    <w:name w:val="普通正文 Char"/>
    <w:link w:val="242"/>
    <w:qFormat/>
    <w:uiPriority w:val="0"/>
    <w:rPr>
      <w:rFonts w:ascii="Arial" w:hAnsi="Arial"/>
      <w:sz w:val="24"/>
      <w:szCs w:val="24"/>
    </w:rPr>
  </w:style>
  <w:style w:type="paragraph" w:customStyle="1" w:styleId="242">
    <w:name w:val="普通正文"/>
    <w:basedOn w:val="1"/>
    <w:link w:val="241"/>
    <w:qFormat/>
    <w:uiPriority w:val="0"/>
    <w:pPr>
      <w:spacing w:before="120" w:after="120" w:line="360" w:lineRule="auto"/>
      <w:ind w:left="-2" w:right="120" w:firstLine="480"/>
      <w:jc w:val="center"/>
    </w:pPr>
    <w:rPr>
      <w:rFonts w:ascii="Arial" w:hAnsi="Arial"/>
      <w:sz w:val="24"/>
    </w:rPr>
  </w:style>
  <w:style w:type="character" w:customStyle="1" w:styleId="243">
    <w:name w:val="FA正文 Char"/>
    <w:link w:val="244"/>
    <w:qFormat/>
    <w:uiPriority w:val="0"/>
    <w:rPr>
      <w:rFonts w:ascii="宋体" w:hAnsi="宋体" w:eastAsia="宋体" w:cs="Times New Roman"/>
      <w:sz w:val="28"/>
      <w:szCs w:val="28"/>
    </w:rPr>
  </w:style>
  <w:style w:type="paragraph" w:customStyle="1" w:styleId="244">
    <w:name w:val="FA正文"/>
    <w:basedOn w:val="1"/>
    <w:link w:val="243"/>
    <w:qFormat/>
    <w:uiPriority w:val="0"/>
    <w:pPr>
      <w:tabs>
        <w:tab w:val="left" w:pos="3375"/>
      </w:tabs>
      <w:spacing w:line="440" w:lineRule="atLeast"/>
      <w:ind w:firstLine="538"/>
    </w:pPr>
    <w:rPr>
      <w:rFonts w:ascii="宋体" w:hAnsi="宋体"/>
      <w:sz w:val="28"/>
      <w:szCs w:val="28"/>
    </w:rPr>
  </w:style>
  <w:style w:type="character" w:customStyle="1" w:styleId="245">
    <w:name w:val="正文缩进2格 Char"/>
    <w:link w:val="246"/>
    <w:qFormat/>
    <w:uiPriority w:val="0"/>
    <w:rPr>
      <w:rFonts w:ascii="仿宋_GB2312" w:hAnsi="宋体" w:eastAsia="仿宋_GB2312" w:cs="Times New Roman"/>
      <w:sz w:val="31"/>
      <w:szCs w:val="28"/>
    </w:rPr>
  </w:style>
  <w:style w:type="paragraph" w:customStyle="1" w:styleId="246">
    <w:name w:val="正文缩进2格"/>
    <w:basedOn w:val="1"/>
    <w:link w:val="245"/>
    <w:qFormat/>
    <w:uiPriority w:val="0"/>
    <w:pPr>
      <w:spacing w:line="600" w:lineRule="exact"/>
      <w:ind w:firstLine="639"/>
    </w:pPr>
    <w:rPr>
      <w:rFonts w:ascii="仿宋_GB2312" w:hAnsi="宋体" w:eastAsia="仿宋_GB2312"/>
      <w:sz w:val="31"/>
      <w:szCs w:val="28"/>
    </w:rPr>
  </w:style>
  <w:style w:type="character" w:customStyle="1" w:styleId="247">
    <w:name w:val="cn_text1"/>
    <w:qFormat/>
    <w:uiPriority w:val="0"/>
    <w:rPr>
      <w:rFonts w:hint="default" w:ascii="ˎ̥" w:hAnsi="ˎ̥"/>
      <w:color w:val="003399"/>
      <w:spacing w:val="15"/>
      <w:sz w:val="18"/>
      <w:szCs w:val="18"/>
    </w:rPr>
  </w:style>
  <w:style w:type="character" w:customStyle="1" w:styleId="248">
    <w:name w:val="ssss Char"/>
    <w:qFormat/>
    <w:uiPriority w:val="0"/>
    <w:rPr>
      <w:rFonts w:eastAsia="宋体"/>
      <w:sz w:val="24"/>
      <w:szCs w:val="24"/>
      <w:lang w:val="en-US" w:eastAsia="zh-CN" w:bidi="ar-SA"/>
    </w:rPr>
  </w:style>
  <w:style w:type="character" w:customStyle="1" w:styleId="249">
    <w:name w:val="ssss Char1"/>
    <w:link w:val="250"/>
    <w:qFormat/>
    <w:uiPriority w:val="0"/>
    <w:rPr>
      <w:rFonts w:ascii="Times New Roman" w:hAnsi="Times New Roman" w:eastAsia="宋体" w:cs="Times New Roman"/>
      <w:sz w:val="24"/>
      <w:szCs w:val="24"/>
    </w:rPr>
  </w:style>
  <w:style w:type="paragraph" w:customStyle="1" w:styleId="250">
    <w:name w:val="ssss"/>
    <w:basedOn w:val="1"/>
    <w:link w:val="249"/>
    <w:qFormat/>
    <w:uiPriority w:val="0"/>
    <w:pPr>
      <w:spacing w:line="360" w:lineRule="auto"/>
      <w:ind w:firstLine="480"/>
    </w:pPr>
    <w:rPr>
      <w:sz w:val="24"/>
    </w:rPr>
  </w:style>
  <w:style w:type="character" w:customStyle="1" w:styleId="251">
    <w:name w:val="标题 4 Char1"/>
    <w:qFormat/>
    <w:uiPriority w:val="0"/>
    <w:rPr>
      <w:rFonts w:ascii="Arial" w:hAnsi="Arial" w:eastAsia="黑体"/>
      <w:b/>
      <w:bCs/>
      <w:sz w:val="28"/>
      <w:szCs w:val="28"/>
      <w:lang w:val="en-US" w:eastAsia="zh-CN" w:bidi="ar-SA"/>
    </w:rPr>
  </w:style>
  <w:style w:type="character" w:customStyle="1" w:styleId="252">
    <w:name w:val="列表段落 字符"/>
    <w:qFormat/>
    <w:uiPriority w:val="34"/>
    <w:rPr>
      <w:rFonts w:ascii="Calibri" w:hAnsi="Calibri"/>
      <w:sz w:val="21"/>
      <w:szCs w:val="22"/>
    </w:rPr>
  </w:style>
  <w:style w:type="character" w:customStyle="1" w:styleId="253">
    <w:name w:val="批注框文本 Char1"/>
    <w:semiHidden/>
    <w:qFormat/>
    <w:uiPriority w:val="99"/>
    <w:rPr>
      <w:rFonts w:ascii="Times New Roman" w:hAnsi="Times New Roman" w:eastAsia="宋体" w:cs="Times New Roman"/>
      <w:sz w:val="18"/>
      <w:szCs w:val="18"/>
    </w:rPr>
  </w:style>
  <w:style w:type="character" w:customStyle="1" w:styleId="254">
    <w:name w:val="样式 ssss + 宋体 五号1 Char"/>
    <w:link w:val="255"/>
    <w:qFormat/>
    <w:uiPriority w:val="0"/>
    <w:rPr>
      <w:rFonts w:ascii="宋体" w:hAnsi="宋体" w:eastAsia="宋体" w:cs="Times New Roman"/>
      <w:sz w:val="24"/>
      <w:szCs w:val="24"/>
    </w:rPr>
  </w:style>
  <w:style w:type="paragraph" w:customStyle="1" w:styleId="255">
    <w:name w:val="样式 ssss + 宋体 五号1"/>
    <w:basedOn w:val="250"/>
    <w:link w:val="254"/>
    <w:qFormat/>
    <w:uiPriority w:val="0"/>
    <w:rPr>
      <w:rFonts w:ascii="宋体" w:hAnsi="宋体"/>
    </w:rPr>
  </w:style>
  <w:style w:type="character" w:customStyle="1" w:styleId="256">
    <w:name w:val="point_normal1"/>
    <w:qFormat/>
    <w:uiPriority w:val="0"/>
    <w:rPr>
      <w:rFonts w:hint="default" w:ascii="Arial" w:hAnsi="Arial" w:cs="Arial"/>
      <w:sz w:val="16"/>
      <w:szCs w:val="16"/>
    </w:rPr>
  </w:style>
  <w:style w:type="paragraph" w:customStyle="1" w:styleId="257">
    <w:name w:val="样式 正文文本缩进 3 + 四号"/>
    <w:basedOn w:val="39"/>
    <w:qFormat/>
    <w:uiPriority w:val="0"/>
    <w:pPr>
      <w:spacing w:after="0" w:line="360" w:lineRule="auto"/>
      <w:ind w:left="0" w:firstLine="437"/>
    </w:pPr>
    <w:rPr>
      <w:sz w:val="24"/>
      <w:szCs w:val="21"/>
    </w:rPr>
  </w:style>
  <w:style w:type="paragraph" w:customStyle="1" w:styleId="258">
    <w:name w:val="2cxsplast"/>
    <w:basedOn w:val="1"/>
    <w:qFormat/>
    <w:uiPriority w:val="0"/>
    <w:pPr>
      <w:widowControl/>
      <w:spacing w:before="100" w:beforeAutospacing="1" w:after="100" w:afterAutospacing="1"/>
      <w:jc w:val="left"/>
    </w:pPr>
    <w:rPr>
      <w:rFonts w:ascii="宋体" w:hAnsi="宋体" w:cs="宋体"/>
      <w:sz w:val="24"/>
    </w:rPr>
  </w:style>
  <w:style w:type="paragraph" w:customStyle="1" w:styleId="259">
    <w:name w:val="ec_msonormal"/>
    <w:basedOn w:val="1"/>
    <w:qFormat/>
    <w:uiPriority w:val="0"/>
    <w:pPr>
      <w:widowControl/>
      <w:spacing w:before="100" w:beforeAutospacing="1" w:after="100" w:afterAutospacing="1"/>
      <w:jc w:val="left"/>
    </w:pPr>
    <w:rPr>
      <w:rFonts w:ascii="宋体" w:hAnsi="宋体"/>
      <w:sz w:val="24"/>
    </w:rPr>
  </w:style>
  <w:style w:type="paragraph" w:customStyle="1" w:styleId="260">
    <w:name w:val="Char Char Char Char"/>
    <w:basedOn w:val="1"/>
    <w:qFormat/>
    <w:uiPriority w:val="0"/>
    <w:rPr>
      <w:rFonts w:ascii="Tahoma" w:hAnsi="Tahoma"/>
      <w:sz w:val="24"/>
      <w:szCs w:val="20"/>
    </w:rPr>
  </w:style>
  <w:style w:type="paragraph" w:customStyle="1" w:styleId="261">
    <w:name w:val="Char Char Char Char Char Char Char Char Char Char Char Char Char"/>
    <w:basedOn w:val="1"/>
    <w:qFormat/>
    <w:uiPriority w:val="0"/>
  </w:style>
  <w:style w:type="paragraph" w:customStyle="1" w:styleId="262">
    <w:name w:val="表格正文"/>
    <w:basedOn w:val="1"/>
    <w:qFormat/>
    <w:uiPriority w:val="0"/>
    <w:pPr>
      <w:spacing w:line="360" w:lineRule="auto"/>
      <w:jc w:val="left"/>
    </w:pPr>
    <w:rPr>
      <w:rFonts w:ascii="Calibri" w:hAnsi="Calibri"/>
      <w:color w:val="000000"/>
      <w:szCs w:val="28"/>
    </w:rPr>
  </w:style>
  <w:style w:type="paragraph" w:customStyle="1" w:styleId="263">
    <w:name w:val="正文1"/>
    <w:qFormat/>
    <w:uiPriority w:val="0"/>
    <w:pPr>
      <w:widowControl w:val="0"/>
      <w:spacing w:line="315" w:lineRule="atLeast"/>
      <w:jc w:val="both"/>
    </w:pPr>
    <w:rPr>
      <w:rFonts w:hint="default" w:ascii="宋体" w:hAnsi="Times New Roman" w:eastAsia="宋体" w:cs="Times New Roman"/>
      <w:sz w:val="24"/>
      <w:lang w:val="en-US" w:eastAsia="zh-CN" w:bidi="ar-SA"/>
    </w:rPr>
  </w:style>
  <w:style w:type="paragraph" w:customStyle="1" w:styleId="264">
    <w:name w:val="Char Char Char Char1"/>
    <w:basedOn w:val="1"/>
    <w:qFormat/>
    <w:uiPriority w:val="0"/>
    <w:rPr>
      <w:rFonts w:ascii="Tahoma" w:hAnsi="Tahoma"/>
      <w:sz w:val="24"/>
      <w:szCs w:val="20"/>
    </w:rPr>
  </w:style>
  <w:style w:type="paragraph" w:customStyle="1" w:styleId="265">
    <w:name w:val="Char Char Char"/>
    <w:basedOn w:val="1"/>
    <w:qFormat/>
    <w:uiPriority w:val="0"/>
    <w:rPr>
      <w:rFonts w:ascii="Tahoma" w:hAnsi="Tahoma"/>
      <w:sz w:val="24"/>
      <w:szCs w:val="20"/>
    </w:rPr>
  </w:style>
  <w:style w:type="paragraph" w:customStyle="1" w:styleId="266">
    <w:name w:val="标题-----3"/>
    <w:basedOn w:val="4"/>
    <w:qFormat/>
    <w:uiPriority w:val="0"/>
    <w:pPr>
      <w:spacing w:before="0" w:after="0" w:line="240" w:lineRule="auto"/>
      <w:outlineLvl w:val="0"/>
    </w:pPr>
    <w:rPr>
      <w:rFonts w:ascii="宋体" w:hAnsi="宋体"/>
      <w:b w:val="0"/>
      <w:bCs w:val="0"/>
      <w:sz w:val="28"/>
      <w:szCs w:val="28"/>
    </w:rPr>
  </w:style>
  <w:style w:type="paragraph" w:customStyle="1" w:styleId="267">
    <w:name w:val="样式 ssss + 居中"/>
    <w:basedOn w:val="250"/>
    <w:qFormat/>
    <w:uiPriority w:val="0"/>
    <w:pPr>
      <w:jc w:val="center"/>
    </w:pPr>
    <w:rPr>
      <w:rFonts w:cs="宋体"/>
      <w:szCs w:val="20"/>
    </w:rPr>
  </w:style>
  <w:style w:type="paragraph" w:customStyle="1" w:styleId="268">
    <w:name w:val="样式 宋体 四号 黑色 左侧:  0.74 厘米 首行缩进:  0.74 厘米 行距: 1.5 倍行距"/>
    <w:basedOn w:val="1"/>
    <w:qFormat/>
    <w:uiPriority w:val="0"/>
    <w:pPr>
      <w:spacing w:line="360" w:lineRule="auto"/>
      <w:ind w:firstLine="420"/>
    </w:pPr>
    <w:rPr>
      <w:rFonts w:ascii="宋体"/>
      <w:color w:val="000000"/>
      <w:sz w:val="24"/>
      <w:szCs w:val="21"/>
    </w:rPr>
  </w:style>
  <w:style w:type="paragraph" w:customStyle="1" w:styleId="269">
    <w:name w:val="样式 样式 ssss + 宋体 五号 + 首行缩进:  2 字符"/>
    <w:basedOn w:val="270"/>
    <w:qFormat/>
    <w:uiPriority w:val="0"/>
    <w:pPr>
      <w:ind w:firstLine="480"/>
    </w:pPr>
  </w:style>
  <w:style w:type="paragraph" w:customStyle="1" w:styleId="270">
    <w:name w:val="样式 ssss + 宋体 五号"/>
    <w:basedOn w:val="250"/>
    <w:qFormat/>
    <w:uiPriority w:val="0"/>
    <w:pPr>
      <w:ind w:firstLine="420"/>
    </w:pPr>
    <w:rPr>
      <w:rFonts w:ascii="宋体" w:hAnsi="宋体" w:cs="宋体"/>
      <w:szCs w:val="20"/>
    </w:rPr>
  </w:style>
  <w:style w:type="paragraph" w:customStyle="1" w:styleId="271">
    <w:name w:val="msonormalcxsplast"/>
    <w:basedOn w:val="1"/>
    <w:qFormat/>
    <w:uiPriority w:val="0"/>
    <w:pPr>
      <w:widowControl/>
      <w:spacing w:before="100" w:beforeAutospacing="1" w:after="100" w:afterAutospacing="1"/>
      <w:jc w:val="left"/>
    </w:pPr>
    <w:rPr>
      <w:rFonts w:ascii="宋体" w:hAnsi="宋体" w:cs="宋体"/>
      <w:sz w:val="24"/>
    </w:rPr>
  </w:style>
  <w:style w:type="paragraph" w:customStyle="1" w:styleId="272">
    <w:name w:val="Char"/>
    <w:basedOn w:val="1"/>
    <w:qFormat/>
    <w:uiPriority w:val="0"/>
    <w:rPr>
      <w:rFonts w:ascii="Tahoma" w:hAnsi="Tahoma"/>
      <w:sz w:val="24"/>
      <w:szCs w:val="20"/>
    </w:rPr>
  </w:style>
  <w:style w:type="paragraph" w:customStyle="1" w:styleId="273">
    <w:name w:val="xl25"/>
    <w:basedOn w:val="1"/>
    <w:qFormat/>
    <w:uiPriority w:val="0"/>
    <w:pPr>
      <w:widowControl/>
      <w:pBdr>
        <w:bottom w:val="single" w:color="auto" w:sz="4" w:space="0"/>
        <w:right w:val="single" w:color="auto" w:sz="4" w:space="0"/>
      </w:pBdr>
      <w:spacing w:before="100" w:beforeAutospacing="1" w:after="100" w:afterAutospacing="1"/>
    </w:pPr>
    <w:rPr>
      <w:rFonts w:hint="eastAsia" w:ascii="华文细黑" w:hAnsi="华文细黑" w:eastAsia="华文细黑"/>
      <w:sz w:val="18"/>
      <w:szCs w:val="18"/>
    </w:rPr>
  </w:style>
  <w:style w:type="paragraph" w:customStyle="1" w:styleId="274">
    <w:name w:val="标题------4"/>
    <w:basedOn w:val="5"/>
    <w:qFormat/>
    <w:uiPriority w:val="0"/>
    <w:pPr>
      <w:keepLines/>
      <w:spacing w:line="360" w:lineRule="auto"/>
      <w:ind w:left="960" w:hanging="420"/>
      <w:jc w:val="both"/>
    </w:pPr>
    <w:rPr>
      <w:rFonts w:ascii="仿宋_GB2312" w:hAnsi="宋体" w:eastAsia="仿宋_GB2312" w:cs="仿宋_GB2312"/>
      <w:b/>
      <w:sz w:val="28"/>
      <w:szCs w:val="28"/>
      <w:lang w:val="zh-CN"/>
    </w:rPr>
  </w:style>
  <w:style w:type="paragraph" w:customStyle="1" w:styleId="275">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276">
    <w:name w:val="Char Char Char Char Char Char Char Char Char Char Char Char Char1"/>
    <w:basedOn w:val="1"/>
    <w:qFormat/>
    <w:uiPriority w:val="0"/>
    <w:rPr>
      <w:sz w:val="24"/>
    </w:rPr>
  </w:style>
  <w:style w:type="paragraph" w:customStyle="1" w:styleId="277">
    <w:name w:val="表格"/>
    <w:basedOn w:val="1"/>
    <w:qFormat/>
    <w:uiPriority w:val="0"/>
    <w:rPr>
      <w:rFonts w:ascii="Arial" w:hAnsi="Arial"/>
      <w:sz w:val="24"/>
    </w:rPr>
  </w:style>
  <w:style w:type="paragraph" w:customStyle="1" w:styleId="278">
    <w:name w:val="正文样式1"/>
    <w:basedOn w:val="1"/>
    <w:qFormat/>
    <w:uiPriority w:val="0"/>
    <w:pPr>
      <w:spacing w:before="120" w:after="120" w:line="360" w:lineRule="auto"/>
      <w:ind w:firstLine="480"/>
    </w:pPr>
    <w:rPr>
      <w:sz w:val="24"/>
      <w:szCs w:val="20"/>
    </w:rPr>
  </w:style>
  <w:style w:type="paragraph" w:customStyle="1" w:styleId="279">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80">
    <w:name w:val="Char Char Char Char Char Char Char Char Char Char"/>
    <w:basedOn w:val="1"/>
    <w:qFormat/>
    <w:uiPriority w:val="0"/>
    <w:rPr>
      <w:rFonts w:ascii="Tahoma" w:hAnsi="Tahoma"/>
      <w:sz w:val="24"/>
      <w:szCs w:val="20"/>
    </w:rPr>
  </w:style>
  <w:style w:type="paragraph" w:customStyle="1" w:styleId="281">
    <w:name w:val="Char1"/>
    <w:basedOn w:val="1"/>
    <w:qFormat/>
    <w:uiPriority w:val="0"/>
    <w:pPr>
      <w:tabs>
        <w:tab w:val="left" w:pos="360"/>
      </w:tabs>
    </w:pPr>
    <w:rPr>
      <w:sz w:val="24"/>
    </w:rPr>
  </w:style>
  <w:style w:type="paragraph" w:customStyle="1" w:styleId="282">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83">
    <w:name w:val="Header2"/>
    <w:basedOn w:val="1"/>
    <w:qFormat/>
    <w:uiPriority w:val="0"/>
    <w:pPr>
      <w:numPr>
        <w:ilvl w:val="0"/>
        <w:numId w:val="1"/>
      </w:numPr>
    </w:pPr>
  </w:style>
  <w:style w:type="paragraph" w:customStyle="1" w:styleId="284">
    <w:name w:val="Char Char 字元 字元 字元 Char Char Char Char"/>
    <w:basedOn w:val="1"/>
    <w:qFormat/>
    <w:uiPriority w:val="0"/>
    <w:pPr>
      <w:spacing w:line="360" w:lineRule="auto"/>
    </w:pPr>
    <w:rPr>
      <w:sz w:val="24"/>
      <w:szCs w:val="20"/>
    </w:rPr>
  </w:style>
  <w:style w:type="paragraph" w:customStyle="1" w:styleId="285">
    <w:name w:val="2cxspmiddle"/>
    <w:basedOn w:val="1"/>
    <w:qFormat/>
    <w:uiPriority w:val="0"/>
    <w:pPr>
      <w:widowControl/>
      <w:spacing w:before="100" w:beforeAutospacing="1" w:after="100" w:afterAutospacing="1"/>
      <w:jc w:val="left"/>
    </w:pPr>
    <w:rPr>
      <w:rFonts w:ascii="宋体" w:hAnsi="宋体" w:cs="宋体"/>
      <w:sz w:val="24"/>
    </w:rPr>
  </w:style>
  <w:style w:type="paragraph" w:customStyle="1" w:styleId="286">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87">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table" w:customStyle="1" w:styleId="288">
    <w:name w:val="网格型1"/>
    <w:basedOn w:val="49"/>
    <w:qFormat/>
    <w:uiPriority w:val="39"/>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89">
    <w:name w:val="列出段落1"/>
    <w:basedOn w:val="1"/>
    <w:qFormat/>
    <w:uiPriority w:val="34"/>
    <w:pPr>
      <w:widowControl/>
      <w:ind w:left="720"/>
      <w:contextualSpacing/>
      <w:jc w:val="left"/>
    </w:pPr>
    <w:rPr>
      <w:sz w:val="24"/>
      <w:lang w:eastAsia="en-US" w:bidi="en-US"/>
    </w:rPr>
  </w:style>
  <w:style w:type="paragraph" w:customStyle="1" w:styleId="290">
    <w:name w:val="DAS正文"/>
    <w:basedOn w:val="1"/>
    <w:qFormat/>
    <w:uiPriority w:val="0"/>
    <w:pPr>
      <w:spacing w:line="360" w:lineRule="auto"/>
      <w:ind w:right="181" w:firstLine="480"/>
    </w:pPr>
    <w:rPr>
      <w:rFonts w:ascii="Verdana" w:hAnsi="Verdana"/>
      <w:sz w:val="24"/>
      <w:szCs w:val="20"/>
    </w:rPr>
  </w:style>
  <w:style w:type="paragraph" w:customStyle="1" w:styleId="291">
    <w:name w:val="普通(网站) Char"/>
    <w:basedOn w:val="1"/>
    <w:qFormat/>
    <w:uiPriority w:val="99"/>
    <w:pPr>
      <w:widowControl/>
      <w:spacing w:before="100" w:beforeAutospacing="1" w:after="100" w:afterAutospacing="1"/>
      <w:jc w:val="left"/>
    </w:pPr>
    <w:rPr>
      <w:rFonts w:ascii="宋体" w:hAnsi="宋体" w:cs="宋体"/>
      <w:sz w:val="24"/>
    </w:rPr>
  </w:style>
  <w:style w:type="paragraph" w:styleId="292">
    <w:name w:val="No Spacing"/>
    <w:qFormat/>
    <w:uiPriority w:val="1"/>
    <w:pPr>
      <w:widowControl w:val="0"/>
      <w:spacing w:line="360" w:lineRule="auto"/>
      <w:ind w:firstLine="200"/>
      <w:jc w:val="both"/>
    </w:pPr>
    <w:rPr>
      <w:rFonts w:hint="default" w:ascii="Arial" w:hAnsi="Arial" w:eastAsia="宋体" w:cs="Times New Roman"/>
      <w:sz w:val="24"/>
      <w:szCs w:val="24"/>
      <w:lang w:val="en-US" w:eastAsia="zh-CN" w:bidi="ar-SA"/>
    </w:rPr>
  </w:style>
  <w:style w:type="paragraph" w:customStyle="1" w:styleId="293">
    <w:name w:val="首行缩进"/>
    <w:basedOn w:val="1"/>
    <w:qFormat/>
    <w:uiPriority w:val="99"/>
    <w:pPr>
      <w:ind w:firstLine="480"/>
    </w:pPr>
    <w:rPr>
      <w:rFonts w:ascii="等线" w:hAnsi="等线" w:eastAsia="等线"/>
      <w:szCs w:val="22"/>
      <w:lang w:val="zh-CN"/>
    </w:rPr>
  </w:style>
  <w:style w:type="paragraph" w:customStyle="1" w:styleId="294">
    <w:name w:val="p0"/>
    <w:basedOn w:val="1"/>
    <w:qFormat/>
    <w:uiPriority w:val="0"/>
    <w:pPr>
      <w:widowControl/>
    </w:pPr>
    <w:rPr>
      <w:sz w:val="20"/>
      <w:szCs w:val="21"/>
      <w:lang w:val="zh-CN"/>
    </w:rPr>
  </w:style>
  <w:style w:type="paragraph" w:customStyle="1" w:styleId="295">
    <w:name w:val="Table Text"/>
    <w:basedOn w:val="1"/>
    <w:semiHidden/>
    <w:qFormat/>
    <w:uiPriority w:val="0"/>
    <w:rPr>
      <w:rFonts w:ascii="仿宋" w:hAnsi="仿宋" w:eastAsia="仿宋" w:cs="仿宋"/>
      <w:sz w:val="24"/>
      <w:lang w:eastAsia="en-US"/>
    </w:rPr>
  </w:style>
  <w:style w:type="table" w:customStyle="1" w:styleId="296">
    <w:name w:val="Table Normal"/>
    <w:unhideWhenUsed/>
    <w:qFormat/>
    <w:uiPriority w:val="0"/>
    <w:tblPr>
      <w:tblCellMar>
        <w:top w:w="0" w:type="dxa"/>
        <w:left w:w="0" w:type="dxa"/>
        <w:bottom w:w="0" w:type="dxa"/>
        <w:right w:w="0" w:type="dxa"/>
      </w:tblCellMar>
    </w:tblPr>
  </w:style>
  <w:style w:type="character" w:customStyle="1" w:styleId="297">
    <w:name w:val="NormalCharacter"/>
    <w:qFormat/>
    <w:uiPriority w:val="99"/>
  </w:style>
  <w:style w:type="character" w:customStyle="1" w:styleId="298">
    <w:name w:val="font31"/>
    <w:qFormat/>
    <w:uiPriority w:val="0"/>
    <w:rPr>
      <w:rFonts w:ascii="Times New Roman Regular" w:hAnsi="Times New Roman Regular" w:eastAsia="Times New Roman Regular" w:cs="Times New Roman Regular"/>
      <w:color w:val="000000"/>
      <w:sz w:val="24"/>
      <w:szCs w:val="24"/>
      <w:u w:val="none"/>
    </w:rPr>
  </w:style>
  <w:style w:type="character" w:customStyle="1" w:styleId="299">
    <w:name w:val="font91"/>
    <w:qFormat/>
    <w:uiPriority w:val="0"/>
    <w:rPr>
      <w:rFonts w:hint="default" w:ascii="Times New Roman" w:hAnsi="Times New Roman" w:cs="Times New Roman"/>
      <w:color w:val="000000"/>
      <w:sz w:val="20"/>
      <w:szCs w:val="20"/>
      <w:u w:val="none"/>
    </w:rPr>
  </w:style>
  <w:style w:type="character" w:customStyle="1" w:styleId="300">
    <w:name w:val="font11"/>
    <w:qFormat/>
    <w:uiPriority w:val="0"/>
    <w:rPr>
      <w:rFonts w:hint="eastAsia" w:ascii="宋体" w:hAnsi="宋体" w:eastAsia="宋体" w:cs="宋体"/>
      <w:color w:val="000000"/>
      <w:sz w:val="20"/>
      <w:szCs w:val="20"/>
      <w:u w:val="none"/>
    </w:rPr>
  </w:style>
  <w:style w:type="character" w:customStyle="1" w:styleId="301">
    <w:name w:val="font101"/>
    <w:qFormat/>
    <w:uiPriority w:val="0"/>
    <w:rPr>
      <w:rFonts w:hint="default" w:ascii="Arial" w:hAnsi="Arial" w:cs="Arial"/>
      <w:color w:val="000000"/>
      <w:sz w:val="20"/>
      <w:szCs w:val="20"/>
      <w:u w:val="none"/>
    </w:rPr>
  </w:style>
  <w:style w:type="character" w:customStyle="1" w:styleId="302">
    <w:name w:val="font291"/>
    <w:qFormat/>
    <w:uiPriority w:val="0"/>
    <w:rPr>
      <w:rFonts w:hint="eastAsia" w:ascii="宋体" w:hAnsi="宋体" w:eastAsia="宋体" w:cs="宋体"/>
      <w:color w:val="000000"/>
      <w:sz w:val="20"/>
      <w:szCs w:val="20"/>
      <w:u w:val="none"/>
    </w:rPr>
  </w:style>
  <w:style w:type="character" w:customStyle="1" w:styleId="303">
    <w:name w:val="font61"/>
    <w:qFormat/>
    <w:uiPriority w:val="0"/>
    <w:rPr>
      <w:rFonts w:hint="eastAsia" w:ascii="等线" w:hAnsi="等线" w:eastAsia="等线" w:cs="等线"/>
      <w:color w:val="000000"/>
      <w:sz w:val="20"/>
      <w:szCs w:val="20"/>
      <w:u w:val="none"/>
    </w:rPr>
  </w:style>
  <w:style w:type="character" w:customStyle="1" w:styleId="304">
    <w:name w:val="font71"/>
    <w:qFormat/>
    <w:uiPriority w:val="0"/>
    <w:rPr>
      <w:rFonts w:hint="eastAsia" w:ascii="宋体" w:hAnsi="宋体" w:eastAsia="宋体" w:cs="宋体"/>
      <w:color w:val="000000"/>
      <w:sz w:val="20"/>
      <w:szCs w:val="20"/>
      <w:u w:val="none"/>
    </w:rPr>
  </w:style>
  <w:style w:type="character" w:customStyle="1" w:styleId="305">
    <w:name w:val="font41"/>
    <w:qFormat/>
    <w:uiPriority w:val="0"/>
    <w:rPr>
      <w:rFonts w:hint="default" w:ascii="Times New Roman Regular" w:hAnsi="Times New Roman Regular" w:eastAsia="Times New Roman Regular" w:cs="Times New Roman Regular"/>
      <w:color w:val="000000"/>
      <w:sz w:val="20"/>
      <w:szCs w:val="20"/>
      <w:u w:val="none"/>
    </w:rPr>
  </w:style>
  <w:style w:type="character" w:customStyle="1" w:styleId="306">
    <w:name w:val="font301"/>
    <w:qFormat/>
    <w:uiPriority w:val="0"/>
    <w:rPr>
      <w:rFonts w:hint="default" w:ascii="Times New Roman Regular" w:hAnsi="Times New Roman Regular" w:eastAsia="Times New Roman Regular" w:cs="Times New Roman Regular"/>
      <w:color w:val="000000"/>
      <w:sz w:val="20"/>
      <w:szCs w:val="20"/>
      <w:u w:val="none"/>
    </w:rPr>
  </w:style>
  <w:style w:type="character" w:customStyle="1" w:styleId="307">
    <w:name w:val="font81"/>
    <w:qFormat/>
    <w:uiPriority w:val="0"/>
    <w:rPr>
      <w:rFonts w:hint="eastAsia" w:ascii="宋体" w:hAnsi="宋体" w:eastAsia="宋体" w:cs="宋体"/>
      <w:color w:val="000000"/>
      <w:sz w:val="20"/>
      <w:szCs w:val="20"/>
      <w:u w:val="none"/>
    </w:rPr>
  </w:style>
  <w:style w:type="character" w:customStyle="1" w:styleId="308">
    <w:name w:val="font112"/>
    <w:qFormat/>
    <w:uiPriority w:val="0"/>
    <w:rPr>
      <w:rFonts w:hint="eastAsia" w:ascii="等线" w:hAnsi="等线" w:eastAsia="等线" w:cs="等线"/>
      <w:color w:val="000000"/>
      <w:sz w:val="20"/>
      <w:szCs w:val="20"/>
      <w:u w:val="none"/>
    </w:rPr>
  </w:style>
  <w:style w:type="character" w:customStyle="1" w:styleId="309">
    <w:name w:val="font312"/>
    <w:qFormat/>
    <w:uiPriority w:val="0"/>
    <w:rPr>
      <w:rFonts w:hint="default" w:ascii="Arial" w:hAnsi="Arial" w:cs="Arial"/>
      <w:color w:val="000000"/>
      <w:sz w:val="20"/>
      <w:szCs w:val="20"/>
      <w:u w:val="none"/>
    </w:rPr>
  </w:style>
  <w:style w:type="character" w:customStyle="1" w:styleId="310">
    <w:name w:val="font321"/>
    <w:qFormat/>
    <w:uiPriority w:val="0"/>
    <w:rPr>
      <w:rFonts w:ascii="微软雅黑" w:hAnsi="微软雅黑" w:eastAsia="微软雅黑" w:cs="微软雅黑"/>
      <w:color w:val="000000"/>
      <w:sz w:val="20"/>
      <w:szCs w:val="20"/>
      <w:u w:val="none"/>
    </w:rPr>
  </w:style>
  <w:style w:type="character" w:customStyle="1" w:styleId="311">
    <w:name w:val="font151"/>
    <w:qFormat/>
    <w:uiPriority w:val="0"/>
    <w:rPr>
      <w:rFonts w:hint="eastAsia" w:ascii="宋体" w:hAnsi="宋体" w:eastAsia="宋体" w:cs="宋体"/>
      <w:color w:val="000000"/>
      <w:sz w:val="22"/>
      <w:szCs w:val="22"/>
      <w:u w:val="none"/>
    </w:rPr>
  </w:style>
  <w:style w:type="character" w:customStyle="1" w:styleId="312">
    <w:name w:val="font121"/>
    <w:qFormat/>
    <w:uiPriority w:val="0"/>
    <w:rPr>
      <w:rFonts w:hint="eastAsia" w:ascii="宋体" w:hAnsi="宋体" w:eastAsia="宋体" w:cs="宋体"/>
      <w:b/>
      <w:bCs/>
      <w:color w:val="000000"/>
      <w:sz w:val="20"/>
      <w:szCs w:val="20"/>
      <w:u w:val="none"/>
    </w:rPr>
  </w:style>
  <w:style w:type="character" w:customStyle="1" w:styleId="313">
    <w:name w:val="font21"/>
    <w:qFormat/>
    <w:uiPriority w:val="0"/>
    <w:rPr>
      <w:rFonts w:hint="eastAsia" w:ascii="宋体" w:hAnsi="宋体" w:eastAsia="宋体" w:cs="宋体"/>
      <w:b/>
      <w:bCs/>
      <w:color w:val="000000"/>
      <w:sz w:val="24"/>
      <w:szCs w:val="24"/>
      <w:u w:val="none"/>
    </w:rPr>
  </w:style>
  <w:style w:type="character" w:customStyle="1" w:styleId="314">
    <w:name w:val="font131"/>
    <w:qFormat/>
    <w:uiPriority w:val="0"/>
    <w:rPr>
      <w:rFonts w:ascii="宋体" w:hAnsi="宋体" w:eastAsia="宋体" w:cs="宋体"/>
      <w:b/>
      <w:bCs/>
      <w:color w:val="000000"/>
      <w:sz w:val="24"/>
      <w:szCs w:val="24"/>
      <w:u w:val="none"/>
    </w:rPr>
  </w:style>
  <w:style w:type="character" w:customStyle="1" w:styleId="315">
    <w:name w:val="font141"/>
    <w:qFormat/>
    <w:uiPriority w:val="0"/>
    <w:rPr>
      <w:rFonts w:ascii="微软雅黑" w:hAnsi="微软雅黑" w:eastAsia="微软雅黑" w:cs="微软雅黑"/>
      <w:color w:val="000000"/>
      <w:sz w:val="24"/>
      <w:szCs w:val="24"/>
      <w:u w:val="none"/>
    </w:rPr>
  </w:style>
  <w:style w:type="paragraph" w:customStyle="1" w:styleId="316">
    <w:name w:val="样式1"/>
    <w:basedOn w:val="1"/>
    <w:qFormat/>
    <w:uiPriority w:val="0"/>
    <w:pPr>
      <w:jc w:val="center"/>
    </w:pPr>
    <w:rPr>
      <w:szCs w:val="21"/>
    </w:rPr>
  </w:style>
  <w:style w:type="paragraph" w:customStyle="1" w:styleId="317">
    <w:name w:val="正文首行缩进1"/>
    <w:basedOn w:val="318"/>
    <w:qFormat/>
    <w:uiPriority w:val="0"/>
    <w:pPr>
      <w:spacing w:line="360" w:lineRule="auto"/>
      <w:ind w:firstLine="200"/>
    </w:pPr>
    <w:rPr>
      <w:sz w:val="30"/>
      <w:szCs w:val="30"/>
    </w:rPr>
  </w:style>
  <w:style w:type="paragraph" w:customStyle="1" w:styleId="318">
    <w:name w:val="正文文本11"/>
    <w:basedOn w:val="1"/>
    <w:next w:val="1"/>
    <w:qFormat/>
    <w:uiPriority w:val="0"/>
    <w:rPr>
      <w:rFonts w:ascii="仿宋_GB2312" w:eastAsia="仿宋_GB2312"/>
      <w:sz w:val="24"/>
      <w:lang w:eastAsia="en-US"/>
    </w:rPr>
  </w:style>
  <w:style w:type="paragraph" w:customStyle="1" w:styleId="319">
    <w:name w:val="正文文本1"/>
    <w:basedOn w:val="1"/>
    <w:next w:val="1"/>
    <w:qFormat/>
    <w:uiPriority w:val="0"/>
    <w:rPr>
      <w:rFonts w:ascii="楷体_GB2312" w:hAnsi="Arial" w:eastAsia="楷体_GB2312"/>
      <w:sz w:val="28"/>
      <w:szCs w:val="28"/>
    </w:rPr>
  </w:style>
  <w:style w:type="paragraph" w:customStyle="1" w:styleId="320">
    <w:name w:val="正文+首行缩进2字符"/>
    <w:basedOn w:val="1"/>
    <w:qFormat/>
    <w:uiPriority w:val="0"/>
    <w:pPr>
      <w:ind w:firstLine="480"/>
    </w:pPr>
  </w:style>
  <w:style w:type="paragraph" w:customStyle="1" w:styleId="321">
    <w:name w:val="正文首行缩进 21"/>
    <w:basedOn w:val="20"/>
    <w:unhideWhenUsed/>
    <w:qFormat/>
    <w:uiPriority w:val="99"/>
    <w:pPr>
      <w:ind w:firstLine="200"/>
    </w:pPr>
  </w:style>
  <w:style w:type="paragraph" w:customStyle="1" w:styleId="322">
    <w:name w:val="正文首行缩进11"/>
    <w:basedOn w:val="319"/>
    <w:qFormat/>
    <w:uiPriority w:val="0"/>
    <w:pPr>
      <w:spacing w:line="360" w:lineRule="auto"/>
      <w:ind w:firstLine="200"/>
    </w:pPr>
    <w:rPr>
      <w:rFonts w:ascii="仿宋_GB2312" w:eastAsia="仿宋_GB2312"/>
      <w:sz w:val="30"/>
      <w:szCs w:val="30"/>
    </w:rPr>
  </w:style>
  <w:style w:type="paragraph" w:customStyle="1" w:styleId="323">
    <w:name w:val="普通(网站)1"/>
    <w:basedOn w:val="1"/>
    <w:qFormat/>
    <w:uiPriority w:val="0"/>
    <w:pPr>
      <w:widowControl/>
      <w:spacing w:before="100" w:beforeAutospacing="1" w:after="100" w:afterAutospacing="1"/>
      <w:jc w:val="left"/>
    </w:pPr>
    <w:rPr>
      <w:rFonts w:ascii="宋体" w:hAnsi="宋体"/>
      <w:color w:val="000000"/>
      <w:sz w:val="24"/>
    </w:rPr>
  </w:style>
  <w:style w:type="paragraph" w:customStyle="1" w:styleId="324">
    <w:name w:val="纯文本2"/>
    <w:basedOn w:val="1"/>
    <w:qFormat/>
    <w:uiPriority w:val="0"/>
    <w:pPr>
      <w:jc w:val="left"/>
    </w:pPr>
    <w:rPr>
      <w:rFonts w:ascii="宋体" w:hAnsi="宋体" w:eastAsia="楷体_GB2312"/>
      <w:sz w:val="26"/>
      <w:szCs w:val="20"/>
      <w:lang w:bidi="zh-CN"/>
    </w:rPr>
  </w:style>
  <w:style w:type="paragraph" w:customStyle="1" w:styleId="325">
    <w:name w:val="Table Paragraph"/>
    <w:basedOn w:val="1"/>
    <w:qFormat/>
    <w:uiPriority w:val="0"/>
    <w:rPr>
      <w:rFonts w:ascii="Calibri" w:hAnsi="Calibri" w:cs="Calibri"/>
    </w:rPr>
  </w:style>
  <w:style w:type="paragraph" w:customStyle="1" w:styleId="326">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327">
    <w:name w:val="页脚1"/>
    <w:basedOn w:val="1"/>
    <w:qFormat/>
    <w:uiPriority w:val="0"/>
    <w:pPr>
      <w:tabs>
        <w:tab w:val="center" w:pos="4153"/>
        <w:tab w:val="right" w:pos="8306"/>
      </w:tabs>
      <w:jc w:val="left"/>
    </w:pPr>
    <w:rPr>
      <w:sz w:val="18"/>
      <w:szCs w:val="18"/>
    </w:rPr>
  </w:style>
  <w:style w:type="character" w:customStyle="1" w:styleId="328">
    <w:name w:val="页码1"/>
    <w:qFormat/>
    <w:uiPriority w:val="0"/>
  </w:style>
  <w:style w:type="paragraph" w:customStyle="1" w:styleId="329">
    <w:name w:val="索引 41"/>
    <w:basedOn w:val="1"/>
    <w:next w:val="1"/>
    <w:semiHidden/>
    <w:qFormat/>
    <w:uiPriority w:val="0"/>
    <w:pPr>
      <w:ind w:left="1260"/>
    </w:pPr>
    <w:rPr>
      <w:rFonts w:eastAsia="Calibri" w:cs="宋体"/>
      <w:sz w:val="20"/>
      <w:lang w:val="zh-CN"/>
    </w:rPr>
  </w:style>
  <w:style w:type="paragraph" w:customStyle="1" w:styleId="330">
    <w:name w:val="正文文本缩进 212"/>
    <w:basedOn w:val="1"/>
    <w:qFormat/>
    <w:uiPriority w:val="0"/>
    <w:pPr>
      <w:spacing w:after="120" w:line="480" w:lineRule="auto"/>
      <w:ind w:left="420"/>
    </w:pPr>
  </w:style>
  <w:style w:type="paragraph" w:customStyle="1" w:styleId="331">
    <w:name w:val="*正文"/>
    <w:basedOn w:val="1"/>
    <w:qFormat/>
    <w:uiPriority w:val="0"/>
    <w:pPr>
      <w:spacing w:line="360" w:lineRule="auto"/>
    </w:pPr>
    <w:rPr>
      <w:sz w:val="24"/>
    </w:rPr>
  </w:style>
  <w:style w:type="paragraph" w:customStyle="1" w:styleId="332">
    <w:name w:val="纯文本1"/>
    <w:basedOn w:val="1"/>
    <w:qFormat/>
    <w:uiPriority w:val="0"/>
    <w:rPr>
      <w:rFonts w:ascii="宋体" w:hAnsi="Courier New"/>
      <w:sz w:val="20"/>
      <w:szCs w:val="21"/>
    </w:rPr>
  </w:style>
  <w:style w:type="paragraph" w:customStyle="1" w:styleId="333">
    <w:name w:val="正文文本缩进 21"/>
    <w:basedOn w:val="1"/>
    <w:qFormat/>
    <w:uiPriority w:val="0"/>
    <w:pPr>
      <w:spacing w:line="500" w:lineRule="exact"/>
      <w:ind w:firstLine="560"/>
    </w:pPr>
    <w:rPr>
      <w:rFonts w:eastAsia="仿宋_GB2312"/>
      <w:sz w:val="28"/>
      <w:szCs w:val="20"/>
    </w:rPr>
  </w:style>
  <w:style w:type="paragraph" w:customStyle="1" w:styleId="334">
    <w:name w:val="正文缩进11"/>
    <w:basedOn w:val="1"/>
    <w:qFormat/>
    <w:uiPriority w:val="0"/>
    <w:pPr>
      <w:ind w:firstLine="42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e81d165f-e886-4324-a2d4-d32fef83be8d</errorID>
      <errorWord>(</errorWord>
      <group>L1_Format</group>
      <groupName>格式问题</groupName>
      <ability>L2_HalfPunc</ability>
      <abilityName>全半角检查</abilityName>
      <candidateList>
        <item>（</item>
      </candidateList>
      <explain>文本全半角错误。</explain>
      <paraID>31FB2CD3</paraID>
      <start>52</start>
      <end>53</end>
      <status>unmodified</status>
      <modifiedWord/>
      <trackRevisions>false</trackRevisions>
    </reviewItem>
    <reviewItem>
      <errorID>b29e38e3-e1a9-4963-88de-db1dd40f1281</errorID>
      <errorWord>:</errorWord>
      <group>L1_Format</group>
      <groupName>格式问题</groupName>
      <ability>L2_HalfPunc</ability>
      <abilityName>全半角检查</abilityName>
      <candidateList>
        <item>：</item>
      </candidateList>
      <explain>文本全半角错误。</explain>
      <paraID>31FB2CD3</paraID>
      <start>57</start>
      <end>58</end>
      <status>unmodified</status>
      <modifiedWord/>
      <trackRevisions>false</trackRevisions>
    </reviewItem>
    <reviewItem>
      <errorID>66a3fba9-9d8c-4ee0-bfc6-1d30a51710df</errorID>
      <errorWord>)</errorWord>
      <group>L1_Format</group>
      <groupName>格式问题</groupName>
      <ability>L2_HalfPunc</ability>
      <abilityName>全半角检查</abilityName>
      <candidateList>
        <item>）</item>
      </candidateList>
      <explain>文本全半角错误。</explain>
      <paraID>31FB2CD3</paraID>
      <start>59</start>
      <end>60</end>
      <status>unmodified</status>
      <modifiedWord/>
      <trackRevisions>false</trackRevisions>
    </reviewItem>
    <reviewItem>
      <errorID>ebc71171-45d5-4306-b58e-43a15a5cc7e9</errorID>
      <errorWord> (</errorWord>
      <group>L1_Punc</group>
      <groupName>标点问题</groupName>
      <ability>L2_Punc</ability>
      <abilityName>标点符号检查</abilityName>
      <candidateList>
        <item>（</item>
      </candidateList>
      <explain/>
      <paraID>15477D45</paraID>
      <start>0</start>
      <end>2</end>
      <status>unmodified</status>
      <modifiedWord/>
      <trackRevisions>false</trackRevisions>
    </reviewItem>
    <reviewItem>
      <errorID>ce63ed78-33ae-40a3-bf75-6e8869971e9b</errorID>
      <errorWord>（</errorWord>
      <group>L1_Punc</group>
      <groupName>标点问题</groupName>
      <ability>L2_Punc</ability>
      <abilityName>标点符号检查</abilityName>
      <candidateList>
        <item/>
      </candidateList>
      <explain/>
      <paraID>15477D45</paraID>
      <start>37</start>
      <end>38</end>
      <status>unmodified</status>
      <modifiedWord/>
      <trackRevisions>false</trackRevisions>
    </reviewItem>
    <reviewItem>
      <errorID>2ab862e5-c0a4-41b2-8f2f-3be223251a81</errorID>
      <errorWord>）</errorWord>
      <group>L1_Punc</group>
      <groupName>标点问题</groupName>
      <ability>L2_Punc</ability>
      <abilityName>标点符号检查</abilityName>
      <candidateList>
        <item/>
      </candidateList>
      <explain/>
      <paraID>15477D45</paraID>
      <start>46</start>
      <end>47</end>
      <status>unmodified</status>
      <modifiedWord/>
      <trackRevisions>false</trackRevisions>
    </reviewItem>
    <reviewItem>
      <errorID>a6089aed-e946-4d74-afb1-7ac6fddce762</errorID>
      <errorWord>(</errorWord>
      <group>L1_Format</group>
      <groupName>格式问题</groupName>
      <ability>L2_HalfPunc</ability>
      <abilityName>全半角检查</abilityName>
      <candidateList>
        <item>（</item>
      </candidateList>
      <explain>文本全半角错误。</explain>
      <paraID>1F110F88</paraID>
      <start>165</start>
      <end>166</end>
      <status>unmodified</status>
      <modifiedWord/>
      <trackRevisions>false</trackRevisions>
    </reviewItem>
    <reviewItem>
      <errorID>0a48852f-8c62-49cd-b0a9-f28f6595d4a2</errorID>
      <errorWord>)</errorWord>
      <group>L1_Format</group>
      <groupName>格式问题</groupName>
      <ability>L2_HalfPunc</ability>
      <abilityName>全半角检查</abilityName>
      <candidateList>
        <item>）</item>
      </candidateList>
      <explain>文本全半角错误。</explain>
      <paraID>1F110F88</paraID>
      <start>175</start>
      <end>176</end>
      <status>unmodified</status>
      <modifiedWord/>
      <trackRevisions>false</trackRevisions>
    </reviewItem>
    <reviewItem>
      <errorID>f6e78b7e-3850-4d17-823e-1d528d7e526c</errorID>
      <errorWord>或企</errorWord>
      <group>L1_Grammar</group>
      <groupName>语法问题</groupName>
      <ability>L2_Grammar</ability>
      <abilityName>语法错误</abilityName>
      <candidateList>
        <item>”或“企</item>
      </candidateList>
      <explain/>
      <paraID>6047E53D</paraID>
      <start>24</start>
      <end>28</end>
      <status>modified</status>
      <modifiedWord>”或“企</modifiedWord>
      <trackRevisions>false</trackRevisions>
    </reviewItem>
    <reviewItem>
      <errorID>434f7f5f-701a-416c-8b5c-c05c9bed1ef0</errorID>
      <errorWord>关联性</errorWord>
      <group>L1_Word</group>
      <groupName>字词问题</groupName>
      <ability>L2_Typo</ability>
      <abilityName>字词错误</abilityName>
      <candidateList>
        <item>关联</item>
      </candidateList>
      <explain/>
      <paraID>6047E53D</paraID>
      <start>45</start>
      <end>48</end>
      <status>unmodified</status>
      <modifiedWord/>
      <trackRevisions>false</trackRevisions>
    </reviewItem>
    <reviewItem>
      <errorID>6320175f-70cb-47bb-97d3-1b4945213255</errorID>
      <errorWord>-</errorWord>
      <group>L1_Format</group>
      <groupName>格式问题</groupName>
      <ability>L2_HalfPunc</ability>
      <abilityName>全半角检查</abilityName>
      <candidateList>
        <item>－</item>
      </candidateList>
      <explain>文本全半角错误。</explain>
      <paraID>5D9B03D2</paraID>
      <start>11</start>
      <end>12</end>
      <status>unmodified</status>
      <modifiedWord/>
      <trackRevisions>false</trackRevisions>
    </reviewItem>
    <reviewItem>
      <errorID>3fb54362-3161-4ea7-bef5-160a8472d1d6</errorID>
      <errorWord>-</errorWord>
      <group>L1_Format</group>
      <groupName>格式问题</groupName>
      <ability>L2_HalfPunc</ability>
      <abilityName>全半角检查</abilityName>
      <candidateList>
        <item>－</item>
      </candidateList>
      <explain>文本全半角错误。</explain>
      <paraID>5D9B03D2</paraID>
      <start>12</start>
      <end>13</end>
      <status>unmodified</status>
      <modifiedWord/>
      <trackRevisions>false</trackRevisions>
    </reviewItem>
    <reviewItem>
      <errorID>6dbfa9d1-3fa0-4c1c-bb02-4223a3599502</errorID>
      <errorWord>-</errorWord>
      <group>L1_Format</group>
      <groupName>格式问题</groupName>
      <ability>L2_HalfPunc</ability>
      <abilityName>全半角检查</abilityName>
      <candidateList>
        <item>－</item>
      </candidateList>
      <explain>文本全半角错误。</explain>
      <paraID>5D9B03D2</paraID>
      <start>38</start>
      <end>39</end>
      <status>unmodified</status>
      <modifiedWord/>
      <trackRevisions>false</trackRevisions>
    </reviewItem>
    <reviewItem>
      <errorID>aa50aea2-a68d-40c4-9401-82c5b94a35d8</errorID>
      <errorWord>-</errorWord>
      <group>L1_Format</group>
      <groupName>格式问题</groupName>
      <ability>L2_HalfPunc</ability>
      <abilityName>全半角检查</abilityName>
      <candidateList>
        <item>－</item>
      </candidateList>
      <explain>文本全半角错误。</explain>
      <paraID>5D9B03D2</paraID>
      <start>39</start>
      <end>40</end>
      <status>unmodified</status>
      <modifiedWord/>
      <trackRevisions>false</trackRevisions>
    </reviewItem>
    <reviewItem>
      <errorID>461f8455-ee3e-4e90-bb19-da9afa641be5</errorID>
      <errorWord>“.</errorWord>
      <group>L1_Punc</group>
      <groupName>标点问题</groupName>
      <ability>L2_Punc</ability>
      <abilityName>标点符号检查</abilityName>
      <candidateList>
        <item>“</item>
      </candidateList>
      <explain/>
      <paraID>5D9B03D2</paraID>
      <start>51</start>
      <end>53</end>
      <status>unmodified</status>
      <modifiedWord/>
      <trackRevisions>false</trackRevisions>
    </reviewItem>
    <reviewItem>
      <errorID>ec5e33df-80f1-43c8-9415-03b84410bc0c</errorID>
      <errorWord>“.</errorWord>
      <group>L1_Punc</group>
      <groupName>标点问题</groupName>
      <ability>L2_Punc</ability>
      <abilityName>标点符号检查</abilityName>
      <candidateList>
        <item>“</item>
      </candidateList>
      <explain/>
      <paraID>5D9B03D2</paraID>
      <start>66</start>
      <end>68</end>
      <status>unmodified</status>
      <modifiedWord/>
      <trackRevisions>false</trackRevisions>
    </reviewItem>
    <reviewItem>
      <errorID>d0fbe2f0-8090-4d0a-8162-c4ca48b55d16</errorID>
      <errorWord>-</errorWord>
      <group>L1_Format</group>
      <groupName>格式问题</groupName>
      <ability>L2_HalfPunc</ability>
      <abilityName>全半角检查</abilityName>
      <candidateList>
        <item>－</item>
      </candidateList>
      <explain>文本全半角错误。</explain>
      <paraID>5D9B03D2</paraID>
      <start>89</start>
      <end>90</end>
      <status>unmodified</status>
      <modifiedWord/>
      <trackRevisions>false</trackRevisions>
    </reviewItem>
    <reviewItem>
      <errorID>13023166-56c2-4c5c-a8be-b5016dd857a4</errorID>
      <errorWord>-</errorWord>
      <group>L1_Format</group>
      <groupName>格式问题</groupName>
      <ability>L2_HalfPunc</ability>
      <abilityName>全半角检查</abilityName>
      <candidateList>
        <item>－</item>
      </candidateList>
      <explain>文本全半角错误。</explain>
      <paraID>5D9B03D2</paraID>
      <start>90</start>
      <end>91</end>
      <status>unmodified</status>
      <modifiedWord/>
      <trackRevisions>false</trackRevisions>
    </reviewItem>
    <reviewItem>
      <errorID>4a0f2741-3433-4623-83e1-18692f58206e</errorID>
      <errorWord>-</errorWord>
      <group>L1_Format</group>
      <groupName>格式问题</groupName>
      <ability>L2_HalfPunc</ability>
      <abilityName>全半角检查</abilityName>
      <candidateList>
        <item>－</item>
      </candidateList>
      <explain>文本全半角错误。</explain>
      <paraID>5D9B03D2</paraID>
      <start>97</start>
      <end>98</end>
      <status>unmodified</status>
      <modifiedWord/>
      <trackRevisions>false</trackRevisions>
    </reviewItem>
    <reviewItem>
      <errorID>338d190f-3bc2-414e-8948-42d8c2f3f009</errorID>
      <errorWord>-</errorWord>
      <group>L1_Format</group>
      <groupName>格式问题</groupName>
      <ability>L2_HalfPunc</ability>
      <abilityName>全半角检查</abilityName>
      <candidateList>
        <item>－</item>
      </candidateList>
      <explain>文本全半角错误。</explain>
      <paraID>5D9B03D2</paraID>
      <start>98</start>
      <end>99</end>
      <status>unmodified</status>
      <modifiedWord/>
      <trackRevisions>false</trackRevisions>
    </reviewItem>
    <reviewItem>
      <errorID>2d20a961-9b3c-421f-b20d-9edf185dec02</errorID>
      <errorWord>―</errorWord>
      <group>L1_Word</group>
      <groupName>字词问题</groupName>
      <ability>L2_Typo</ability>
      <abilityName>字词错误</abilityName>
      <candidateList>
        <item>——</item>
      </candidateList>
      <explain/>
      <paraID>19A211DE</paraID>
      <start>44</start>
      <end>45</end>
      <status>unmodified</status>
      <modifiedWord/>
      <trackRevisions>false</trackRevisions>
    </reviewItem>
    <reviewItem>
      <errorID>c9d1c0e5-7bd0-458a-bf17-65f3fcd0e1b4</errorID>
      <errorWord>-</errorWord>
      <group>L1_Format</group>
      <groupName>格式问题</groupName>
      <ability>L2_HalfPunc</ability>
      <abilityName>全半角检查</abilityName>
      <candidateList>
        <item>－</item>
      </candidateList>
      <explain>文本全半角错误。</explain>
      <paraID>19A211DE</paraID>
      <start>49</start>
      <end>50</end>
      <status>unmodified</status>
      <modifiedWord/>
      <trackRevisions>false</trackRevisions>
    </reviewItem>
    <reviewItem>
      <errorID>44de36f1-d514-4256-810f-0853ab9d674a</errorID>
      <errorWord>“.</errorWord>
      <group>L1_Punc</group>
      <groupName>标点问题</groupName>
      <ability>L2_Punc</ability>
      <abilityName>标点符号检查</abilityName>
      <candidateList>
        <item>“</item>
      </candidateList>
      <explain/>
      <paraID>442A453E</paraID>
      <start>12</start>
      <end>14</end>
      <status>unmodified</status>
      <modifiedWord/>
      <trackRevisions>false</trackRevisions>
    </reviewItem>
    <reviewItem>
      <errorID>e5191955-b83a-4c2e-981b-389ba6cd35c7</errorID>
      <errorWord>-</errorWord>
      <group>L1_Format</group>
      <groupName>格式问题</groupName>
      <ability>L2_HalfPunc</ability>
      <abilityName>全半角检查</abilityName>
      <candidateList>
        <item>－</item>
      </candidateList>
      <explain>文本全半角错误。</explain>
      <paraID>442A453E</paraID>
      <start>48</start>
      <end>49</end>
      <status>unmodified</status>
      <modifiedWord/>
      <trackRevisions>false</trackRevisions>
    </reviewItem>
    <reviewItem>
      <errorID>c9d055e1-98ee-4ba4-99af-a393d5d7ef86</errorID>
      <errorWord>-</errorWord>
      <group>L1_Format</group>
      <groupName>格式问题</groupName>
      <ability>L2_HalfPunc</ability>
      <abilityName>全半角检查</abilityName>
      <candidateList>
        <item>－</item>
      </candidateList>
      <explain>文本全半角错误。</explain>
      <paraID>442A453E</paraID>
      <start>49</start>
      <end>50</end>
      <status>unmodified</status>
      <modifiedWord/>
      <trackRevisions>false</trackRevisions>
    </reviewItem>
    <reviewItem>
      <errorID>c6d8c199-e11e-4d6a-a7b8-fe4be6708261</errorID>
      <errorWord>-</errorWord>
      <group>L1_Format</group>
      <groupName>格式问题</groupName>
      <ability>L2_HalfPunc</ability>
      <abilityName>全半角检查</abilityName>
      <candidateList>
        <item>－</item>
      </candidateList>
      <explain>文本全半角错误。</explain>
      <paraID>442A453E</paraID>
      <start>55</start>
      <end>56</end>
      <status>unmodified</status>
      <modifiedWord/>
      <trackRevisions>false</trackRevisions>
    </reviewItem>
    <reviewItem>
      <errorID>d9a18d8c-581d-4294-9fa2-723b98d28081</errorID>
      <errorWord>-</errorWord>
      <group>L1_Format</group>
      <groupName>格式问题</groupName>
      <ability>L2_HalfPunc</ability>
      <abilityName>全半角检查</abilityName>
      <candidateList>
        <item>－</item>
      </candidateList>
      <explain>文本全半角错误。</explain>
      <paraID>442A453E</paraID>
      <start>56</start>
      <end>57</end>
      <status>unmodified</status>
      <modifiedWord/>
      <trackRevisions>false</trackRevisions>
    </reviewItem>
    <reviewItem>
      <errorID>91e41f34-fd59-46e5-8f63-beddff47bcd5</errorID>
      <errorWord>联系</errorWord>
      <group>L1_Punc</group>
      <groupName>标点问题</groupName>
      <ability>L2_Punc</ability>
      <abilityName>标点符号检查</abilityName>
      <candidateList>
        <item>联系：</item>
      </candidateList>
      <explain/>
      <paraID>7117F63A</paraID>
      <start>18</start>
      <end>20</end>
      <status>unmodified</status>
      <modifiedWord/>
      <trackRevisions>false</trackRevisions>
    </reviewItem>
    <reviewItem>
      <errorID>fc9be456-4416-48ce-928e-0004fc56e01f</errorID>
      <errorWord>:</errorWord>
      <group>L1_Format</group>
      <groupName>格式问题</groupName>
      <ability>L2_HalfPunc</ability>
      <abilityName>全半角检查</abilityName>
      <candidateList>
        <item>：</item>
      </candidateList>
      <explain>文本全半角错误。</explain>
      <paraID>1A4DB69D</paraID>
      <start>2</start>
      <end>3</end>
      <status>unmodified</status>
      <modifiedWord/>
      <trackRevisions>false</trackRevisions>
    </reviewItem>
    <reviewItem>
      <errorID>d273fa9f-2249-4866-9fac-f8047710e537</errorID>
      <errorWord>投标人的</errorWord>
      <group>L1_Word</group>
      <groupName>字词问题</groupName>
      <ability>L2_Typo</ability>
      <abilityName>字词错误</abilityName>
      <candidateList>
        <item>对投标人</item>
      </candidateList>
      <explain/>
      <paraID>77563D08</paraID>
      <start>10</start>
      <end>14</end>
      <status>unmodified</status>
      <modifiedWord/>
      <trackRevisions>false</trackRevisions>
    </reviewItem>
    <reviewItem>
      <errorID>dad58a26-091f-416e-aa7d-4e27132f9b85</errorID>
      <errorWord>的法律法规</errorWord>
      <group>L1_Word</group>
      <groupName>字词问题</groupName>
      <ability>L2_Typo</ability>
      <abilityName>字词错误</abilityName>
      <candidateList>
        <item>法律法规的</item>
      </candidateList>
      <explain/>
      <paraID>40CE3533</paraID>
      <start>25</start>
      <end>30</end>
      <status>unmodified</status>
      <modifiedWord/>
      <trackRevisions>false</trackRevisions>
    </reviewItem>
    <reviewItem>
      <errorID>6335ae46-4e0f-46a9-a7a1-6449881a4722</errorID>
      <errorWord>表</errorWord>
      <group>L1_Punc</group>
      <groupName>标点问题</groupName>
      <ability>L2_Punc</ability>
      <abilityName>标点符号检查</abilityName>
      <candidateList>
        <item>表：</item>
      </candidateList>
      <explain/>
      <paraID>51070913</paraID>
      <start>20</start>
      <end>22</end>
      <status>modified</status>
      <modifiedWord>表：</modifiedWord>
      <trackRevisions>false</trackRevisions>
    </reviewItem>
    <reviewItem>
      <errorID>05d27cfa-c497-41d2-bfcc-4eb5e6678886</errorID>
      <errorWord>修改</errorWord>
      <group>L1_Punc</group>
      <groupName>标点问题</groupName>
      <ability>L2_Punc</ability>
      <abilityName>标点符号检查</abilityName>
      <candidateList>
        <item>修改。</item>
      </candidateList>
      <explain/>
      <paraID> 34EB1D5</paraID>
      <start>75</start>
      <end>78</end>
      <status>modified</status>
      <modifiedWord>修改。</modifiedWord>
      <trackRevisions>false</trackRevisions>
    </reviewItem>
    <reviewItem>
      <errorID>375d8ecf-005f-4d5f-b957-1e769323956b</errorID>
      <errorWord>会</errorWord>
      <group>L1_Punc</group>
      <groupName>标点问题</groupName>
      <ability>L2_Punc</ability>
      <abilityName>标点符号检查</abilityName>
      <candidateList>
        <item>会。</item>
      </candidateList>
      <explain/>
      <paraID>7D08DE5D</paraID>
      <start>12</start>
      <end>14</end>
      <status>modified</status>
      <modifiedWord>会。</modifiedWord>
      <trackRevisions>false</trackRevisions>
    </reviewItem>
    <reviewItem>
      <errorID>49f143db-a857-4555-bf1c-613736681e26</errorID>
      <errorWord>间</errorWord>
      <group>L1_Word</group>
      <groupName>字词问题</groupName>
      <ability>L2_Typo</ability>
      <abilityName>字词错误</abilityName>
      <candidateList>
        <item>间之</item>
      </candidateList>
      <explain/>
      <paraID>4DD90D95</paraID>
      <start>9</start>
      <end>10</end>
      <status>unmodified</status>
      <modifiedWord/>
      <trackRevisions>false</trackRevisions>
    </reviewItem>
    <reviewItem>
      <errorID>c70b60ba-75eb-45a7-b077-4ccb789acef6</errorID>
      <errorWord>期</errorWord>
      <group>L1_Word</group>
      <groupName>字词问题</groupName>
      <ability>L2_Typo</ability>
      <abilityName>字词错误</abilityName>
      <candidateList>
        <item>期内</item>
      </candidateList>
      <explain/>
      <paraID>2596960C</paraID>
      <start>12</start>
      <end>13</end>
      <status>unmodified</status>
      <modifiedWord/>
      <trackRevisions>false</trackRevisions>
    </reviewItem>
    <reviewItem>
      <errorID>4f1d2ada-9064-47a8-95b6-559e24bd429b</errorID>
      <errorWord>修改的</errorWord>
      <group>L1_Word</group>
      <groupName>字词问题</groupName>
      <ability>L2_Typo</ability>
      <abilityName>字词错误</abilityName>
      <candidateList>
        <item>修改</item>
      </candidateList>
      <explain/>
      <paraID>2596960C</paraID>
      <start>49</start>
      <end>52</end>
      <status>unmodified</status>
      <modifiedWord/>
      <trackRevisions>false</trackRevisions>
    </reviewItem>
    <reviewItem>
      <errorID>5c46f625-7b6b-4c52-bf0e-102021916367</errorID>
      <errorWord>采购</errorWord>
      <group>L1_Punc</group>
      <groupName>标点问题</groupName>
      <ability>L2_Punc</ability>
      <abilityName>标点符号检查</abilityName>
      <candidateList>
        <item>，采购</item>
      </candidateList>
      <explain/>
      <paraID>2596960C</paraID>
      <start>120</start>
      <end>122</end>
      <status>unmodified</status>
      <modifiedWord/>
      <trackRevisions>false</trackRevisions>
    </reviewItem>
    <reviewItem>
      <errorID>311b5a81-3906-4911-85a4-cc69b6e5c11c</errorID>
      <errorWord>“.</errorWord>
      <group>L1_Punc</group>
      <groupName>标点问题</groupName>
      <ability>L2_Punc</ability>
      <abilityName>标点符号检查</abilityName>
      <candidateList>
        <item>“</item>
      </candidateList>
      <explain/>
      <paraID>2596960C</paraID>
      <start>189</start>
      <end>191</end>
      <status>unmodified</status>
      <modifiedWord/>
      <trackRevisions>false</trackRevisions>
    </reviewItem>
    <reviewItem>
      <errorID>d6337817-8029-472f-8147-8fcdb4664b8e</errorID>
      <errorWord>按</errorWord>
      <group>L1_Word</group>
      <groupName>字词问题</groupName>
      <ability>L2_Typo</ability>
      <abilityName>字词错误</abilityName>
      <candidateList>
        <item>应按</item>
      </candidateList>
      <explain/>
      <paraID>66F43BB8</paraID>
      <start>44</start>
      <end>45</end>
      <status>unmodified</status>
      <modifiedWord/>
      <trackRevisions>false</trackRevisions>
    </reviewItem>
    <reviewItem>
      <errorID>aecd85f4-6c60-4f47-80a1-a19b7431e327</errorID>
      <errorWord>文件</errorWord>
      <group>L1_Punc</group>
      <groupName>标点问题</groupName>
      <ability>L2_Punc</ability>
      <abilityName>标点符号检查</abilityName>
      <candidateList>
        <item>文件。</item>
      </candidateList>
      <explain/>
      <paraID>66F43BB8</paraID>
      <start>64</start>
      <end>66</end>
      <status>unmodified</status>
      <modifiedWord/>
      <trackRevisions>false</trackRevisions>
    </reviewItem>
    <reviewItem>
      <errorID>03734e4c-5b68-461b-ad3e-6bbe65c91152</errorID>
      <errorWord>因此</errorWord>
      <group>L1_Word</group>
      <groupName>字词问题</groupName>
      <ability>L2_Typo</ability>
      <abilityName>字词错误</abilityName>
      <candidateList>
        <item>由此</item>
      </candidateList>
      <explain/>
      <paraID>6C040C4E</paraID>
      <start>26</start>
      <end>28</end>
      <status>unmodified</status>
      <modifiedWord/>
      <trackRevisions>false</trackRevisions>
    </reviewItem>
    <reviewItem>
      <errorID>6d5100b7-113f-4e0a-b2d4-2ff872e8b8a6</errorID>
      <errorWord>结果</errorWord>
      <group>L1_Word</group>
      <groupName>字词问题</groupName>
      <ability>L2_Typo</ability>
      <abilityName>字词错误</abilityName>
      <candidateList>
        <item>后果</item>
      </candidateList>
      <explain/>
      <paraID>6C040C4E</paraID>
      <start>31</start>
      <end>33</end>
      <status>unmodified</status>
      <modifiedWord/>
      <trackRevisions>false</trackRevisions>
    </reviewItem>
    <reviewItem>
      <errorID>b348bcf1-621c-42e8-95d4-76291be7b4dc</errorID>
      <errorWord>达到开标时间</errorWord>
      <group>L1_Word</group>
      <groupName>字词问题</groupName>
      <ability>L2_Typo</ability>
      <abilityName>字词错误</abilityName>
      <candidateList>
        <item>开标时间到达</item>
      </candidateList>
      <explain/>
      <paraID>71457042</paraID>
      <start>85</start>
      <end>91</end>
      <status>unmodified</status>
      <modifiedWord/>
      <trackRevisions>false</trackRevisions>
    </reviewItem>
    <reviewItem>
      <errorID>f06d744e-d047-4ffe-90b7-560a7c02c7b7</errorID>
      <errorWord>在用</errorWord>
      <group>L1_Word</group>
      <groupName>字词问题</groupName>
      <ability>L2_Typo</ability>
      <abilityName>字词错误</abilityName>
      <candidateList>
        <item>使用</item>
      </candidateList>
      <explain/>
      <paraID>1B3BABF0</paraID>
      <start>7</start>
      <end>9</end>
      <status>unmodified</status>
      <modifiedWord/>
      <trackRevisions>false</trackRevisions>
    </reviewItem>
    <reviewItem>
      <errorID>17c18a95-300d-4e18-bb02-fcbff9e08c6f</errorID>
      <errorWord>达到开标时间</errorWord>
      <group>L1_Word</group>
      <groupName>字词问题</groupName>
      <ability>L2_Typo</ability>
      <abilityName>字词错误</abilityName>
      <candidateList>
        <item>开标时间到达</item>
      </candidateList>
      <explain/>
      <paraID>1B3BABF0</paraID>
      <start>36</start>
      <end>42</end>
      <status>unmodified</status>
      <modifiedWord/>
      <trackRevisions>false</trackRevisions>
    </reviewItem>
    <reviewItem>
      <errorID>e8ec2195-1bb5-4744-b66c-d4b8043f30f8</errorID>
      <errorWord>各</errorWord>
      <group>L1_Punc</group>
      <groupName>标点问题</groupName>
      <ability>L2_Punc</ability>
      <abilityName>标点符号检查</abilityName>
      <candidateList>
        <item>，各</item>
      </candidateList>
      <explain/>
      <paraID>  6C6AA4</paraID>
      <start>7</start>
      <end>8</end>
      <status>unmodified</status>
      <modifiedWord/>
      <trackRevisions>false</trackRevisions>
    </reviewItem>
    <reviewItem>
      <errorID>57ba4108-f584-467f-8840-df4c88e135c2</errorID>
      <errorWord>及时</errorWord>
      <group>L1_Word</group>
      <groupName>字词问题</groupName>
      <ability>L2_Typo</ability>
      <abilityName>字词错误</abilityName>
      <candidateList>
        <item>应及时</item>
      </candidateList>
      <explain/>
      <paraID>  6C6AA4</paraID>
      <start>11</start>
      <end>13</end>
      <status>unmodified</status>
      <modifiedWord/>
      <trackRevisions>false</trackRevisions>
    </reviewItem>
    <reviewItem>
      <errorID>65d42bd1-b558-4a74-b28d-1b8f45435998</errorID>
      <errorWord>，</errorWord>
      <group>L1_Punc</group>
      <groupName>标点问题</groupName>
      <ability>L2_Punc</ability>
      <abilityName>标点符号检查</abilityName>
      <candidateList>
        <item>。</item>
      </candidateList>
      <explain/>
      <paraID>  6C6AA4</paraID>
      <start>22</start>
      <end>23</end>
      <status>unmodified</status>
      <modifiedWord/>
      <trackRevisions>false</trackRevisions>
    </reviewItem>
    <reviewItem>
      <errorID>5345ff77-2ab0-4e90-8f0d-2d5d2102cf05</errorID>
      <errorWord>，投标人</errorWord>
      <group>L1_Grammar</group>
      <groupName>语法问题</groupName>
      <ability>L2_Grammar</ability>
      <abilityName>语法错误</abilityName>
      <candidateList>
        <item>，</item>
      </candidateList>
      <explain/>
      <paraID>  6C6AA4</paraID>
      <start>91</start>
      <end>95</end>
      <status>unmodified</status>
      <modifiedWord/>
      <trackRevisions>false</trackRevisions>
    </reviewItem>
    <reviewItem>
      <errorID>58c79c38-ed74-4763-a02e-79e2e39d1e18</errorID>
      <errorWord>之内</errorWord>
      <group>L1_Word</group>
      <groupName>字词问题</groupName>
      <ability>L2_Typo</ability>
      <abilityName>字词错误</abilityName>
      <candidateList>
        <item>内</item>
      </candidateList>
      <explain/>
      <paraID>  6C6AA4</paraID>
      <start>107</start>
      <end>109</end>
      <status>unmodified</status>
      <modifiedWord/>
      <trackRevisions>false</trackRevisions>
    </reviewItem>
    <reviewItem>
      <errorID>72cae8ec-1586-410d-9e7a-8eb06f58ce33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6C364B79</paraID>
      <start>12</start>
      <end>15</end>
      <status>unmodified</status>
      <modifiedWord/>
      <trackRevisions>false</trackRevisions>
    </reviewItem>
    <reviewItem>
      <errorID>4b4a848b-83e1-4a4d-96a5-f31998536818</errorID>
      <errorWord>做出</errorWord>
      <group>L1_Word</group>
      <groupName>字词问题</groupName>
      <ability>L2_Typo</ability>
      <abilityName>字词错误</abilityName>
      <candidateList>
        <item>作出</item>
      </candidateList>
      <explain/>
      <paraID>39B49790</paraID>
      <start>30</start>
      <end>32</end>
      <status>unmodified</status>
      <modifiedWord/>
      <trackRevisions>false</trackRevisions>
    </reviewItem>
    <reviewItem>
      <errorID>de4a0ce0-33c8-4de7-8441-581722f41632</errorID>
      <errorWord>检查</errorWord>
      <group>L1_Word</group>
      <groupName>字词问题</groupName>
      <ability>L2_Typo</ability>
      <abilityName>字词错误</abilityName>
      <candidateList>
        <item>审查</item>
      </candidateList>
      <explain/>
      <paraID>5DC96A5F</paraID>
      <start>8</start>
      <end>10</end>
      <status>unmodified</status>
      <modifiedWord/>
      <trackRevisions>false</trackRevisions>
    </reviewItem>
    <reviewItem>
      <errorID>eb896ef1-9789-40d5-b634-35b3f5e2d355</errorID>
      <errorWord>评委会进行</errorWord>
      <group>L1_Grammar</group>
      <groupName>语法问题</groupName>
      <ability>L2_Grammar</ability>
      <abilityName>语法错误</abilityName>
      <candidateList>
        <item>评委会</item>
      </candidateList>
      <explain/>
      <paraID>5DC96A5F</paraID>
      <start>65</start>
      <end>70</end>
      <status>unmodified</status>
      <modifiedWord/>
      <trackRevisions>false</trackRevisions>
    </reviewItem>
    <reviewItem>
      <errorID>fe88260e-b547-49f1-b237-666b53eb87c5</errorID>
      <errorWord>,</errorWord>
      <group>L1_Format</group>
      <groupName>格式问题</groupName>
      <ability>L2_HalfPunc</ability>
      <abilityName>全半角检查</abilityName>
      <candidateList>
        <item>，</item>
      </candidateList>
      <explain>文本全半角错误。</explain>
      <paraID>1302B9B2</paraID>
      <start>79</start>
      <end>80</end>
      <status>unmodified</status>
      <modifiedWord/>
      <trackRevisions>false</trackRevisions>
    </reviewItem>
    <reviewItem>
      <errorID>110fc38e-a2fb-4728-b0dd-9babdc5a0dbc</errorID>
      <errorWord>,</errorWord>
      <group>L1_Format</group>
      <groupName>格式问题</groupName>
      <ability>L2_HalfPunc</ability>
      <abilityName>全半角检查</abilityName>
      <candidateList>
        <item>，</item>
      </candidateList>
      <explain>文本全半角错误。</explain>
      <paraID>6A9AACD1</paraID>
      <start>59</start>
      <end>60</end>
      <status>unmodified</status>
      <modifiedWord/>
      <trackRevisions>false</trackRevisions>
    </reviewItem>
    <reviewItem>
      <errorID>90c7ce20-5581-4953-b91e-afcd5d308cac</errorID>
      <errorWord>从</errorWord>
      <group>L1_Word</group>
      <groupName>字词问题</groupName>
      <ability>L2_Typo</ability>
      <abilityName>字词错误</abilityName>
      <candidateList>
        <item>对</item>
      </candidateList>
      <explain/>
      <paraID>4AE4AEE2</paraID>
      <start>27</start>
      <end>28</end>
      <status>unmodified</status>
      <modifiedWord/>
      <trackRevisions>false</trackRevisions>
    </reviewItem>
    <reviewItem>
      <errorID>5e9b1b60-6236-4753-a1b3-3af4922b243b</errorID>
      <errorWord>&lt;</errorWord>
      <group>L1_Format</group>
      <groupName>格式问题</groupName>
      <ability>L2_HalfPunc</ability>
      <abilityName>全半角检查</abilityName>
      <candidateList>
        <item>〈</item>
      </candidateList>
      <explain>文本全半角错误。</explain>
      <paraID>74B10DC4</paraID>
      <start>48</start>
      <end>49</end>
      <status>unmodified</status>
      <modifiedWord/>
      <trackRevisions>false</trackRevisions>
    </reviewItem>
    <reviewItem>
      <errorID>a1963341-03f1-4e62-bd9a-660ce11e5762</errorID>
      <errorWord>&lt;</errorWord>
      <group>L1_Format</group>
      <groupName>格式问题</groupName>
      <ability>L2_HalfPunc</ability>
      <abilityName>全半角检查</abilityName>
      <candidateList>
        <item>〈</item>
      </candidateList>
      <explain>文本全半角错误。</explain>
      <paraID>476A0992</paraID>
      <start>48</start>
      <end>49</end>
      <status>unmodified</status>
      <modifiedWord/>
      <trackRevisions>false</trackRevisions>
    </reviewItem>
    <reviewItem>
      <errorID>efcdfdd4-ab62-47ab-a89f-7af5e3cbe670</errorID>
      <errorWord>&lt;</errorWord>
      <group>L1_Format</group>
      <groupName>格式问题</groupName>
      <ability>L2_HalfPunc</ability>
      <abilityName>全半角检查</abilityName>
      <candidateList>
        <item>〈</item>
      </candidateList>
      <explain>文本全半角错误。</explain>
      <paraID>49FDF922</paraID>
      <start>33</start>
      <end>34</end>
      <status>unmodified</status>
      <modifiedWord/>
      <trackRevisions>false</trackRevisions>
    </reviewItem>
    <reviewItem>
      <errorID>f181eed7-b03b-469f-bfe3-5827a61bc566</errorID>
      <errorWord>(</errorWord>
      <group>L1_Format</group>
      <groupName>格式问题</groupName>
      <ability>L2_HalfPunc</ability>
      <abilityName>全半角检查</abilityName>
      <candidateList>
        <item>（</item>
      </candidateList>
      <explain>文本全半角错误。</explain>
      <paraID>7D49575F</paraID>
      <start>16</start>
      <end>17</end>
      <status>unmodified</status>
      <modifiedWord/>
      <trackRevisions>false</trackRevisions>
    </reviewItem>
    <reviewItem>
      <errorID>99e1fc7d-28eb-442e-aa27-6c679b483e7d</errorID>
      <errorWord>)</errorWord>
      <group>L1_Format</group>
      <groupName>格式问题</groupName>
      <ability>L2_HalfPunc</ability>
      <abilityName>全半角检查</abilityName>
      <candidateList>
        <item>）</item>
      </candidateList>
      <explain>文本全半角错误。</explain>
      <paraID>7D49575F</paraID>
      <start>19</start>
      <end>20</end>
      <status>unmodified</status>
      <modifiedWord/>
      <trackRevisions>false</trackRevisions>
    </reviewItem>
    <reviewItem>
      <errorID>86f1d645-5683-4715-a881-7e6d8bd33ed0</errorID>
      <errorWord>，</errorWord>
      <group>L1_Word</group>
      <groupName>字词问题</groupName>
      <ability>L2_Typo</ability>
      <abilityName>字词错误</abilityName>
      <candidateList>
        <item>，并</item>
      </candidateList>
      <explain/>
      <paraID>7D49575F</paraID>
      <start>64</start>
      <end>65</end>
      <status>unmodified</status>
      <modifiedWord/>
      <trackRevisions>false</trackRevisions>
    </reviewItem>
    <reviewItem>
      <errorID>8c54fe22-3df9-4173-8829-52865d7b497b</errorID>
      <errorWord>项目中标（</errorWord>
      <group>L1_Grammar</group>
      <groupName>语法问题</groupName>
      <ability>L2_Grammar</ability>
      <abilityName>语法错误</abilityName>
      <candidateList>
        <item>项目</item>
      </candidateList>
      <explain/>
      <paraID>6ABA0554</paraID>
      <start>31</start>
      <end>36</end>
      <status>unmodified</status>
      <modifiedWord/>
      <trackRevisions>false</trackRevisions>
    </reviewItem>
    <reviewItem>
      <errorID>e2d1dea9-2658-4e91-87e3-35d3e90995f1</errorID>
      <errorWord>）</errorWord>
      <group>L1_Punc</group>
      <groupName>标点问题</groupName>
      <ability>L2_Punc</ability>
      <abilityName>标点符号检查</abilityName>
      <candidateList>
        <item/>
      </candidateList>
      <explain/>
      <paraID>6ABA0554</paraID>
      <start>38</start>
      <end>39</end>
      <status>unmodified</status>
      <modifiedWord/>
      <trackRevisions>false</trackRevisions>
    </reviewItem>
    <reviewItem>
      <errorID>611ffdfd-2d30-42c3-87d0-dc8e35890c97</errorID>
      <errorWord>保持通讯畅通</errorWord>
      <group>L1_Word</group>
      <groupName>字词问题</groupName>
      <ability>L2_Typo</ability>
      <abilityName>字词错误</abilityName>
      <candidateList>
        <item>保持通信畅通</item>
      </candidateList>
      <explain/>
      <paraID>184B8938</paraID>
      <start>18</start>
      <end>24</end>
      <status>unmodified</status>
      <modifiedWord/>
      <trackRevisions>false</trackRevisions>
    </reviewItem>
    <reviewItem>
      <errorID>451b6172-e83f-4dfb-8306-160d0218061b</errorID>
      <errorWord>本</errorWord>
      <group>L1_Word</group>
      <groupName>字词问题</groupName>
      <ability>L2_Typo</ability>
      <abilityName>字词错误</abilityName>
      <candidateList>
        <item> 本</item>
      </candidateList>
      <explain/>
      <paraID>68DBE7D4</paraID>
      <start>3</start>
      <end>4</end>
      <status>unmodified</status>
      <modifiedWord/>
      <trackRevisions>false</trackRevisions>
    </reviewItem>
    <reviewItem>
      <errorID>989bbdb7-97f4-4093-a8d1-ff961212f75d</errorID>
      <errorWord>投标文件</errorWord>
      <group>L1_Grammar</group>
      <groupName>语法问题</groupName>
      <ability>L2_Grammar</ability>
      <abilityName>语法错误</abilityName>
      <candidateList>
        <item>将</item>
      </candidateList>
      <explain/>
      <paraID>68DBE7D4</paraID>
      <start>17</start>
      <end>21</end>
      <status>unmodified</status>
      <modifiedWord/>
      <trackRevisions>false</trackRevisions>
    </reviewItem>
    <reviewItem>
      <errorID>3347c28e-7d13-4c25-9d7e-478ee0efc865</errorID>
      <errorWord>通过</errorWord>
      <group>L1_Grammar</group>
      <groupName>语法问题</groupName>
      <ability>L2_Grammar</ability>
      <abilityName>语法错误</abilityName>
      <candidateList>
        <item>的投标文件通过</item>
      </candidateList>
      <explain/>
      <paraID>68DBE7D4</paraID>
      <start>33</start>
      <end>35</end>
      <status>unmodified</status>
      <modifiedWord/>
      <trackRevisions>false</trackRevisions>
    </reviewItem>
    <reviewItem>
      <errorID>669a3d3b-4665-4176-9859-2c30abd93201</errorID>
      <errorWord>投标人被 </errorWord>
      <group>L1_Word</group>
      <groupName>字词问题</groupName>
      <ability>L2_Typo</ability>
      <abilityName>字词错误</abilityName>
      <candidateList>
        <item> 投标人被</item>
      </candidateList>
      <explain/>
      <paraID>6674205E</paraID>
      <start>5</start>
      <end>10</end>
      <status>unmodified</status>
      <modifiedWord/>
      <trackRevisions>false</trackRevisions>
    </reviewItem>
    <reviewItem>
      <errorID>47d558a8-367a-49cf-be40-cffb48a047e4</errorID>
      <errorWord>或</errorWord>
      <group>L1_Word</group>
      <groupName>字词问题</groupName>
      <ability>L2_Typo</ability>
      <abilityName>字词错误</abilityName>
      <candidateList>
        <item>、</item>
      </candidateList>
      <explain/>
      <paraID>6674205E</paraID>
      <start>50</start>
      <end>51</end>
      <status>unmodified</status>
      <modifiedWord/>
      <trackRevisions>false</trackRevisions>
    </reviewItem>
    <reviewItem>
      <errorID>d166a6da-4fe6-426e-af7e-3a4fbf7ddb14</errorID>
      <errorWord>。</errorWord>
      <group>L1_Punc</group>
      <groupName>标点问题</groupName>
      <ability>L2_Punc</ability>
      <abilityName>标点符号检查</abilityName>
      <candidateList>
        <item>，</item>
      </candidateList>
      <explain/>
      <paraID>6674205E</paraID>
      <start>79</start>
      <end>80</end>
      <status>unmodified</status>
      <modifiedWord/>
      <trackRevisions>false</trackRevisions>
    </reviewItem>
    <reviewItem>
      <errorID>c0f4f2f8-4d60-45d3-bfe9-4d5170085ac8</errorID>
      <errorWord>投标文件含有采购人不能接受的附加条件的 </errorWord>
      <group>L1_Word</group>
      <groupName>字词问题</groupName>
      <ability>L2_Typo</ability>
      <abilityName>字词错误</abilityName>
      <candidateList>
        <item> 投标文件含有采购人不能接受的附加条件的</item>
      </candidateList>
      <explain/>
      <paraID>100A929D</paraID>
      <start>5</start>
      <end>25</end>
      <status>unmodified</status>
      <modifiedWord/>
      <trackRevisions>false</trackRevisions>
    </reviewItem>
    <reviewItem>
      <errorID>b3699ae9-b604-45fe-ba73-559286ed99ed</errorID>
      <errorWord>国家发改委</errorWord>
      <group>L1_Knowledge</group>
      <groupName>知识性问题</groupName>
      <ability>L2_Knowledge</ability>
      <abilityName>其他知识</abilityName>
      <candidateList>
        <item>国家发展改革委</item>
      </candidateList>
      <explain/>
      <paraID>2CD0DDB1</paraID>
      <start>17</start>
      <end>22</end>
      <status>unmodified</status>
      <modifiedWord/>
      <trackRevisions>false</trackRevisions>
    </reviewItem>
    <reviewItem>
      <errorID>a40ad4ae-eb01-4a3e-bea2-034854e5b457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2CD0DDB1</paraID>
      <start>40</start>
      <end>42</end>
      <status>modified</status>
      <modifiedWord>”“</modifiedWord>
      <trackRevisions>false</trackRevisions>
    </reviewItem>
    <reviewItem>
      <errorID>194090fe-1e61-4885-91c2-08ea8716c397</errorID>
      <errorWord>本</errorWord>
      <group>L1_Word</group>
      <groupName>字词问题</groupName>
      <ability>L2_Typo</ability>
      <abilityName>字词错误</abilityName>
      <candidateList>
        <item> 本</item>
      </candidateList>
      <explain/>
      <paraID>66D876C4</paraID>
      <start>6</start>
      <end>7</end>
      <status>unmodified</status>
      <modifiedWord/>
      <trackRevisions>false</trackRevisions>
    </reviewItem>
    <reviewItem>
      <errorID>12094df3-b5fd-44cb-a2b7-99cf6e0eecb4</errorID>
      <errorWord>之间被</errorWord>
      <group>L1_Word</group>
      <groupName>字词问题</groupName>
      <ability>L2_Typo</ability>
      <abilityName>字词错误</abilityName>
      <candidateList>
        <item>之间</item>
      </candidateList>
      <explain/>
      <paraID>66D876C4</paraID>
      <start>12</start>
      <end>15</end>
      <status>unmodified</status>
      <modifiedWord/>
      <trackRevisions>false</trackRevisions>
    </reviewItem>
    <reviewItem>
      <errorID>81bb4201-03fa-4b75-99c6-3be369b87540</errorID>
      <errorWord>或企</errorWord>
      <group>L1_Grammar</group>
      <groupName>语法问题</groupName>
      <ability>L2_Grammar</ability>
      <abilityName>语法错误</abilityName>
      <candidateList>
        <item>”或“企</item>
      </candidateList>
      <explain/>
      <paraID>66D876C4</paraID>
      <start>21</start>
      <end>25</end>
      <status>modified</status>
      <modifiedWord>”或“企</modifiedWord>
      <trackRevisions>false</trackRevisions>
    </reviewItem>
    <reviewItem>
      <errorID>df4c1ad9-b04d-4d88-8d5c-6d9184357b0c</errorID>
      <errorWord>法律、法规</errorWord>
      <group>L1_Word</group>
      <groupName>字词问题</groupName>
      <ability>L2_Typo</ability>
      <abilityName>字词错误</abilityName>
      <candidateList>
        <item>法律法规</item>
      </candidateList>
      <explain/>
      <paraID>2F56FBA4</paraID>
      <start>8</start>
      <end>13</end>
      <status>unmodified</status>
      <modifiedWord/>
      <trackRevisions>false</trackRevisions>
    </reviewItem>
    <reviewItem>
      <errorID>e8f18619-e6dd-4140-b5d5-5b42572808ac</errorID>
      <errorWord>属</errorWord>
      <group>L1_Word</group>
      <groupName>字词问题</groupName>
      <ability>L2_Typo</ability>
      <abilityName>字词错误</abilityName>
      <candidateList>
        <item>属于</item>
      </candidateList>
      <explain/>
      <paraID>2F56FBA4</paraID>
      <start>22</start>
      <end>23</end>
      <status>unmodified</status>
      <modifiedWord/>
      <trackRevisions>false</trackRevisions>
    </reviewItem>
    <reviewItem>
      <errorID>5b552251-24be-45c8-ba35-3e7c0df6c973</errorID>
      <errorWord>评</errorWord>
      <group>L1_Word</group>
      <groupName>字词问题</groupName>
      <ability>L2_Typo</ability>
      <abilityName>字词错误</abilityName>
      <candidateList>
        <item> 评</item>
      </candidateList>
      <explain/>
      <paraID>19E31F03</paraID>
      <start>5</start>
      <end>6</end>
      <status>unmodified</status>
      <modifiedWord/>
      <trackRevisions>false</trackRevisions>
    </reviewItem>
    <reviewItem>
      <errorID>6df902e5-92ec-4956-b52a-99dd3eb91e68</errorID>
      <errorWord>导致</errorWord>
      <group>L1_Punc</group>
      <groupName>标点问题</groupName>
      <ability>L2_Punc</ability>
      <abilityName>标点符号检查</abilityName>
      <candidateList>
        <item>，导致</item>
      </candidateList>
      <explain/>
      <paraID>19E31F03</paraID>
      <start>25</start>
      <end>27</end>
      <status>unmodified</status>
      <modifiedWord/>
      <trackRevisions>false</trackRevisions>
    </reviewItem>
    <reviewItem>
      <errorID>80deee7c-cee5-4896-a5c2-631fdbe15115</errorID>
      <errorWord>苏采云系统故障原因</errorWord>
      <group>L1_Punc</group>
      <groupName>标点问题</groupName>
      <ability>L2_Punc</ability>
      <abilityName>标点符号检查</abilityName>
      <candidateList>
        <item>“苏采云”系统故障</item>
      </candidateList>
      <explain/>
      <paraID>39297B2D</paraID>
      <start>7</start>
      <end>16</end>
      <status>unmodified</status>
      <modifiedWord/>
      <trackRevisions>false</trackRevisions>
    </reviewItem>
    <reviewItem>
      <errorID>92a87cbf-f2b5-471c-aae3-514aeea3de73</errorID>
      <errorWord>.</errorWord>
      <group>L1_Punc</group>
      <groupName>标点问题</groupName>
      <ability>L2_Punc</ability>
      <abilityName>标点符号检查</abilityName>
      <candidateList>
        <item> </item>
      </candidateList>
      <explain/>
      <paraID>2A768683</paraID>
      <start>3</start>
      <end>4</end>
      <status>unmodified</status>
      <modifiedWord/>
      <trackRevisions>false</trackRevisions>
    </reviewItem>
    <reviewItem>
      <errorID>e699f52a-189d-4635-8162-b119c1e40beb</errorID>
      <errorWord>l</errorWord>
      <group>L1_Word</group>
      <groupName>字词问题</groupName>
      <ability>L2_Typo</ability>
      <abilityName>字词错误</abilityName>
      <candidateList>
        <item>1 </item>
      </candidateList>
      <explain/>
      <paraID>4F82E43E</paraID>
      <start>2</start>
      <end>3</end>
      <status>unmodified</status>
      <modifiedWord/>
      <trackRevisions>false</trackRevisions>
    </reviewItem>
    <reviewItem>
      <errorID>ef8fa7a2-1d1e-4216-aca6-52a6429c5e9e</errorID>
      <errorWord>,</errorWord>
      <group>L1_Punc</group>
      <groupName>标点问题</groupName>
      <ability>L2_Punc</ability>
      <abilityName>标点符号检查</abilityName>
      <candidateList>
        <item>，</item>
      </candidateList>
      <explain/>
      <paraID>4F82E43E</paraID>
      <start>55</start>
      <end>56</end>
      <status>unmodified</status>
      <modifiedWord/>
      <trackRevisions>false</trackRevisions>
    </reviewItem>
    <reviewItem>
      <errorID>802f753c-caaf-40f7-985e-050bea3de08e</errorID>
      <errorWord>,</errorWord>
      <group>L1_Format</group>
      <groupName>格式问题</groupName>
      <ability>L2_HalfPunc</ability>
      <abilityName>全半角检查</abilityName>
      <candidateList>
        <item>，</item>
      </candidateList>
      <explain>文本全半角错误。</explain>
      <paraID>4F82E43E</paraID>
      <start>128</start>
      <end>129</end>
      <status>unmodified</status>
      <modifiedWord/>
      <trackRevisions>false</trackRevisions>
    </reviewItem>
    <reviewItem>
      <errorID>662192f3-2131-40e0-b648-2b37a1e5935c</errorID>
      <errorWord>l</errorWord>
      <group>L1_Word</group>
      <groupName>字词问题</groupName>
      <ability>L2_Typo</ability>
      <abilityName>字词错误</abilityName>
      <candidateList>
        <item>1</item>
      </candidateList>
      <explain/>
      <paraID>43EC300F</paraID>
      <start>2</start>
      <end>3</end>
      <status>unmodified</status>
      <modifiedWord/>
      <trackRevisions>false</trackRevisions>
    </reviewItem>
    <reviewItem>
      <errorID>566614b7-2eac-4786-9786-13f8aeb5671f</errorID>
      <errorWord>:</errorWord>
      <group>L1_Punc</group>
      <groupName>标点问题</groupName>
      <ability>L2_Punc</ability>
      <abilityName>标点符号检查</abilityName>
      <candidateList>
        <item>：</item>
      </candidateList>
      <explain/>
      <paraID>3005E3C2</paraID>
      <start>37</start>
      <end>38</end>
      <status>unmodified</status>
      <modifiedWord/>
      <trackRevisions>false</trackRevisions>
    </reviewItem>
    <reviewItem>
      <errorID>576fa6fc-7b1b-4c53-99f6-378b365422e1</errorID>
      <errorWord>功能</errorWord>
      <group>L1_Word</group>
      <groupName>字词问题</groupName>
      <ability>L2_Typo</ability>
      <abilityName>字词错误</abilityName>
      <candidateList>
        <item>的功能</item>
      </candidateList>
      <explain/>
      <paraID>3005E3C2</paraID>
      <start>49</start>
      <end>51</end>
      <status>unmodified</status>
      <modifiedWord/>
      <trackRevisions>false</trackRevisions>
    </reviewItem>
    <reviewItem>
      <errorID>98af915c-2d36-45e1-a7cf-ebe0ec4a8b5d</errorID>
      <errorWord>;</errorWord>
      <group>L1_Format</group>
      <groupName>格式问题</groupName>
      <ability>L2_HalfPunc</ability>
      <abilityName>全半角检查</abilityName>
      <candidateList>
        <item>；</item>
      </candidateList>
      <explain>文本全半角错误。</explain>
      <paraID>3005E3C2</paraID>
      <start>67</start>
      <end>68</end>
      <status>unmodified</status>
      <modifiedWord/>
      <trackRevisions>false</trackRevisions>
    </reviewItem>
    <reviewItem>
      <errorID>2503b979-e029-477c-a7b1-d53c432ee4d5</errorID>
      <errorWord>，</errorWord>
      <group>L1_Punc</group>
      <groupName>标点问题</groupName>
      <ability>L2_Punc</ability>
      <abilityName>标点符号检查</abilityName>
      <candidateList>
        <item>、</item>
      </candidateList>
      <explain/>
      <paraID>3005E3C2</paraID>
      <start>117</start>
      <end>118</end>
      <status>unmodified</status>
      <modifiedWord/>
      <trackRevisions>false</trackRevisions>
    </reviewItem>
    <reviewItem>
      <errorID>1e32db20-daa3-4c23-979b-2f9a1fd42da3</errorID>
      <errorWord>，</errorWord>
      <group>L1_Punc</group>
      <groupName>标点问题</groupName>
      <ability>L2_Punc</ability>
      <abilityName>标点符号检查</abilityName>
      <candidateList>
        <item>、</item>
      </candidateList>
      <explain/>
      <paraID>3005E3C2</paraID>
      <start>129</start>
      <end>130</end>
      <status>unmodified</status>
      <modifiedWord/>
      <trackRevisions>false</trackRevisions>
    </reviewItem>
    <reviewItem>
      <errorID>40023579-8fab-4c0a-ba5e-1d0c62031ef2</errorID>
      <errorWord>，</errorWord>
      <group>L1_Punc</group>
      <groupName>标点问题</groupName>
      <ability>L2_Punc</ability>
      <abilityName>标点符号检查</abilityName>
      <candidateList>
        <item>、</item>
      </candidateList>
      <explain/>
      <paraID>3005E3C2</paraID>
      <start>134</start>
      <end>135</end>
      <status>unmodified</status>
      <modifiedWord/>
      <trackRevisions>false</trackRevisions>
    </reviewItem>
    <reviewItem>
      <errorID>4447f6a3-fc18-401d-857a-81cc7c109e73</errorID>
      <errorWord>(</errorWord>
      <group>L1_Format</group>
      <groupName>格式问题</groupName>
      <ability>L2_HalfPunc</ability>
      <abilityName>全半角检查</abilityName>
      <candidateList>
        <item>（</item>
      </candidateList>
      <explain>文本全半角错误。</explain>
      <paraID>1638A556</paraID>
      <start>16</start>
      <end>17</end>
      <status>unmodified</status>
      <modifiedWord/>
      <trackRevisions>false</trackRevisions>
    </reviewItem>
    <reviewItem>
      <errorID>c4307d5c-9285-4732-adb7-a7da0dbbcdcd</errorID>
      <errorWord>厚度为</errorWord>
      <group>L1_Word</group>
      <groupName>字词问题</groupName>
      <ability>L2_Typo</ability>
      <abilityName>字词错误</abilityName>
      <candidateList>
        <item>厚度</item>
      </candidateList>
      <explain/>
      <paraID>164628B9</paraID>
      <start>12</start>
      <end>15</end>
      <status>unmodified</status>
      <modifiedWord/>
      <trackRevisions>false</trackRevisions>
    </reviewItem>
    <reviewItem>
      <errorID>562eff1a-c7b9-4d5f-8b12-73c200964e12</errorID>
      <errorWord>宽度为</errorWord>
      <group>L1_Word</group>
      <groupName>字词问题</groupName>
      <ability>L2_Typo</ability>
      <abilityName>字词错误</abilityName>
      <candidateList>
        <item>宽度</item>
      </candidateList>
      <explain/>
      <paraID>7182E626</paraID>
      <start>69</start>
      <end>72</end>
      <status>unmodified</status>
      <modifiedWord/>
      <trackRevisions>false</trackRevisions>
    </reviewItem>
    <reviewItem>
      <errorID>7ab555ff-ae4b-4cfa-a1d2-10200f83b595</errorID>
      <errorWord>(</errorWord>
      <group>L1_Punc</group>
      <groupName>标点问题</groupName>
      <ability>L2_Punc</ability>
      <abilityName>标点符号检查</abilityName>
      <candidateList>
        <item>（</item>
      </candidateList>
      <explain/>
      <paraID>48CBF09B</paraID>
      <start>16</start>
      <end>17</end>
      <status>unmodified</status>
      <modifiedWord/>
      <trackRevisions>false</trackRevisions>
    </reviewItem>
    <reviewItem>
      <errorID>f7ef4501-32d5-4271-8b49-58dca796aa60</errorID>
      <errorWord>. </errorWord>
      <group>L1_Punc</group>
      <groupName>标点问题</groupName>
      <ability>L2_Punc</ability>
      <abilityName>标点符号检查</abilityName>
      <candidateList>
        <item>，</item>
      </candidateList>
      <explain/>
      <paraID>7FA15E87</paraID>
      <start>204</start>
      <end>206</end>
      <status>unmodified</status>
      <modifiedWord/>
      <trackRevisions>false</trackRevisions>
    </reviewItem>
    <reviewItem>
      <errorID>4c414e6a-9106-44d9-8b28-848d6f13d6b4</errorID>
      <errorWord>厚度为</errorWord>
      <group>L1_Word</group>
      <groupName>字词问题</groupName>
      <ability>L2_Typo</ability>
      <abilityName>字词错误</abilityName>
      <candidateList>
        <item>厚度</item>
      </candidateList>
      <explain/>
      <paraID>41104049</paraID>
      <start>242</start>
      <end>245</end>
      <status>unmodified</status>
      <modifiedWord/>
      <trackRevisions>false</trackRevisions>
    </reviewItem>
    <reviewItem>
      <errorID>20c6a740-6d06-4373-9e00-ac908f52187f</errorID>
      <errorWord>宽度为</errorWord>
      <group>L1_Word</group>
      <groupName>字词问题</groupName>
      <ability>L2_Typo</ability>
      <abilityName>字词错误</abilityName>
      <candidateList>
        <item>宽度</item>
      </candidateList>
      <explain/>
      <paraID>62AD714F</paraID>
      <start>249</start>
      <end>252</end>
      <status>unmodified</status>
      <modifiedWord/>
      <trackRevisions>false</trackRevisions>
    </reviewItem>
    <reviewItem>
      <errorID>a4d71b6e-9db8-404f-92cc-56538462cff7</errorID>
      <errorWord>：</errorWord>
      <group>L1_Format</group>
      <groupName>格式问题</groupName>
      <ability>L2_HalfPunc</ability>
      <abilityName>全半角检查</abilityName>
      <candidateList>
        <item>:</item>
      </candidateList>
      <explain>文本全半角错误。</explain>
      <paraID>  C0D965</paraID>
      <start>17</start>
      <end>18</end>
      <status>unmodified</status>
      <modifiedWord/>
      <trackRevisions>false</trackRevisions>
    </reviewItem>
    <reviewItem>
      <errorID>950b10b3-2982-4d60-b2cc-65778ea68695</errorID>
      <errorWord>具</errorWord>
      <group>L1_Word</group>
      <groupName>字词问题</groupName>
      <ability>L2_Typo</ability>
      <abilityName>字词错误</abilityName>
      <candidateList>
        <item>具有</item>
      </candidateList>
      <explain>〈动〉有（多用于抽象事物）：～信心｜～伟大的意义。</explain>
      <paraID>181EBC22</paraID>
      <start>19</start>
      <end>20</end>
      <status>unmodified</status>
      <modifiedWord/>
      <trackRevisions>false</trackRevisions>
    </reviewItem>
    <reviewItem>
      <errorID>4cec57a7-6e7e-4dc8-b652-09c25cdd9f95</errorID>
      <errorWord>副</errorWord>
      <group>L1_Knowledge</group>
      <groupName>知识性问题</groupName>
      <ability>L2_Knowledge</ability>
      <abilityName>其他知识</abilityName>
      <candidateList>
        <item>幅</item>
      </candidateList>
      <explain>请检查“副”是否为量词使用错误，建议修改为“幅”。</explain>
      <paraID>3D20DF7E</paraID>
      <start>23</start>
      <end>24</end>
      <status>unmodified</status>
      <modifiedWord/>
      <trackRevisions>false</trackRevisions>
    </reviewItem>
    <reviewItem>
      <errorID>8192ef7a-bd3a-4c87-b72c-f2f00b70dac3</errorID>
      <errorWord>：</errorWord>
      <group>L1_Format</group>
      <groupName>格式问题</groupName>
      <ability>L2_HalfPunc</ability>
      <abilityName>全半角检查</abilityName>
      <candidateList>
        <item>:</item>
      </candidateList>
      <explain>文本全半角错误。</explain>
      <paraID>29BC04DA</paraID>
      <start>17</start>
      <end>18</end>
      <status>unmodified</status>
      <modifiedWord/>
      <trackRevisions>false</trackRevisions>
    </reviewItem>
    <reviewItem>
      <errorID>d796d441-21e4-4455-9cb3-ef162bbb1dfd</errorID>
      <errorWord>具</errorWord>
      <group>L1_Word</group>
      <groupName>字词问题</groupName>
      <ability>L2_Typo</ability>
      <abilityName>字词错误</abilityName>
      <candidateList>
        <item>具有</item>
      </candidateList>
      <explain>〈动〉有（多用于抽象事物）：～信心｜～伟大的意义。</explain>
      <paraID> 4C2F524</paraID>
      <start>19</start>
      <end>20</end>
      <status>unmodified</status>
      <modifiedWord/>
      <trackRevisions>false</trackRevisions>
    </reviewItem>
    <reviewItem>
      <errorID>4d78e5ae-ee84-41ba-8604-b8c1ddacca0c</errorID>
      <errorWord>角度</errorWord>
      <group>L1_Word</group>
      <groupName>字词问题</groupName>
      <ability>L2_Typo</ability>
      <abilityName>字词错误</abilityName>
      <candidateList>
        <item>的角度</item>
      </candidateList>
      <explain/>
      <paraID> A2FD538</paraID>
      <start>87</start>
      <end>89</end>
      <status>unmodified</status>
      <modifiedWord/>
      <trackRevisions>false</trackRevisions>
    </reviewItem>
    <reviewItem>
      <errorID>6c347757-0b1c-4d91-9584-f8c719ea62fe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9CDC7FE</paraID>
      <start>90</start>
      <end>91</end>
      <status>unmodified</status>
      <modifiedWord/>
      <trackRevisions>false</trackRevisions>
    </reviewItem>
    <reviewItem>
      <errorID>62273abf-43ef-4aac-9532-71063fbba0da</errorID>
      <errorWord>。</errorWord>
      <group>L1_Word</group>
      <groupName>字词问题</groupName>
      <ability>L2_Typo</ability>
      <abilityName>字词错误</abilityName>
      <candidateList>
        <item>】。</item>
      </candidateList>
      <explain/>
      <paraID> 9CDC7FE</paraID>
      <start>122</start>
      <end>123</end>
      <status>unmodified</status>
      <modifiedWord/>
      <trackRevisions>false</trackRevisions>
    </reviewItem>
    <reviewItem>
      <errorID>7c0d09bf-21d9-47f5-a452-ba8193a207d5</errorID>
      <errorWord>,</errorWord>
      <group>L1_Format</group>
      <groupName>格式问题</groupName>
      <ability>L2_HalfPunc</ability>
      <abilityName>全半角检查</abilityName>
      <candidateList>
        <item>，</item>
      </candidateList>
      <explain>文本全半角错误。</explain>
      <paraID>63773C52</paraID>
      <start>11</start>
      <end>12</end>
      <status>unmodified</status>
      <modifiedWord/>
      <trackRevisions>false</trackRevisions>
    </reviewItem>
    <reviewItem>
      <errorID>0b6a052a-7f42-4b4b-aa6d-97e87b2fabee</errorID>
      <errorWord>,</errorWord>
      <group>L1_Format</group>
      <groupName>格式问题</groupName>
      <ability>L2_HalfPunc</ability>
      <abilityName>全半角检查</abilityName>
      <candidateList>
        <item>，</item>
      </candidateList>
      <explain>文本全半角错误。</explain>
      <paraID>63773C52</paraID>
      <start>20</start>
      <end>21</end>
      <status>unmodified</status>
      <modifiedWord/>
      <trackRevisions>false</trackRevisions>
    </reviewItem>
    <reviewItem>
      <errorID>f66fbb7b-4284-459d-ac7d-2a756a32b7b7</errorID>
      <errorWord>承重为</errorWord>
      <group>L1_Word</group>
      <groupName>字词问题</groupName>
      <ability>L2_Typo</ability>
      <abilityName>字词错误</abilityName>
      <candidateList>
        <item>承重</item>
      </candidateList>
      <explain/>
      <paraID>61456704</paraID>
      <start>8</start>
      <end>11</end>
      <status>unmodified</status>
      <modifiedWord/>
      <trackRevisions>false</trackRevisions>
    </reviewItem>
    <reviewItem>
      <errorID>4cc303d4-bfc8-41c8-9f1f-cb5ac95321ea</errorID>
      <errorWord>,</errorWord>
      <group>L1_Format</group>
      <groupName>格式问题</groupName>
      <ability>L2_HalfPunc</ability>
      <abilityName>全半角检查</abilityName>
      <candidateList>
        <item>，</item>
      </candidateList>
      <explain>文本全半角错误。</explain>
      <paraID>40A6FF65</paraID>
      <start>73</start>
      <end>74</end>
      <status>unmodified</status>
      <modifiedWord/>
      <trackRevisions>false</trackRevisions>
    </reviewItem>
    <reviewItem>
      <errorID>cd3c7734-8cd9-444d-ac8c-65cafa60b8ae</errorID>
      <errorWord>(</errorWord>
      <group>L1_Format</group>
      <groupName>格式问题</groupName>
      <ability>L2_HalfPunc</ability>
      <abilityName>全半角检查</abilityName>
      <candidateList>
        <item>（</item>
      </candidateList>
      <explain>文本全半角错误。</explain>
      <paraID>4B93D4E3</paraID>
      <start>95</start>
      <end>96</end>
      <status>unmodified</status>
      <modifiedWord/>
      <trackRevisions>false</trackRevisions>
    </reviewItem>
    <reviewItem>
      <errorID>ed8afda1-05b1-48c9-866f-0f54a9517ad2</errorID>
      <errorWord>)</errorWord>
      <group>L1_Format</group>
      <groupName>格式问题</groupName>
      <ability>L2_HalfPunc</ability>
      <abilityName>全半角检查</abilityName>
      <candidateList>
        <item>）</item>
      </candidateList>
      <explain>文本全半角错误。</explain>
      <paraID>4B93D4E3</paraID>
      <start>102</start>
      <end>103</end>
      <status>unmodified</status>
      <modifiedWord/>
      <trackRevisions>false</trackRevisions>
    </reviewItem>
    <reviewItem>
      <errorID>a1088dff-0425-4679-b1e0-75b81057ad40</errorID>
      <errorWord>中控管理系统</errorWord>
      <group>L1_Other</group>
      <groupName>其他问题</groupName>
      <ability>L2_Consistency</ability>
      <abilityName>一致性检查</abilityName>
      <candidateList>
        <item>中控管理平台</item>
      </candidateList>
      <explain>实体一致性错误，采购清单中该设备名称为中控管理平台，正文对应章节标题写为中控管理系统，前后实体名称不一致</explain>
      <paraID>23339DC0</paraID>
      <start>0</start>
      <end>6</end>
      <status>unmodified</status>
      <modifiedWord/>
      <trackRevisions>false</trackRevisions>
    </reviewItem>
    <reviewItem>
      <errorID>a900de8f-2f55-40a3-9347-71454b5d32af</errorID>
      <errorWord> </errorWord>
      <group>L1_Word</group>
      <groupName>字词问题</groupName>
      <ability>L2_Typo</ability>
      <abilityName>字词错误</abilityName>
      <candidateList>
        <item>以</item>
      </candidateList>
      <explain/>
      <paraID>334C06A4</paraID>
      <start>51</start>
      <end>52</end>
      <status>unmodified</status>
      <modifiedWord/>
      <trackRevisions>false</trackRevisions>
    </reviewItem>
    <reviewItem>
      <errorID>6176c8be-626a-44b6-b7ac-b072f3e4ace9</errorID>
      <errorWord>信息记录</errorWord>
      <group>L1_Grammar</group>
      <groupName>语法问题</groupName>
      <ability>L2_Grammar</ability>
      <abilityName>语法错误</abilityName>
      <candidateList>
        <item>信息</item>
      </candidateList>
      <explain/>
      <paraID>334C06A4</paraID>
      <start>70</start>
      <end>74</end>
      <status>unmodified</status>
      <modifiedWord/>
      <trackRevisions>false</trackRevisions>
    </reviewItem>
    <reviewItem>
      <errorID>ca2dbdf2-1ec2-48a3-bbdd-9bf06414f631</errorID>
      <errorWord>,</errorWord>
      <group>L1_Format</group>
      <groupName>格式问题</groupName>
      <ability>L2_HalfPunc</ability>
      <abilityName>全半角检查</abilityName>
      <candidateList>
        <item>，</item>
      </candidateList>
      <explain>文本全半角错误。</explain>
      <paraID>18EFDF30</paraID>
      <start>21</start>
      <end>22</end>
      <status>unmodified</status>
      <modifiedWord/>
      <trackRevisions>false</trackRevisions>
    </reviewItem>
    <reviewItem>
      <errorID>60ba8062-7a1e-4f94-bef4-a16f58ae23f4</errorID>
      <errorWord>15 db</errorWord>
      <group>L1_Word</group>
      <groupName>字词问题</groupName>
      <ability>L2_Typo</ability>
      <abilityName>字词错误</abilityName>
      <candidateList>
        <item>15dB</item>
      </candidateList>
      <explain/>
      <paraID>68DB4E06</paraID>
      <start>115</start>
      <end>120</end>
      <status>unmodified</status>
      <modifiedWord/>
      <trackRevisions>false</trackRevisions>
    </reviewItem>
    <reviewItem>
      <errorID>04f3bb0a-be63-4274-8e4b-55aecfe8052c</errorID>
      <errorWord>:</errorWord>
      <group>L1_Format</group>
      <groupName>格式问题</groupName>
      <ability>L2_HalfPunc</ability>
      <abilityName>全半角检查</abilityName>
      <candidateList>
        <item>：</item>
      </candidateList>
      <explain>文本全半角错误。</explain>
      <paraID>6E22B763</paraID>
      <start>4</start>
      <end>5</end>
      <status>unmodified</status>
      <modifiedWord/>
      <trackRevisions>false</trackRevisions>
    </reviewItem>
    <reviewItem>
      <errorID>63e94729-12a9-4e1c-915a-1f302950d702</errorID>
      <errorWord>(</errorWord>
      <group>L1_Format</group>
      <groupName>格式问题</groupName>
      <ability>L2_HalfPunc</ability>
      <abilityName>全半角检查</abilityName>
      <candidateList>
        <item>（</item>
      </candidateList>
      <explain>文本全半角错误。</explain>
      <paraID>6E22B763</paraID>
      <start>61</start>
      <end>62</end>
      <status>unmodified</status>
      <modifiedWord/>
      <trackRevisions>false</trackRevisions>
    </reviewItem>
    <reviewItem>
      <errorID>b4db41fe-9b52-48a8-8cee-76eddf373276</errorID>
      <errorWord>)</errorWord>
      <group>L1_Format</group>
      <groupName>格式问题</groupName>
      <ability>L2_HalfPunc</ability>
      <abilityName>全半角检查</abilityName>
      <candidateList>
        <item>）</item>
      </candidateList>
      <explain>文本全半角错误。</explain>
      <paraID>6E22B763</paraID>
      <start>65</start>
      <end>66</end>
      <status>unmodified</status>
      <modifiedWord/>
      <trackRevisions>false</trackRevisions>
    </reviewItem>
    <reviewItem>
      <errorID>267f8e7a-16bf-4777-8f48-b2dbcd6bae2f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6E22B763</paraID>
      <start>129</start>
      <end>130</end>
      <status>unmodified</status>
      <modifiedWord/>
      <trackRevisions>false</trackRevisions>
    </reviewItem>
    <reviewItem>
      <errorID>7d57db35-f5a0-49c2-8aaf-7c19c357ee29</errorID>
      <errorWord>敏感度</errorWord>
      <group>L1_Word</group>
      <groupName>字词问题</groupName>
      <ability>L2_Typo</ability>
      <abilityName>字词错误</abilityName>
      <candidateList>
        <item>灵敏度</item>
      </candidateList>
      <explain/>
      <paraID>7397467D</paraID>
      <start>90</start>
      <end>93</end>
      <status>unmodified</status>
      <modifiedWord/>
      <trackRevisions>false</trackRevisions>
    </reviewItem>
    <reviewItem>
      <errorID>bbc77282-8fbe-4329-ad33-b9570a08eb91</errorID>
      <errorWord>版</errorWord>
      <group>L1_Word</group>
      <groupName>字词问题</groupName>
      <ability>L2_Typo</ability>
      <abilityName>字词错误</abilityName>
      <candidateList>
        <item>板</item>
      </candidateList>
      <explain>存在发音相同字词的误用。</explain>
      <paraID>332C0CB9</paraID>
      <start>10</start>
      <end>11</end>
      <status>unmodified</status>
      <modifiedWord/>
      <trackRevisions>false</trackRevisions>
    </reviewItem>
    <reviewItem>
      <errorID>666c7ac5-3696-4a6a-8635-4d5012709a01</errorID>
      <errorWord>）</errorWord>
      <group>L1_Punc</group>
      <groupName>标点问题</groupName>
      <ability>L2_Punc</ability>
      <abilityName>标点符号检查</abilityName>
      <candidateList>
        <item>%）</item>
      </candidateList>
      <explain/>
      <paraID>1DA12853</paraID>
      <start>38</start>
      <end>39</end>
      <status>unmodified</status>
      <modifiedWord/>
      <trackRevisions>false</trackRevisions>
    </reviewItem>
    <reviewItem>
      <errorID>be9f410b-15b0-4a70-99c5-6a6ae63a9b6c</errorID>
      <errorWord>2</errorWord>
      <group>L1_Grammar</group>
      <groupName>语法问题</groupName>
      <ability>L2_Grammar</ability>
      <abilityName>语法错误</abilityName>
      <candidateList>
        <item>2dB</item>
      </candidateList>
      <explain/>
      <paraID>1DA12853</paraID>
      <start>58</start>
      <end>59</end>
      <status>unmodified</status>
      <modifiedWord/>
      <trackRevisions>false</trackRevisions>
    </reviewItem>
    <reviewItem>
      <errorID>41d31015-7542-4f71-9a3f-bf4fdc1b57cf</errorID>
      <errorWord>）</errorWord>
      <group>L1_Punc</group>
      <groupName>标点问题</groupName>
      <ability>L2_Punc</ability>
      <abilityName>标点符号检查</abilityName>
      <candidateList>
        <item>%）</item>
      </candidateList>
      <explain/>
      <paraID>1DA12853</paraID>
      <start>74</start>
      <end>75</end>
      <status>unmodified</status>
      <modifiedWord/>
      <trackRevisions>false</trackRevisions>
    </reviewItem>
    <reviewItem>
      <errorID>51415fbc-3f41-4a57-b6a5-7c15d739cfd4</errorID>
      <errorWord>）</errorWord>
      <group>L1_Punc</group>
      <groupName>标点问题</groupName>
      <ability>L2_Punc</ability>
      <abilityName>标点符号检查</abilityName>
      <candidateList>
        <item>%）</item>
      </candidateList>
      <explain/>
      <paraID>1DA12853</paraID>
      <start>90</start>
      <end>91</end>
      <status>unmodified</status>
      <modifiedWord/>
      <trackRevisions>false</trackRevisions>
    </reviewItem>
    <reviewItem>
      <errorID>4581199e-0214-4e98-ba74-d9abc47c5043</errorID>
      <errorWord>及麦</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730F0FA0</paraID>
      <start>79</start>
      <end>81</end>
      <status>unmodified</status>
      <modifiedWord/>
      <trackRevisions>false</trackRevisions>
    </reviewItem>
    <reviewItem>
      <errorID>eedf34ad-bfb6-4af3-bcac-d2070ee417ee</errorID>
      <errorWord>)</errorWord>
      <group>L1_Format</group>
      <groupName>格式问题</groupName>
      <ability>L2_HalfPunc</ability>
      <abilityName>全半角检查</abilityName>
      <candidateList>
        <item>）</item>
      </candidateList>
      <explain>文本全半角错误。</explain>
      <paraID> F9E71BC</paraID>
      <start>22</start>
      <end>23</end>
      <status>unmodified</status>
      <modifiedWord/>
      <trackRevisions>false</trackRevisions>
    </reviewItem>
    <reviewItem>
      <errorID>555ffb8a-fba9-4ad6-bd22-0fe1c744de24</errorID>
      <errorWord>失</errorWord>
      <group>L1_Word</group>
      <groupName>字词问题</groupName>
      <ability>L2_Typo</ability>
      <abilityName>字词错误</abilityName>
      <candidateList>
        <item>失真</item>
      </candidateList>
      <explain/>
      <paraID> F9E71BC</paraID>
      <start>37</start>
      <end>38</end>
      <status>unmodified</status>
      <modifiedWord/>
      <trackRevisions>false</trackRevisions>
    </reviewItem>
    <reviewItem>
      <errorID>76a915f6-5dd3-403a-a22c-45fe6c1f151a</errorID>
      <errorWord>)</errorWord>
      <group>L1_Format</group>
      <groupName>格式问题</groupName>
      <ability>L2_HalfPunc</ability>
      <abilityName>全半角检查</abilityName>
      <candidateList>
        <item>）</item>
      </candidateList>
      <explain>文本全半角错误。</explain>
      <paraID> F9E71BC</paraID>
      <start>50</start>
      <end>51</end>
      <status>unmodified</status>
      <modifiedWord/>
      <trackRevisions>false</trackRevisions>
    </reviewItem>
    <reviewItem>
      <errorID>61fde5e9-e0d6-4f93-ad52-1fe4b6b9c799</errorID>
      <errorWord>65 dB</errorWord>
      <group>L1_Word</group>
      <groupName>字词问题</groupName>
      <ability>L2_Typo</ability>
      <abilityName>字词错误</abilityName>
      <candidateList>
        <item>65dB</item>
      </candidateList>
      <explain/>
      <paraID> F9E71BC</paraID>
      <start>56</start>
      <end>61</end>
      <status>unmodified</status>
      <modifiedWord/>
      <trackRevisions>false</trackRevisions>
    </reviewItem>
    <reviewItem>
      <errorID>fab25386-1eb0-40b7-896e-7d96c5e56776</errorID>
      <errorWord>100db</errorWord>
      <group>L1_Word</group>
      <groupName>字词问题</groupName>
      <ability>L2_Typo</ability>
      <abilityName>字词错误</abilityName>
      <candidateList>
        <item>100dB</item>
      </candidateList>
      <explain/>
      <paraID>3B398ED1</paraID>
      <start>44</start>
      <end>49</end>
      <status>unmodified</status>
      <modifiedWord/>
      <trackRevisions>false</trackRevisions>
    </reviewItem>
    <reviewItem>
      <errorID>a5574e84-8cd8-4a76-a4d9-e242c9ae15d3</errorID>
      <errorWord>4核</errorWord>
      <group>L1_Word</group>
      <groupName>字词问题</groupName>
      <ability>L2_Typo</ability>
      <abilityName>字词错误</abilityName>
      <candidateList>
        <item>4</item>
      </candidateList>
      <explain/>
      <paraID>53436AC5</paraID>
      <start>57</start>
      <end>59</end>
      <status>unmodified</status>
      <modifiedWord/>
      <trackRevisions>false</trackRevisions>
    </reviewItem>
    <reviewItem>
      <errorID>28583611-c8e1-40da-81db-baaccaac6bc5</errorID>
      <errorWord>AI人工智能</errorWord>
      <group>L1_Grammar</group>
      <groupName>语法问题</groupName>
      <ability>L2_Grammar</ability>
      <abilityName>语法错误</abilityName>
      <candidateList>
        <item>AI</item>
      </candidateList>
      <explain/>
      <paraID>6C25B4E4</paraID>
      <start>4</start>
      <end>10</end>
      <status>unmodified</status>
      <modifiedWord/>
      <trackRevisions>false</trackRevisions>
    </reviewItem>
    <reviewItem>
      <errorID>78256809-a2a7-436f-9970-26dbd0c6fad1</errorID>
      <errorWord>即可实现</errorWord>
      <group>L1_Grammar</group>
      <groupName>语法问题</groupName>
      <ability>L2_Grammar</ability>
      <abilityName>语法错误</abilityName>
      <candidateList>
        <item>即可</item>
      </candidateList>
      <explain/>
      <paraID>6C25B4E4</paraID>
      <start>27</start>
      <end>31</end>
      <status>unmodified</status>
      <modifiedWord/>
      <trackRevisions>false</trackRevisions>
    </reviewItem>
    <reviewItem>
      <errorID>cb9b0c87-2c6c-460f-8a2c-f0de708d5cec</errorID>
      <errorWord>或者</errorWord>
      <group>L1_Word</group>
      <groupName>字词问题</groupName>
      <ability>L2_Typo</ability>
      <abilityName>字词错误</abilityName>
      <candidateList>
        <item>或</item>
      </candidateList>
      <explain/>
      <paraID>26ABD500</paraID>
      <start>62</start>
      <end>64</end>
      <status>unmodified</status>
      <modifiedWord/>
      <trackRevisions>false</trackRevisions>
    </reviewItem>
    <reviewItem>
      <errorID>735aa0af-e2d9-47bc-b33e-d38ce7726d85</errorID>
      <errorWord>。</errorWord>
      <group>L1_Grammar</group>
      <groupName>语法问题</groupName>
      <ability>L2_Grammar</ability>
      <abilityName>语法错误</abilityName>
      <candidateList>
        <item>的功能。</item>
      </candidateList>
      <explain/>
      <paraID>74EB65D7</paraID>
      <start>93</start>
      <end>94</end>
      <status>unmodified</status>
      <modifiedWord/>
      <trackRevisions>false</trackRevisions>
    </reviewItem>
    <reviewItem>
      <errorID>03e0c022-81b8-45f0-a0cc-085a89ba762e</errorID>
      <errorWord>：</errorWord>
      <group>L1_Format</group>
      <groupName>格式问题</groupName>
      <ability>L2_HalfPunc</ability>
      <abilityName>全半角检查</abilityName>
      <candidateList>
        <item>:</item>
      </candidateList>
      <explain>文本全半角错误。</explain>
      <paraID>7BD0A144</paraID>
      <start>12</start>
      <end>13</end>
      <status>unmodified</status>
      <modifiedWord/>
      <trackRevisions>false</trackRevisions>
    </reviewItem>
    <reviewItem>
      <errorID>e270c97c-188e-40d3-bf12-7630a3294228</errorID>
      <errorWord>(</errorWord>
      <group>L1_Format</group>
      <groupName>格式问题</groupName>
      <ability>L2_HalfPunc</ability>
      <abilityName>全半角检查</abilityName>
      <candidateList>
        <item>（</item>
      </candidateList>
      <explain>文本全半角错误。</explain>
      <paraID>655CE7A6</paraID>
      <start>126</start>
      <end>127</end>
      <status>unmodified</status>
      <modifiedWord/>
      <trackRevisions>false</trackRevisions>
    </reviewItem>
    <reviewItem>
      <errorID>c85f1c3f-ab6f-43ed-a7e3-ae78a6d99418</errorID>
      <errorWord>)</errorWord>
      <group>L1_Format</group>
      <groupName>格式问题</groupName>
      <ability>L2_HalfPunc</ability>
      <abilityName>全半角检查</abilityName>
      <candidateList>
        <item>）</item>
      </candidateList>
      <explain>文本全半角错误。</explain>
      <paraID>655CE7A6</paraID>
      <start>131</start>
      <end>132</end>
      <status>unmodified</status>
      <modifiedWord/>
      <trackRevisions>false</trackRevisions>
    </reviewItem>
    <reviewItem>
      <errorID>6a05862e-0074-4651-8858-ef6b9bfb0391</errorID>
      <errorWord>用</errorWord>
      <group>L1_Word</group>
      <groupName>字词问题</groupName>
      <ability>L2_Typo</ability>
      <abilityName>字词错误</abilityName>
      <candidateList>
        <item>采用</item>
      </candidateList>
      <explain/>
      <paraID>595AB6D4</paraID>
      <start>2</start>
      <end>3</end>
      <status>unmodified</status>
      <modifiedWord/>
      <trackRevisions>false</trackRevisions>
    </reviewItem>
    <reviewItem>
      <errorID>da96ab7c-632a-44bd-829a-29229eb77c64</errorID>
      <errorWord>输入接口</errorWord>
      <group>L1_Grammar</group>
      <groupName>语法问题</groupName>
      <ability>L2_Grammar</ability>
      <abilityName>语法错误</abilityName>
      <candidateList>
        <item>输入</item>
      </candidateList>
      <explain/>
      <paraID>7B3B59C6</paraID>
      <start>64</start>
      <end>68</end>
      <status>unmodified</status>
      <modifiedWord/>
      <trackRevisions>false</trackRevisions>
    </reviewItem>
    <reviewItem>
      <errorID>5e8fbfaa-fcd8-47c6-beae-1b98d69781cb</errorID>
      <errorWord>输出接口</errorWord>
      <group>L1_Grammar</group>
      <groupName>语法问题</groupName>
      <ability>L2_Grammar</ability>
      <abilityName>语法错误</abilityName>
      <candidateList>
        <item>输出</item>
      </candidateList>
      <explain/>
      <paraID>7B3B59C6</paraID>
      <start>69</start>
      <end>73</end>
      <status>unmodified</status>
      <modifiedWord/>
      <trackRevisions>false</trackRevisions>
    </reviewItem>
    <reviewItem>
      <errorID>5d8e5ec7-0066-4539-ba4b-2ea5f353abe4</errorID>
      <errorWord>工作</errorWord>
      <group>L1_Punc</group>
      <groupName>标点问题</groupName>
      <ability>L2_Punc</ability>
      <abilityName>标点符号检查</abilityName>
      <candidateList>
        <item>工作。</item>
      </candidateList>
      <explain/>
      <paraID>7B3B59C6</paraID>
      <start>101</start>
      <end>103</end>
      <status>unmodified</status>
      <modifiedWord/>
      <trackRevisions>false</trackRevisions>
    </reviewItem>
    <reviewItem>
      <errorID>2feeea55-90da-4b5e-b29d-dc335770d710</errorID>
      <errorWord>130dBSPL</errorWord>
      <group>L1_Word</group>
      <groupName>字词问题</groupName>
      <ability>L2_Typo</ability>
      <abilityName>字词错误</abilityName>
      <candidateList>
        <item>130dB SPL</item>
      </candidateList>
      <explain/>
      <paraID>33875BA6</paraID>
      <start>46</start>
      <end>54</end>
      <status>unmodified</status>
      <modifiedWord/>
      <trackRevisions>false</trackRevisions>
    </reviewItem>
    <reviewItem>
      <errorID>b1e2f649-2343-4586-a6dc-b72ae5f9724e</errorID>
      <errorWord>KHz</errorWord>
      <group>L1_English</group>
      <groupName>英文问题</groupName>
      <ability>L2_Case</ability>
      <abilityName>大小写问题</abilityName>
      <candidateList>
        <item>kHz</item>
      </candidateList>
      <explain>疑似单词大小写错误，建议将KHz修改为kHz</explain>
      <paraID>33875BA6</paraID>
      <start>64</start>
      <end>67</end>
      <status>unmodified</status>
      <modifiedWord/>
      <trackRevisions>false</trackRevisions>
    </reviewItem>
    <reviewItem>
      <errorID>f3be70bd-2ea2-4599-8626-319f22837228</errorID>
      <errorWord>系统和</errorWord>
      <group>L1_Word</group>
      <groupName>字词问题</groupName>
      <ability>L2_Typo</ability>
      <abilityName>字词错误</abilityName>
      <candidateList>
        <item>系统</item>
      </candidateList>
      <explain/>
      <paraID> 7A1227F</paraID>
      <start>24</start>
      <end>27</end>
      <status>unmodified</status>
      <modifiedWord/>
      <trackRevisions>false</trackRevisions>
    </reviewItem>
    <reviewItem>
      <errorID>baddd20b-26f9-44d1-8516-07861e14b49c</errorID>
      <errorWord>噪音</errorWord>
      <group>L1_Word</group>
      <groupName>字词问题</groupName>
      <ability>L2_Alias</ability>
      <abilityName>也作/曾用词</abilityName>
      <candidateList>
        <item>噪声</item>
      </candidateList>
      <explain>词汇[噪音]为不规范表述或旧称，其规范书面表述为[噪声]。</explain>
      <paraID> 7A1227F</paraID>
      <start>58</start>
      <end>60</end>
      <status>unmodified</status>
      <modifiedWord/>
      <trackRevisions>false</trackRevisions>
    </reviewItem>
    <reviewItem>
      <errorID>dcda26bc-c928-40c0-bf9f-929f28fc6f89</errorID>
      <errorWord>模版</errorWord>
      <group>L1_Word</group>
      <groupName>字词问题</groupName>
      <ability>L2_Typo</ability>
      <abilityName>字词错误</abilityName>
      <candidateList>
        <item>模板</item>
      </candidateList>
      <explain>存在发音相同字词的误用。</explain>
      <paraID>2135EDDB</paraID>
      <start>14</start>
      <end>16</end>
      <status>unmodified</status>
      <modifiedWord/>
      <trackRevisions>false</trackRevisions>
    </reviewItem>
    <reviewItem>
      <errorID>71796039-1103-4470-b6dc-af7aff212d83</errorID>
      <errorWord>-</errorWord>
      <group>L1_Format</group>
      <groupName>格式问题</groupName>
      <ability>L2_HalfPunc</ability>
      <abilityName>全半角检查</abilityName>
      <candidateList>
        <item>－</item>
      </candidateList>
      <explain>文本全半角错误。</explain>
      <paraID>483048F3</paraID>
      <start>7</start>
      <end>8</end>
      <status>unmodified</status>
      <modifiedWord/>
      <trackRevisions>false</trackRevisions>
    </reviewItem>
    <reviewItem>
      <errorID>3eb78418-438d-4657-b957-5800f8e41497</errorID>
      <errorWord>，</errorWord>
      <group>L1_Punc</group>
      <groupName>标点问题</groupName>
      <ability>L2_Punc</ability>
      <abilityName>标点符号检查</abilityName>
      <candidateList>
        <item>。</item>
      </candidateList>
      <explain/>
      <paraID>219CE96B</paraID>
      <start>42</start>
      <end>43</end>
      <status>unmodified</status>
      <modifiedWord/>
      <trackRevisions>false</trackRevisions>
    </reviewItem>
    <reviewItem>
      <errorID>589548a7-ff32-42cb-95f7-ecb9247651da</errorID>
      <errorWord>老师进行搜索</errorWord>
      <group>L1_Grammar</group>
      <groupName>语法问题</groupName>
      <ability>L2_Grammar</ability>
      <abilityName>语法错误</abilityName>
      <candidateList>
        <item>老师</item>
      </candidateList>
      <explain/>
      <paraID>67E0BA45</paraID>
      <start>16</start>
      <end>22</end>
      <status>unmodified</status>
      <modifiedWord/>
      <trackRevisions>false</trackRevisions>
    </reviewItem>
    <reviewItem>
      <errorID>e581ddba-63ba-4805-a2d1-891116047ae6</errorID>
      <errorWord>检测</errorWord>
      <group>L1_Grammar</group>
      <groupName>语法问题</groupName>
      <ability>L2_Grammar</ability>
      <abilityName>语法错误</abilityName>
      <candidateList>
        <item>进行检测</item>
      </candidateList>
      <explain/>
      <paraID> CAB69E9</paraID>
      <start>20</start>
      <end>22</end>
      <status>unmodified</status>
      <modifiedWord/>
      <trackRevisions>false</trackRevisions>
    </reviewItem>
    <reviewItem>
      <errorID>017133ae-015b-4f88-8c40-06396a9f2b05</errorID>
      <errorWord>模版</errorWord>
      <group>L1_Word</group>
      <groupName>字词问题</groupName>
      <ability>L2_Typo</ability>
      <abilityName>字词错误</abilityName>
      <candidateList>
        <item>模板</item>
      </candidateList>
      <explain>存在发音相同字词的误用。</explain>
      <paraID> B640C9C</paraID>
      <start>13</start>
      <end>15</end>
      <status>unmodified</status>
      <modifiedWord/>
      <trackRevisions>false</trackRevisions>
    </reviewItem>
    <reviewItem>
      <errorID>8b7bd7f9-f9cd-4629-95ad-e7270f53ff99</errorID>
      <errorWord>就坐</errorWord>
      <group>L1_Word</group>
      <groupName>字词问题</groupName>
      <ability>L2_Variant</ability>
      <abilityName>异形词</abilityName>
      <candidateList>
        <item>就座</item>
      </candidateList>
      <explain>词汇[就坐]的规范词形写作[就座]。</explain>
      <paraID>5B76E7D9</paraID>
      <start>76</start>
      <end>78</end>
      <status>unmodified</status>
      <modifiedWord/>
      <trackRevisions>false</trackRevisions>
    </reviewItem>
    <reviewItem>
      <errorID>568e59b7-c23b-42b6-be3c-6e5e98485346</errorID>
      <errorWord>参与度率</errorWord>
      <group>L1_Word</group>
      <groupName>字词问题</groupName>
      <ability>L2_Typo</ability>
      <abilityName>字词错误</abilityName>
      <candidateList>
        <item>参与度</item>
      </candidateList>
      <explain/>
      <paraID>297DA2FD</paraID>
      <start>13</start>
      <end>17</end>
      <status>unmodified</status>
      <modifiedWord/>
      <trackRevisions>false</trackRevisions>
    </reviewItem>
    <reviewItem>
      <errorID>aa004b11-7acb-40e7-bebf-2b9b1be30ce9</errorID>
      <errorWord>前排就坐</errorWord>
      <group>L1_Word</group>
      <groupName>字词问题</groupName>
      <ability>L2_Variant</ability>
      <abilityName>异形词</abilityName>
      <candidateList>
        <item>前排就座</item>
      </candidateList>
      <explain>词汇[前排就坐]的规范词形写作[前排就座]。</explain>
      <paraID>602B5A16</paraID>
      <start>47</start>
      <end>51</end>
      <status>unmodified</status>
      <modifiedWord/>
      <trackRevisions>false</trackRevisions>
    </reviewItem>
    <reviewItem>
      <errorID>a2df5199-5ee1-4089-9caa-ae423025a341</errorID>
      <errorWord>需经</errorWord>
      <group>L1_Word</group>
      <groupName>字词问题</groupName>
      <ability>L2_Typo</ability>
      <abilityName>字词错误</abilityName>
      <candidateList>
        <item>须经</item>
      </candidateList>
      <explain/>
      <paraID>3549464F</paraID>
      <start>177</start>
      <end>179</end>
      <status>unmodified</status>
      <modifiedWord/>
      <trackRevisions>false</trackRevisions>
    </reviewItem>
    <reviewItem>
      <errorID>dbab945f-60e7-4ef9-8d43-f94e659c1b99</errorID>
      <errorWord>需经</errorWord>
      <group>L1_Word</group>
      <groupName>字词问题</groupName>
      <ability>L2_Typo</ability>
      <abilityName>字词错误</abilityName>
      <candidateList>
        <item>须经</item>
      </candidateList>
      <explain/>
      <paraID>36C96DA7</paraID>
      <start>179</start>
      <end>181</end>
      <status>unmodified</status>
      <modifiedWord/>
      <trackRevisions>false</trackRevisions>
    </reviewItem>
    <reviewItem>
      <errorID>03138b2b-9efc-4ed8-896c-6e065e873195</errorID>
      <errorWord>(</errorWord>
      <group>L1_Format</group>
      <groupName>格式问题</groupName>
      <ability>L2_HalfPunc</ability>
      <abilityName>全半角检查</abilityName>
      <candidateList>
        <item>（</item>
      </candidateList>
      <explain>文本全半角错误。</explain>
      <paraID>282EFEAA</paraID>
      <start>23</start>
      <end>24</end>
      <status>unmodified</status>
      <modifiedWord/>
      <trackRevisions>false</trackRevisions>
    </reviewItem>
    <reviewItem>
      <errorID>3c6703ae-4b59-41dc-a5c2-574d203bd84d</errorID>
      <errorWord>)</errorWord>
      <group>L1_Format</group>
      <groupName>格式问题</groupName>
      <ability>L2_HalfPunc</ability>
      <abilityName>全半角检查</abilityName>
      <candidateList>
        <item>）</item>
      </candidateList>
      <explain>文本全半角错误。</explain>
      <paraID>282EFEAA</paraID>
      <start>28</start>
      <end>29</end>
      <status>unmodified</status>
      <modifiedWord/>
      <trackRevisions>false</trackRevisions>
    </reviewItem>
    <reviewItem>
      <errorID>1b3891d1-264d-481b-a738-10233a6c2d3d</errorID>
      <errorWord>(</errorWord>
      <group>L1_Format</group>
      <groupName>格式问题</groupName>
      <ability>L2_HalfPunc</ability>
      <abilityName>全半角检查</abilityName>
      <candidateList>
        <item>（</item>
      </candidateList>
      <explain>文本全半角错误。</explain>
      <paraID> 8531225</paraID>
      <start>35</start>
      <end>36</end>
      <status>unmodified</status>
      <modifiedWord/>
      <trackRevisions>false</trackRevisions>
    </reviewItem>
    <reviewItem>
      <errorID>96addfe4-e62b-4b83-8001-36068bba52f7</errorID>
      <errorWord>)</errorWord>
      <group>L1_Format</group>
      <groupName>格式问题</groupName>
      <ability>L2_HalfPunc</ability>
      <abilityName>全半角检查</abilityName>
      <candidateList>
        <item>）</item>
      </candidateList>
      <explain>文本全半角错误。</explain>
      <paraID> 8531225</paraID>
      <start>40</start>
      <end>41</end>
      <status>unmodified</status>
      <modifiedWord/>
      <trackRevisions>false</trackRevisions>
    </reviewItem>
    <reviewItem>
      <errorID>b6675f59-0795-42b3-8356-f78c4fc44958</errorID>
      <errorWord>(</errorWord>
      <group>L1_Format</group>
      <groupName>格式问题</groupName>
      <ability>L2_HalfPunc</ability>
      <abilityName>全半角检查</abilityName>
      <candidateList>
        <item>（</item>
      </candidateList>
      <explain>文本全半角错误。</explain>
      <paraID>49272415</paraID>
      <start>49</start>
      <end>50</end>
      <status>unmodified</status>
      <modifiedWord/>
      <trackRevisions>false</trackRevisions>
    </reviewItem>
    <reviewItem>
      <errorID>720bcb48-a77b-46a5-bbdb-011df58414f5</errorID>
      <errorWord>-</errorWord>
      <group>L1_Format</group>
      <groupName>格式问题</groupName>
      <ability>L2_HalfPunc</ability>
      <abilityName>全半角检查</abilityName>
      <candidateList>
        <item>－</item>
      </candidateList>
      <explain>文本全半角错误。</explain>
      <paraID>49272415</paraID>
      <start>51</start>
      <end>52</end>
      <status>unmodified</status>
      <modifiedWord/>
      <trackRevisions>false</trackRevisions>
    </reviewItem>
    <reviewItem>
      <errorID>0be6b1ca-4e49-43c5-92cc-ba8768f9a0e1</errorID>
      <errorWord>)</errorWord>
      <group>L1_Format</group>
      <groupName>格式问题</groupName>
      <ability>L2_HalfPunc</ability>
      <abilityName>全半角检查</abilityName>
      <candidateList>
        <item>）</item>
      </candidateList>
      <explain>文本全半角错误。</explain>
      <paraID>49272415</paraID>
      <start>54</start>
      <end>55</end>
      <status>unmodified</status>
      <modifiedWord/>
      <trackRevisions>false</trackRevisions>
    </reviewItem>
    <reviewItem>
      <errorID>2e2a67eb-f205-49b0-81d3-0aa41d981ccb</errorID>
      <errorWord>胶粘剂</errorWord>
      <group>L1_Word</group>
      <groupName>字词问题</groupName>
      <ability>L2_Typo</ability>
      <abilityName>字词错误</abilityName>
      <candidateList>
        <item>胶黏剂</item>
      </candidateList>
      <explain/>
      <paraID>364CD20C</paraID>
      <start>15</start>
      <end>18</end>
      <status>unmodified</status>
      <modifiedWord/>
      <trackRevisions>false</trackRevisions>
    </reviewItem>
    <reviewItem>
      <errorID>1e2bf86d-708b-4062-a7ac-6f5fb9e4b059</errorID>
      <errorWord>未有</errorWord>
      <group>L1_Word</group>
      <groupName>字词问题</groupName>
      <ability>L2_Typo</ability>
      <abilityName>字词错误</abilityName>
      <candidateList>
        <item>未</item>
      </candidateList>
      <explain>〈副〉❶没（跟“已”相对）：尚～成年｜健康仍～恢复。❷不：～便｜～敢苟同｜～可厚非。</explain>
      <paraID>30B99E1A</paraID>
      <start>121</start>
      <end>123</end>
      <status>unmodified</status>
      <modifiedWord/>
      <trackRevisions>false</trackRevisions>
    </reviewItem>
    <reviewItem>
      <errorID>6f284968-6855-4703-bd2d-c02946cac4cb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349A8038</paraID>
      <start>103</start>
      <end>104</end>
      <status>unmodified</status>
      <modifiedWord/>
      <trackRevisions>false</trackRevisions>
    </reviewItem>
    <reviewItem>
      <errorID>779830da-dd17-4b62-8110-bf763de503ae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6B15E41E</paraID>
      <start>7</start>
      <end>10</end>
      <status>unmodified</status>
      <modifiedWord/>
      <trackRevisions>false</trackRevisions>
    </reviewItem>
    <reviewItem>
      <errorID>51f3ac54-b222-4f52-bc3d-d1651426a0ae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4AE7EF3B</paraID>
      <start>19</start>
      <end>23</end>
      <status>unmodified</status>
      <modifiedWord/>
      <trackRevisions>false</trackRevisions>
    </reviewItem>
    <reviewItem>
      <errorID>d17bec34-a6d0-4f73-8e6b-93b40c97d04e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446029E1</paraID>
      <start>52</start>
      <end>56</end>
      <status>unmodified</status>
      <modifiedWord/>
      <trackRevisions>false</trackRevisions>
    </reviewItem>
    <reviewItem>
      <errorID>2b48ee52-3a18-47be-8a22-ee6695cbcfcb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2EF829E8</paraID>
      <start>60</start>
      <end>64</end>
      <status>unmodified</status>
      <modifiedWord/>
      <trackRevisions>false</trackRevisions>
    </reviewItem>
    <reviewItem>
      <errorID>a4e0b323-da9b-4244-8d3c-3d4580346c29</errorID>
      <errorWord>在现场勘察</errorWord>
      <group>L1_Word</group>
      <groupName>字词问题</groupName>
      <ability>L2_Typo</ability>
      <abilityName>字词错误</abilityName>
      <candidateList>
        <item>在现场勘查</item>
      </candidateList>
      <explain/>
      <paraID>6C247D02</paraID>
      <start>2</start>
      <end>7</end>
      <status>unmodified</status>
      <modifiedWord/>
      <trackRevisions>false</trackRevisions>
    </reviewItem>
    <reviewItem>
      <errorID>d55b2571-dcff-407c-9da1-870c6f3f95dc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40CA648</paraID>
      <start>162</start>
      <end>163</end>
      <status>unmodified</status>
      <modifiedWord/>
      <trackRevisions>false</trackRevisions>
    </reviewItem>
    <reviewItem>
      <errorID>6c18b81c-5260-4a55-96f7-39eb9c720b9d</errorID>
      <errorWord>未有</errorWord>
      <group>L1_Word</group>
      <groupName>字词问题</groupName>
      <ability>L2_Typo</ability>
      <abilityName>字词错误</abilityName>
      <candidateList>
        <item>未</item>
      </candidateList>
      <explain>〈副〉❶没（跟“已”相对）：尚～成年｜健康仍～恢复。❷不：～便｜～敢苟同｜～可厚非。</explain>
      <paraID>1869BD58</paraID>
      <start>118</start>
      <end>120</end>
      <status>unmodified</status>
      <modifiedWord/>
      <trackRevisions>false</trackRevisions>
    </reviewItem>
    <reviewItem>
      <errorID>46a65b67-5b6a-4a40-a2de-a1f70539d127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5DA094B8</paraID>
      <start>104</start>
      <end>105</end>
      <status>unmodified</status>
      <modifiedWord/>
      <trackRevisions>false</trackRevisions>
    </reviewItem>
    <reviewItem>
      <errorID>ad207a0a-0bad-46d6-bfa6-1788c6cd0970</errorID>
      <errorWord>围</errorWord>
      <group>L1_Word</group>
      <groupName>字词问题</groupName>
      <ability>L2_Typo</ability>
      <abilityName>字词错误</abilityName>
      <candidateList>
        <item>围内</item>
      </candidateList>
      <explain/>
      <paraID>72F3E812</paraID>
      <start>7</start>
      <end>8</end>
      <status>unmodified</status>
      <modifiedWord/>
      <trackRevisions>false</trackRevisions>
    </reviewItem>
    <reviewItem>
      <errorID>a8303ef8-3a66-4b23-bed6-b433acf825ca</errorID>
      <errorWord>终生</errorWord>
      <group>L1_Word</group>
      <groupName>字词问题</groupName>
      <ability>L2_Typo</ability>
      <abilityName>字词错误</abilityName>
      <candidateList>
        <item>终身</item>
      </candidateList>
      <explain/>
      <paraID> 3ACF6FE</paraID>
      <start>68</start>
      <end>70</end>
      <status>unmodified</status>
      <modifiedWord/>
      <trackRevisions>false</trackRevisions>
    </reviewItem>
    <reviewItem>
      <errorID>633302d7-5f85-475d-aad5-a66aaa8b8033</errorID>
      <errorWord>(</errorWord>
      <group>L1_Format</group>
      <groupName>格式问题</groupName>
      <ability>L2_HalfPunc</ability>
      <abilityName>全半角检查</abilityName>
      <candidateList>
        <item>（</item>
      </candidateList>
      <explain>文本全半角错误。</explain>
      <paraID>54F95966</paraID>
      <start>17</start>
      <end>18</end>
      <status>unmodified</status>
      <modifiedWord/>
      <trackRevisions>false</trackRevisions>
    </reviewItem>
    <reviewItem>
      <errorID>78ad036f-23c9-4ff7-9f4f-b1d15a5b1b47</errorID>
      <errorWord>)</errorWord>
      <group>L1_Format</group>
      <groupName>格式问题</groupName>
      <ability>L2_HalfPunc</ability>
      <abilityName>全半角检查</abilityName>
      <candidateList>
        <item>）</item>
      </candidateList>
      <explain>文本全半角错误。</explain>
      <paraID>54F95966</paraID>
      <start>22</start>
      <end>23</end>
      <status>unmodified</status>
      <modifiedWord/>
      <trackRevisions>false</trackRevisions>
    </reviewItem>
    <reviewItem>
      <errorID>91d354d5-355c-4891-82a6-769827ee2759</errorID>
      <errorWord>噪音</errorWord>
      <group>L1_Word</group>
      <groupName>字词问题</groupName>
      <ability>L2_Alias</ability>
      <abilityName>也作/曾用词</abilityName>
      <candidateList>
        <item>噪声</item>
      </candidateList>
      <explain>词汇[噪音]为不规范表述或旧称，其规范书面表述为[噪声]。</explain>
      <paraID>1FCFD428</paraID>
      <start>48</start>
      <end>50</end>
      <status>unmodified</status>
      <modifiedWord/>
      <trackRevisions>false</trackRevisions>
    </reviewItem>
    <reviewItem>
      <errorID>eb356bbe-6580-41f4-9b12-3c60cdc7e282</errorID>
      <errorWord>没</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2D8FFBB9</paraID>
      <start>11</start>
      <end>12</end>
      <status>unmodified</status>
      <modifiedWord/>
      <trackRevisions>false</trackRevisions>
    </reviewItem>
    <reviewItem>
      <errorID>ae24c7f2-84b0-43ca-ab34-17179053b091</errorID>
      <errorWord>国家发改委</errorWord>
      <group>L1_Knowledge</group>
      <groupName>知识性问题</groupName>
      <ability>L2_Knowledge</ability>
      <abilityName>其他知识</abilityName>
      <candidateList>
        <item>国家发展改革委</item>
      </candidateList>
      <explain/>
      <paraID>618B3834</paraID>
      <start>12</start>
      <end>17</end>
      <status>unmodified</status>
      <modifiedWord/>
      <trackRevisions>false</trackRevisions>
    </reviewItem>
    <reviewItem>
      <errorID>63550076-e5c9-466d-8367-e7defb348146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9DBE128</paraID>
      <start>83</start>
      <end>87</end>
      <status>unmodified</status>
      <modifiedWord/>
      <trackRevisions>false</trackRevisions>
    </reviewItem>
    <reviewItem>
      <errorID>42dc3f46-924e-4153-8856-42d2e38e43aa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9DBE128</paraID>
      <start>133</start>
      <end>137</end>
      <status>unmodified</status>
      <modifiedWord/>
      <trackRevisions>false</trackRevisions>
    </reviewItem>
    <reviewItem>
      <errorID>986d835e-258e-4233-9474-22f5fd5b2a66</errorID>
      <errorWord>适应</errorWord>
      <group>L1_Word</group>
      <groupName>字词问题</groupName>
      <ability>L2_Typo</ability>
      <abilityName>字词错误</abilityName>
      <candidateList>
        <item>适用</item>
      </candidateList>
      <explain>〈形〉适合使用：这套耕作方法，在我们这个地区也完全～。</explain>
      <paraID>2B34F82E</paraID>
      <start>87</start>
      <end>89</end>
      <status>unmodified</status>
      <modifiedWord/>
      <trackRevisions>false</trackRevisions>
    </reviewItem>
    <reviewItem>
      <errorID>e00187f4-aa12-4c07-8b27-48abb1d96334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7E9E9D4C</paraID>
      <start>5</start>
      <end>6</end>
      <status>unmodified</status>
      <modifiedWord/>
      <trackRevisions>false</trackRevisions>
    </reviewItem>
    <reviewItem>
      <errorID>4451ee62-00a6-47e5-a567-e85422e0f55d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2605725C</paraID>
      <start>5</start>
      <end>9</end>
      <status>unmodified</status>
      <modifiedWord/>
      <trackRevisions>false</trackRevisions>
    </reviewItem>
    <reviewItem>
      <errorID>df29786d-f4b4-4f8b-891f-b86a2d3b43f0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3A00EFBD</paraID>
      <start>6</start>
      <end>10</end>
      <status>unmodified</status>
      <modifiedWord/>
      <trackRevisions>false</trackRevisions>
    </reviewItem>
    <reviewItem>
      <errorID>5fb62d8c-2ab6-4768-9fa7-ce24a63b4a3c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72D6D3F7</paraID>
      <start>14</start>
      <end>15</end>
      <status>unmodified</status>
      <modifiedWord/>
      <trackRevisions>false</trackRevisions>
    </reviewItem>
    <reviewItem>
      <errorID>c4ea5de3-ad37-4c41-84b3-9bc0836642ca</errorID>
      <errorWord>须</errorWord>
      <group>L1_Word</group>
      <groupName>字词问题</groupName>
      <ability>L2_Typo</ability>
      <abilityName>字词错误</abilityName>
      <candidateList>
        <item>需</item>
      </candidateList>
      <explain>存在发音相同字词的误用。</explain>
      <paraID>564A4702</paraID>
      <start>11</start>
      <end>12</end>
      <status>unmodified</status>
      <modifiedWord/>
      <trackRevisions>false</trackRevisions>
    </reviewItem>
    <reviewItem>
      <errorID>156b34b2-c649-4faa-8471-c51b5456154b</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13AF3654</paraID>
      <start>94</start>
      <end>98</end>
      <status>modified</status>
      <modifiedWord>其他所有</modifiedWord>
      <trackRevisions>false</trackRevisions>
    </reviewItem>
    <reviewItem>
      <errorID>f4f7f7b6-03b7-4e0c-a4b5-aa53a9bb804a</errorID>
      <errorWord>其它</errorWord>
      <group>L1_Word</group>
      <groupName>字词问题</groupName>
      <ability>L2_Alias</ability>
      <abilityName>也作/曾用词</abilityName>
      <candidateList>
        <item>其他</item>
      </candidateList>
      <explain>词汇[其它]为不规范表述或旧称，其规范书面表述为[其他]。</explain>
      <paraID> AF506F3</paraID>
      <start>0</start>
      <end>2</end>
      <status>modified</status>
      <modifiedWord>其他</modifiedWord>
      <trackRevisions>false</trackRevisions>
    </reviewItem>
    <reviewItem>
      <errorID>604f6486-15ee-4182-bcf3-9d0bb33fb873</errorID>
      <errorWord>它人</errorWord>
      <group>L1_Word</group>
      <groupName>字词问题</groupName>
      <ability>L2_Typo</ability>
      <abilityName>字词错误</abilityName>
      <candidateList>
        <item>他人</item>
      </candidateList>
      <explain>存在发音相同字词的误用。</explain>
      <paraID>75186141</paraID>
      <start>83</start>
      <end>85</end>
      <status>modified</status>
      <modifiedWord>他人</modifiedWord>
      <trackRevisions>false</trackRevisions>
    </reviewItem>
    <reviewItem>
      <errorID>afad545f-c139-4f86-8cbb-be3514b6d39d</errorID>
      <errorWord>（</errorWord>
      <group>L1_Punc</group>
      <groupName>标点问题</groupName>
      <ability>L2_Punc</ability>
      <abilityName>标点符号检查</abilityName>
      <candidateList/>
      <explain>同一形式括号套用。</explain>
      <paraID>4357F7AB</paraID>
      <start>20</start>
      <end>21</end>
      <status>unmodified</status>
      <modifiedWord/>
      <trackRevisions>false</trackRevisions>
    </reviewItem>
    <reviewItem>
      <errorID>380ced89-5acf-4754-b1a5-7c54c6fff773</errorID>
      <errorWord>）</errorWord>
      <group>L1_Punc</group>
      <groupName>标点问题</groupName>
      <ability>L2_Punc</ability>
      <abilityName>标点符号检查</abilityName>
      <candidateList/>
      <explain>同一形式括号套用。</explain>
      <paraID>4357F7AB</paraID>
      <start>27</start>
      <end>28</end>
      <status>unmodified</status>
      <modifiedWord/>
      <trackRevisions>false</trackRevisions>
    </reviewItem>
    <reviewItem>
      <errorID>08958c40-fb76-4145-8d22-fe0e6d077b41</errorID>
      <errorWord>(</errorWord>
      <group>L1_Format</group>
      <groupName>格式问题</groupName>
      <ability>L2_HalfPunc</ability>
      <abilityName>全半角检查</abilityName>
      <candidateList>
        <item>（</item>
      </candidateList>
      <explain>文本全半角错误。</explain>
      <paraID>190CFDF3</paraID>
      <start>16</start>
      <end>17</end>
      <status>unmodified</status>
      <modifiedWord/>
      <trackRevisions>false</trackRevisions>
    </reviewItem>
    <reviewItem>
      <errorID>214242c2-8748-4959-beea-1eaa038a0f1a</errorID>
      <errorWord>(</errorWord>
      <group>L1_Format</group>
      <groupName>格式问题</groupName>
      <ability>L2_HalfPunc</ability>
      <abilityName>全半角检查</abilityName>
      <candidateList>
        <item>（</item>
      </candidateList>
      <explain>文本全半角错误。</explain>
      <paraID>55C088DE</paraID>
      <start>16</start>
      <end>17</end>
      <status>unmodified</status>
      <modifiedWord/>
      <trackRevisions>false</trackRevisions>
    </reviewItem>
    <reviewItem>
      <errorID>a81258c7-229b-4a7b-a5b2-c29936e9922c</errorID>
      <errorWord>：</errorWord>
      <group>L1_Format</group>
      <groupName>格式问题</groupName>
      <ability>L2_HalfPunc</ability>
      <abilityName>全半角检查</abilityName>
      <candidateList>
        <item>:</item>
      </candidateList>
      <explain>文本全半角错误。</explain>
      <paraID>40C6BA94</paraID>
      <start>17</start>
      <end>18</end>
      <status>unmodified</status>
      <modifiedWord/>
      <trackRevisions>false</trackRevisions>
    </reviewItem>
    <reviewItem>
      <errorID>1a9b9c7e-1973-4dc1-bf93-574ac23d4fa4</errorID>
      <errorWord>具</errorWord>
      <group>L1_Word</group>
      <groupName>字词问题</groupName>
      <ability>L2_Typo</ability>
      <abilityName>字词错误</abilityName>
      <candidateList>
        <item>具有</item>
      </candidateList>
      <explain>〈动〉有（多用于抽象事物）：～信心｜～伟大的意义。</explain>
      <paraID>5EFB9537</paraID>
      <start>19</start>
      <end>20</end>
      <status>unmodified</status>
      <modifiedWord/>
      <trackRevisions>false</trackRevisions>
    </reviewItem>
    <reviewItem>
      <errorID>1b108aa4-0571-4879-9b4d-b2bae7366ceb</errorID>
      <errorWord>副</errorWord>
      <group>L1_Knowledge</group>
      <groupName>知识性问题</groupName>
      <ability>L2_Knowledge</ability>
      <abilityName>其他知识</abilityName>
      <candidateList>
        <item>幅</item>
      </candidateList>
      <explain>请检查“副”是否为量词使用错误，建议修改为“幅”。</explain>
      <paraID>5C53ABE0</paraID>
      <start>23</start>
      <end>24</end>
      <status>unmodified</status>
      <modifiedWord/>
      <trackRevisions>false</trackRevisions>
    </reviewItem>
    <reviewItem>
      <errorID>ce124019-163c-4e93-ac74-fe78e47c0d9d</errorID>
      <errorWord>：</errorWord>
      <group>L1_Format</group>
      <groupName>格式问题</groupName>
      <ability>L2_HalfPunc</ability>
      <abilityName>全半角检查</abilityName>
      <candidateList>
        <item>:</item>
      </candidateList>
      <explain>文本全半角错误。</explain>
      <paraID>1F4CE20D</paraID>
      <start>17</start>
      <end>18</end>
      <status>unmodified</status>
      <modifiedWord/>
      <trackRevisions>false</trackRevisions>
    </reviewItem>
    <reviewItem>
      <errorID>bf76ff9d-6a26-4231-8c8d-2bd88815b35e</errorID>
      <errorWord>具</errorWord>
      <group>L1_Word</group>
      <groupName>字词问题</groupName>
      <ability>L2_Typo</ability>
      <abilityName>字词错误</abilityName>
      <candidateList>
        <item>具有</item>
      </candidateList>
      <explain>〈动〉有（多用于抽象事物）：～信心｜～伟大的意义。</explain>
      <paraID>6C6DB20C</paraID>
      <start>19</start>
      <end>20</end>
      <status>unmodified</status>
      <modifiedWord/>
      <trackRevisions>false</trackRevisions>
    </reviewItem>
    <reviewItem>
      <errorID>6d349308-a488-4292-8047-6b19876dc1c2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473C1561</paraID>
      <start>90</start>
      <end>91</end>
      <status>unmodified</status>
      <modifiedWord/>
      <trackRevisions>false</trackRevisions>
    </reviewItem>
    <reviewItem>
      <errorID>fefc4dfa-fb87-4ffb-b7a3-f137f70fe0ef</errorID>
      <errorWord>,</errorWord>
      <group>L1_Format</group>
      <groupName>格式问题</groupName>
      <ability>L2_HalfPunc</ability>
      <abilityName>全半角检查</abilityName>
      <candidateList>
        <item>，</item>
      </candidateList>
      <explain>文本全半角错误。</explain>
      <paraID>1A92EC6D</paraID>
      <start>11</start>
      <end>12</end>
      <status>unmodified</status>
      <modifiedWord/>
      <trackRevisions>false</trackRevisions>
    </reviewItem>
    <reviewItem>
      <errorID>b90f9604-25af-452f-a6f3-d9bee2a6982f</errorID>
      <errorWord>,</errorWord>
      <group>L1_Format</group>
      <groupName>格式问题</groupName>
      <ability>L2_HalfPunc</ability>
      <abilityName>全半角检查</abilityName>
      <candidateList>
        <item>，</item>
      </candidateList>
      <explain>文本全半角错误。</explain>
      <paraID>1A92EC6D</paraID>
      <start>20</start>
      <end>21</end>
      <status>unmodified</status>
      <modifiedWord/>
      <trackRevisions>false</trackRevisions>
    </reviewItem>
    <reviewItem>
      <errorID>9ef19abe-ece7-4bab-8a68-860657f5283a</errorID>
      <errorWord>,</errorWord>
      <group>L1_Format</group>
      <groupName>格式问题</groupName>
      <ability>L2_HalfPunc</ability>
      <abilityName>全半角检查</abilityName>
      <candidateList>
        <item>，</item>
      </candidateList>
      <explain>文本全半角错误。</explain>
      <paraID>  CAE6A0</paraID>
      <start>73</start>
      <end>74</end>
      <status>unmodified</status>
      <modifiedWord/>
      <trackRevisions>false</trackRevisions>
    </reviewItem>
    <reviewItem>
      <errorID>fda30872-de57-4b54-ad28-9adfd2669686</errorID>
      <errorWord>(</errorWord>
      <group>L1_Format</group>
      <groupName>格式问题</groupName>
      <ability>L2_HalfPunc</ability>
      <abilityName>全半角检查</abilityName>
      <candidateList>
        <item>（</item>
      </candidateList>
      <explain>文本全半角错误。</explain>
      <paraID>3D9105A8</paraID>
      <start>95</start>
      <end>96</end>
      <status>unmodified</status>
      <modifiedWord/>
      <trackRevisions>false</trackRevisions>
    </reviewItem>
    <reviewItem>
      <errorID>c640ba06-e688-4636-8e0b-849abc35dccb</errorID>
      <errorWord>)</errorWord>
      <group>L1_Format</group>
      <groupName>格式问题</groupName>
      <ability>L2_HalfPunc</ability>
      <abilityName>全半角检查</abilityName>
      <candidateList>
        <item>）</item>
      </candidateList>
      <explain>文本全半角错误。</explain>
      <paraID>3D9105A8</paraID>
      <start>102</start>
      <end>103</end>
      <status>unmodified</status>
      <modifiedWord/>
      <trackRevisions>false</trackRevisions>
    </reviewItem>
    <reviewItem>
      <errorID>523b02c5-03e9-4718-b12c-cde6ddb62407</errorID>
      <errorWord>,</errorWord>
      <group>L1_Format</group>
      <groupName>格式问题</groupName>
      <ability>L2_HalfPunc</ability>
      <abilityName>全半角检查</abilityName>
      <candidateList>
        <item>，</item>
      </candidateList>
      <explain>文本全半角错误。</explain>
      <paraID>2EC13BD9</paraID>
      <start>21</start>
      <end>22</end>
      <status>unmodified</status>
      <modifiedWord/>
      <trackRevisions>false</trackRevisions>
    </reviewItem>
    <reviewItem>
      <errorID>260fabb2-e46b-4839-ac50-a9de14a0f620</errorID>
      <errorWord>:</errorWord>
      <group>L1_Format</group>
      <groupName>格式问题</groupName>
      <ability>L2_HalfPunc</ability>
      <abilityName>全半角检查</abilityName>
      <candidateList>
        <item>：</item>
      </candidateList>
      <explain>文本全半角错误。</explain>
      <paraID> 445AC6C</paraID>
      <start>4</start>
      <end>5</end>
      <status>unmodified</status>
      <modifiedWord/>
      <trackRevisions>false</trackRevisions>
    </reviewItem>
    <reviewItem>
      <errorID>b72121f5-5f1d-4e52-ae04-dfd38acbc6fa</errorID>
      <errorWord>(</errorWord>
      <group>L1_Format</group>
      <groupName>格式问题</groupName>
      <ability>L2_HalfPunc</ability>
      <abilityName>全半角检查</abilityName>
      <candidateList>
        <item>（</item>
      </candidateList>
      <explain>文本全半角错误。</explain>
      <paraID> 445AC6C</paraID>
      <start>61</start>
      <end>62</end>
      <status>unmodified</status>
      <modifiedWord/>
      <trackRevisions>false</trackRevisions>
    </reviewItem>
    <reviewItem>
      <errorID>5ae81acf-933a-4c5d-bddd-e41db883296b</errorID>
      <errorWord>)</errorWord>
      <group>L1_Format</group>
      <groupName>格式问题</groupName>
      <ability>L2_HalfPunc</ability>
      <abilityName>全半角检查</abilityName>
      <candidateList>
        <item>）</item>
      </candidateList>
      <explain>文本全半角错误。</explain>
      <paraID> 445AC6C</paraID>
      <start>65</start>
      <end>66</end>
      <status>unmodified</status>
      <modifiedWord/>
      <trackRevisions>false</trackRevisions>
    </reviewItem>
    <reviewItem>
      <errorID>fcbb952a-5ecf-4d03-9ad6-8bad0b1b987a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445AC6C</paraID>
      <start>129</start>
      <end>130</end>
      <status>unmodified</status>
      <modifiedWord/>
      <trackRevisions>false</trackRevisions>
    </reviewItem>
    <reviewItem>
      <errorID>7782868f-cedc-4c12-bb57-dc6eb956cb3b</errorID>
      <errorWord>版</errorWord>
      <group>L1_Word</group>
      <groupName>字词问题</groupName>
      <ability>L2_Typo</ability>
      <abilityName>字词错误</abilityName>
      <candidateList>
        <item>板</item>
      </candidateList>
      <explain>存在发音相同字词的误用。</explain>
      <paraID>4F238EF6</paraID>
      <start>10</start>
      <end>11</end>
      <status>unmodified</status>
      <modifiedWord/>
      <trackRevisions>false</trackRevisions>
    </reviewItem>
    <reviewItem>
      <errorID>8634c088-dce6-4593-88f0-db6c6e839b38</errorID>
      <errorWord>及麦</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69FE5984</paraID>
      <start>79</start>
      <end>81</end>
      <status>unmodified</status>
      <modifiedWord/>
      <trackRevisions>false</trackRevisions>
    </reviewItem>
    <reviewItem>
      <errorID>0e8d12a1-dba7-402b-9357-45c47b594771</errorID>
      <errorWord>)</errorWord>
      <group>L1_Format</group>
      <groupName>格式问题</groupName>
      <ability>L2_HalfPunc</ability>
      <abilityName>全半角检查</abilityName>
      <candidateList>
        <item>）</item>
      </candidateList>
      <explain>文本全半角错误。</explain>
      <paraID>2B53999A</paraID>
      <start>22</start>
      <end>23</end>
      <status>unmodified</status>
      <modifiedWord/>
      <trackRevisions>false</trackRevisions>
    </reviewItem>
    <reviewItem>
      <errorID>b619232d-b234-4f27-be29-ddf25327d67f</errorID>
      <errorWord>)</errorWord>
      <group>L1_Format</group>
      <groupName>格式问题</groupName>
      <ability>L2_HalfPunc</ability>
      <abilityName>全半角检查</abilityName>
      <candidateList>
        <item>）</item>
      </candidateList>
      <explain>文本全半角错误。</explain>
      <paraID>2B53999A</paraID>
      <start>50</start>
      <end>51</end>
      <status>unmodified</status>
      <modifiedWord/>
      <trackRevisions>false</trackRevisions>
    </reviewItem>
    <reviewItem>
      <errorID>d19e6543-2b35-4354-aff6-e12751564176</errorID>
      <errorWord>：</errorWord>
      <group>L1_Format</group>
      <groupName>格式问题</groupName>
      <ability>L2_HalfPunc</ability>
      <abilityName>全半角检查</abilityName>
      <candidateList>
        <item>:</item>
      </candidateList>
      <explain>文本全半角错误。</explain>
      <paraID>5AA71584</paraID>
      <start>12</start>
      <end>13</end>
      <status>unmodified</status>
      <modifiedWord/>
      <trackRevisions>false</trackRevisions>
    </reviewItem>
    <reviewItem>
      <errorID>17c24aeb-7465-49ee-8bd4-e2a9bbed74cd</errorID>
      <errorWord>(</errorWord>
      <group>L1_Format</group>
      <groupName>格式问题</groupName>
      <ability>L2_HalfPunc</ability>
      <abilityName>全半角检查</abilityName>
      <candidateList>
        <item>（</item>
      </candidateList>
      <explain>文本全半角错误。</explain>
      <paraID>5F684050</paraID>
      <start>126</start>
      <end>127</end>
      <status>unmodified</status>
      <modifiedWord/>
      <trackRevisions>false</trackRevisions>
    </reviewItem>
    <reviewItem>
      <errorID>a8cda603-b68d-4db6-9e18-189900acfe65</errorID>
      <errorWord>)</errorWord>
      <group>L1_Format</group>
      <groupName>格式问题</groupName>
      <ability>L2_HalfPunc</ability>
      <abilityName>全半角检查</abilityName>
      <candidateList>
        <item>）</item>
      </candidateList>
      <explain>文本全半角错误。</explain>
      <paraID>5F684050</paraID>
      <start>131</start>
      <end>132</end>
      <status>unmodified</status>
      <modifiedWord/>
      <trackRevisions>false</trackRevisions>
    </reviewItem>
    <reviewItem>
      <errorID>7d63a39a-10f9-407a-86da-e7983a827a9c</errorID>
      <errorWord>KHz</errorWord>
      <group>L1_English</group>
      <groupName>英文问题</groupName>
      <ability>L2_Case</ability>
      <abilityName>大小写问题</abilityName>
      <candidateList>
        <item>kHz</item>
      </candidateList>
      <explain>疑似单词大小写错误，建议将KHz修改为kHz</explain>
      <paraID>2AF0AE41</paraID>
      <start>64</start>
      <end>67</end>
      <status>unmodified</status>
      <modifiedWord/>
      <trackRevisions>false</trackRevisions>
    </reviewItem>
    <reviewItem>
      <errorID>c3d7118b-dee3-478b-b0e1-18fc5b58de4a</errorID>
      <errorWord>模版</errorWord>
      <group>L1_Word</group>
      <groupName>字词问题</groupName>
      <ability>L2_Typo</ability>
      <abilityName>字词错误</abilityName>
      <candidateList>
        <item>模板</item>
      </candidateList>
      <explain>存在发音相同字词的误用。</explain>
      <paraID>75017A15</paraID>
      <start>14</start>
      <end>16</end>
      <status>unmodified</status>
      <modifiedWord/>
      <trackRevisions>false</trackRevisions>
    </reviewItem>
    <reviewItem>
      <errorID>e7430812-02eb-4509-b856-361f1437f57d</errorID>
      <errorWord>-</errorWord>
      <group>L1_Format</group>
      <groupName>格式问题</groupName>
      <ability>L2_HalfPunc</ability>
      <abilityName>全半角检查</abilityName>
      <candidateList>
        <item>－</item>
      </candidateList>
      <explain>文本全半角错误。</explain>
      <paraID>1BD8AACF</paraID>
      <start>7</start>
      <end>8</end>
      <status>unmodified</status>
      <modifiedWord/>
      <trackRevisions>false</trackRevisions>
    </reviewItem>
    <reviewItem>
      <errorID>eb6a3863-8d19-4373-b516-6f6cb9fb3b06</errorID>
      <errorWord>模版</errorWord>
      <group>L1_Word</group>
      <groupName>字词问题</groupName>
      <ability>L2_Typo</ability>
      <abilityName>字词错误</abilityName>
      <candidateList>
        <item>模板</item>
      </candidateList>
      <explain>存在发音相同字词的误用。</explain>
      <paraID>240BF64A</paraID>
      <start>13</start>
      <end>15</end>
      <status>unmodified</status>
      <modifiedWord/>
      <trackRevisions>false</trackRevisions>
    </reviewItem>
    <reviewItem>
      <errorID>244c1fe0-322a-4c19-8e04-db8d125902d5</errorID>
      <errorWord>就坐</errorWord>
      <group>L1_Word</group>
      <groupName>字词问题</groupName>
      <ability>L2_Variant</ability>
      <abilityName>异形词</abilityName>
      <candidateList>
        <item>就座</item>
      </candidateList>
      <explain>词汇[就坐]的规范词形写作[就座]。</explain>
      <paraID>6DCC3F0D</paraID>
      <start>76</start>
      <end>78</end>
      <status>unmodified</status>
      <modifiedWord/>
      <trackRevisions>false</trackRevisions>
    </reviewItem>
    <reviewItem>
      <errorID>fbfaacc4-f52a-400c-afb8-358ee73e74ed</errorID>
      <errorWord>参与度率</errorWord>
      <group>L1_Word</group>
      <groupName>字词问题</groupName>
      <ability>L2_Typo</ability>
      <abilityName>字词错误</abilityName>
      <candidateList>
        <item>参与度</item>
      </candidateList>
      <explain/>
      <paraID>5ACCC08C</paraID>
      <start>13</start>
      <end>17</end>
      <status>unmodified</status>
      <modifiedWord/>
      <trackRevisions>false</trackRevisions>
    </reviewItem>
    <reviewItem>
      <errorID>1b40df43-6b96-4208-a340-99e94aad4e69</errorID>
      <errorWord>前排就坐</errorWord>
      <group>L1_Word</group>
      <groupName>字词问题</groupName>
      <ability>L2_Variant</ability>
      <abilityName>异形词</abilityName>
      <candidateList>
        <item>前排就座</item>
      </candidateList>
      <explain>词汇[前排就坐]的规范词形写作[前排就座]。</explain>
      <paraID>56890915</paraID>
      <start>47</start>
      <end>51</end>
      <status>unmodified</status>
      <modifiedWord/>
      <trackRevisions>false</trackRevisions>
    </reviewItem>
    <reviewItem>
      <errorID>2963e691-8e32-47ed-bce2-a84726973bbf</errorID>
      <errorWord>填</errorWord>
      <group>L1_Word</group>
      <groupName>字词问题</groupName>
      <ability>L2_Typo</ability>
      <abilityName>字词错误</abilityName>
      <candidateList>
        <item>填报</item>
      </candidateList>
      <explain/>
      <paraID>51079D7B</paraID>
      <start>22</start>
      <end>23</end>
      <status>unmodified</status>
      <modifiedWord/>
      <trackRevisions>false</trackRevisions>
    </reviewItem>
    <reviewItem>
      <errorID>e4c94dd0-47d9-46be-8621-d7ee1eb84fa4</errorID>
      <errorWord>法律、法规</errorWord>
      <group>L1_Word</group>
      <groupName>字词问题</groupName>
      <ability>L2_Typo</ability>
      <abilityName>字词错误</abilityName>
      <candidateList>
        <item>法律法规</item>
      </candidateList>
      <explain/>
      <paraID>5BA6C2ED</paraID>
      <start>24</start>
      <end>29</end>
      <status>unmodified</status>
      <modifiedWord/>
      <trackRevisions>false</trackRevisions>
    </reviewItem>
    <reviewItem>
      <errorID>443b26f4-e70f-4fe4-97b5-3a180417fd32</errorID>
      <errorWord>(</errorWord>
      <group>L1_Format</group>
      <groupName>格式问题</groupName>
      <ability>L2_HalfPunc</ability>
      <abilityName>全半角检查</abilityName>
      <candidateList>
        <item>（</item>
      </candidateList>
      <explain>文本全半角错误。</explain>
      <paraID>5B3A8900</paraID>
      <start>5</start>
      <end>6</end>
      <status>unmodified</status>
      <modifiedWord/>
      <trackRevisions>false</trackRevisions>
    </reviewItem>
    <reviewItem>
      <errorID>a299a2d9-0118-4b09-86c0-1a7a227f7bb4</errorID>
      <errorWord>)</errorWord>
      <group>L1_Format</group>
      <groupName>格式问题</groupName>
      <ability>L2_HalfPunc</ability>
      <abilityName>全半角检查</abilityName>
      <candidateList>
        <item>）</item>
      </candidateList>
      <explain>文本全半角错误。</explain>
      <paraID>5B3A8900</paraID>
      <start>14</start>
      <end>15</end>
      <status>unmodified</status>
      <modifiedWord/>
      <trackRevisions>false</trackRevisions>
    </reviewItem>
    <reviewItem>
      <errorID>ae0c78c2-5a85-4eac-82f1-877c3bf70f33</errorID>
      <errorWord>(</errorWord>
      <group>L1_Format</group>
      <groupName>格式问题</groupName>
      <ability>L2_HalfPunc</ability>
      <abilityName>全半角检查</abilityName>
      <candidateList>
        <item>（</item>
      </candidateList>
      <explain>文本全半角错误。</explain>
      <paraID>5EE28A48</paraID>
      <start>3</start>
      <end>4</end>
      <status>unmodified</status>
      <modifiedWord/>
      <trackRevisions>false</trackRevisions>
    </reviewItem>
    <reviewItem>
      <errorID>72485720-3c46-4d1c-8b0d-71e0f884d99e</errorID>
      <errorWord>)</errorWord>
      <group>L1_Format</group>
      <groupName>格式问题</groupName>
      <ability>L2_HalfPunc</ability>
      <abilityName>全半角检查</abilityName>
      <candidateList>
        <item>）</item>
      </candidateList>
      <explain>文本全半角错误。</explain>
      <paraID>5EE28A48</paraID>
      <start>10</start>
      <end>11</end>
      <status>unmodified</status>
      <modifiedWord/>
      <trackRevisions>false</trackRevisions>
    </reviewItem>
    <reviewItem>
      <errorID>0d396475-1c89-49e6-b3e0-66ba220517b0</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5ACEE251</paraID>
      <start>18</start>
      <end>25</end>
      <status>unmodified</status>
      <modifiedWord/>
      <trackRevisions>false</trackRevisions>
    </reviewItem>
    <reviewItem>
      <errorID>c6d76f00-d409-441d-bd13-88e1378492bb</errorID>
      <errorWord>作</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5ACEE251</paraID>
      <start>47</start>
      <end>48</end>
      <status>unmodified</status>
      <modifiedWord/>
      <trackRevisions>false</trackRevisions>
    </reviewItem>
    <reviewItem>
      <errorID>6dc25be6-3a64-4d82-aae3-e7fd9867cad5</errorID>
      <errorWord>(</errorWord>
      <group>L1_Format</group>
      <groupName>格式问题</groupName>
      <ability>L2_HalfPunc</ability>
      <abilityName>全半角检查</abilityName>
      <candidateList>
        <item>（</item>
      </candidateList>
      <explain>文本全半角错误。</explain>
      <paraID>743E2327</paraID>
      <start>2</start>
      <end>3</end>
      <status>unmodified</status>
      <modifiedWord/>
      <trackRevisions>false</trackRevisions>
    </reviewItem>
    <reviewItem>
      <errorID>5cb3ca8c-dbcf-41bd-b9d6-d1510ba64b98</errorID>
      <errorWord>)</errorWord>
      <group>L1_Format</group>
      <groupName>格式问题</groupName>
      <ability>L2_HalfPunc</ability>
      <abilityName>全半角检查</abilityName>
      <candidateList>
        <item>）</item>
      </candidateList>
      <explain>文本全半角错误。</explain>
      <paraID>743E2327</paraID>
      <start>5</start>
      <end>6</end>
      <status>unmodified</status>
      <modifiedWord/>
      <trackRevisions>false</trackRevisions>
    </reviewItem>
    <reviewItem>
      <errorID>c81e0f2e-b732-4a97-99b0-6e1e3eee605b</errorID>
      <errorWord>-</errorWord>
      <group>L1_Format</group>
      <groupName>格式问题</groupName>
      <ability>L2_HalfPunc</ability>
      <abilityName>全半角检查</abilityName>
      <candidateList>
        <item>－</item>
      </candidateList>
      <explain>文本全半角错误。</explain>
      <paraID>4B80B59B</paraID>
      <start>15</start>
      <end>16</end>
      <status>unmodified</status>
      <modifiedWord/>
      <trackRevisions>false</trackRevisions>
    </reviewItem>
    <reviewItem>
      <errorID>d803154b-fdc3-4c6a-b3fd-c1978c83bcad</errorID>
      <errorWord>-</errorWord>
      <group>L1_Format</group>
      <groupName>格式问题</groupName>
      <ability>L2_HalfPunc</ability>
      <abilityName>全半角检查</abilityName>
      <candidateList>
        <item>－</item>
      </candidateList>
      <explain>文本全半角错误。</explain>
      <paraID>4B80B59B</paraID>
      <start>16</start>
      <end>17</end>
      <status>unmodified</status>
      <modifiedWord/>
      <trackRevisions>false</trackRevisions>
    </reviewItem>
    <reviewItem>
      <errorID>f4f4b603-27a3-4700-b45c-d1b77927e463</errorID>
      <errorWord>-</errorWord>
      <group>L1_Format</group>
      <groupName>格式问题</groupName>
      <ability>L2_HalfPunc</ability>
      <abilityName>全半角检查</abilityName>
      <candidateList>
        <item>－</item>
      </candidateList>
      <explain>文本全半角错误。</explain>
      <paraID>4B80B59B</paraID>
      <start>42</start>
      <end>43</end>
      <status>unmodified</status>
      <modifiedWord/>
      <trackRevisions>false</trackRevisions>
    </reviewItem>
    <reviewItem>
      <errorID>c799d8f9-cb07-4cd2-a810-8b77170b7b72</errorID>
      <errorWord>-</errorWord>
      <group>L1_Format</group>
      <groupName>格式问题</groupName>
      <ability>L2_HalfPunc</ability>
      <abilityName>全半角检查</abilityName>
      <candidateList>
        <item>－</item>
      </candidateList>
      <explain>文本全半角错误。</explain>
      <paraID>4B80B59B</paraID>
      <start>43</start>
      <end>44</end>
      <status>unmodified</status>
      <modifiedWord/>
      <trackRevisions>false</trackRevisions>
    </reviewItem>
    <reviewItem>
      <errorID>30b8a0b2-e71e-4703-89bd-52bb5da3717a</errorID>
      <errorWord>“.</errorWord>
      <group>L1_Punc</group>
      <groupName>标点问题</groupName>
      <ability>L2_Punc</ability>
      <abilityName>标点符号检查</abilityName>
      <candidateList>
        <item>“</item>
      </candidateList>
      <explain/>
      <paraID>4B80B59B</paraID>
      <start>55</start>
      <end>57</end>
      <status>unmodified</status>
      <modifiedWord/>
      <trackRevisions>false</trackRevisions>
    </reviewItem>
    <reviewItem>
      <errorID>eab92bf2-be37-460d-9545-58c139cd2105</errorID>
      <errorWord>“.</errorWord>
      <group>L1_Punc</group>
      <groupName>标点问题</groupName>
      <ability>L2_Punc</ability>
      <abilityName>标点符号检查</abilityName>
      <candidateList>
        <item>“</item>
      </candidateList>
      <explain/>
      <paraID>4B80B59B</paraID>
      <start>70</start>
      <end>72</end>
      <status>unmodified</status>
      <modifiedWord/>
      <trackRevisions>false</trackRevisions>
    </reviewItem>
    <reviewItem>
      <errorID>0753461f-1ba7-46ce-a376-e9df3bcbea1d</errorID>
      <errorWord>-</errorWord>
      <group>L1_Format</group>
      <groupName>格式问题</groupName>
      <ability>L2_HalfPunc</ability>
      <abilityName>全半角检查</abilityName>
      <candidateList>
        <item>－</item>
      </candidateList>
      <explain>文本全半角错误。</explain>
      <paraID>4B80B59B</paraID>
      <start>93</start>
      <end>94</end>
      <status>unmodified</status>
      <modifiedWord/>
      <trackRevisions>false</trackRevisions>
    </reviewItem>
    <reviewItem>
      <errorID>63a67626-f096-4111-87fa-3bfa98e1dbd8</errorID>
      <errorWord>-</errorWord>
      <group>L1_Format</group>
      <groupName>格式问题</groupName>
      <ability>L2_HalfPunc</ability>
      <abilityName>全半角检查</abilityName>
      <candidateList>
        <item>－</item>
      </candidateList>
      <explain>文本全半角错误。</explain>
      <paraID>4B80B59B</paraID>
      <start>94</start>
      <end>95</end>
      <status>unmodified</status>
      <modifiedWord/>
      <trackRevisions>false</trackRevisions>
    </reviewItem>
    <reviewItem>
      <errorID>3ad0c455-b39b-4534-ad31-8d13153d4880</errorID>
      <errorWord>-</errorWord>
      <group>L1_Format</group>
      <groupName>格式问题</groupName>
      <ability>L2_HalfPunc</ability>
      <abilityName>全半角检查</abilityName>
      <candidateList>
        <item>－</item>
      </candidateList>
      <explain>文本全半角错误。</explain>
      <paraID>4B80B59B</paraID>
      <start>101</start>
      <end>102</end>
      <status>unmodified</status>
      <modifiedWord/>
      <trackRevisions>false</trackRevisions>
    </reviewItem>
    <reviewItem>
      <errorID>f9434ef7-b588-42df-a11f-90db973973f1</errorID>
      <errorWord>-</errorWord>
      <group>L1_Format</group>
      <groupName>格式问题</groupName>
      <ability>L2_HalfPunc</ability>
      <abilityName>全半角检查</abilityName>
      <candidateList>
        <item>－</item>
      </candidateList>
      <explain>文本全半角错误。</explain>
      <paraID>4B80B59B</paraID>
      <start>102</start>
      <end>103</end>
      <status>unmodified</status>
      <modifiedWord/>
      <trackRevisions>false</trackRevisions>
    </reviewItem>
    <reviewItem>
      <errorID>606cd210-05ce-46c1-b19d-1780dcd3a574</errorID>
      <errorWord>,</errorWord>
      <group>L1_Format</group>
      <groupName>格式问题</groupName>
      <ability>L2_HalfPunc</ability>
      <abilityName>全半角检查</abilityName>
      <candidateList>
        <item>，</item>
      </candidateList>
      <explain>文本全半角错误。</explain>
      <paraID>1BBA3098</paraID>
      <start>17</start>
      <end>18</end>
      <status>unmodified</status>
      <modifiedWord/>
      <trackRevisions>false</trackRevisions>
    </reviewItem>
    <reviewItem>
      <errorID>d47b52ea-4f1b-4199-bc22-6346c5fc859f</errorID>
      <errorWord>&lt;</errorWord>
      <group>L1_Format</group>
      <groupName>格式问题</groupName>
      <ability>L2_HalfPunc</ability>
      <abilityName>全半角检查</abilityName>
      <candidateList>
        <item>〈</item>
      </candidateList>
      <explain>文本全半角错误。</explain>
      <paraID>50E6FDF3</paraID>
      <start>49</start>
      <end>50</end>
      <status>unmodified</status>
      <modifiedWord/>
      <trackRevisions>false</trackRevisions>
    </reviewItem>
    <reviewItem>
      <errorID>1a6da15b-5f96-4b47-80b1-16e6d717735a</errorID>
      <errorWord>&lt;</errorWord>
      <group>L1_Format</group>
      <groupName>格式问题</groupName>
      <ability>L2_HalfPunc</ability>
      <abilityName>全半角检查</abilityName>
      <candidateList>
        <item>〈</item>
      </candidateList>
      <explain>文本全半角错误。</explain>
      <paraID>48A93F19</paraID>
      <start>49</start>
      <end>50</end>
      <status>unmodified</status>
      <modifiedWord/>
      <trackRevisions>false</trackRevisions>
    </reviewItem>
    <reviewItem>
      <errorID>b2240bcf-fc41-4d16-b3be-ee000eaccb5b</errorID>
      <errorWord>&lt;</errorWord>
      <group>L1_Format</group>
      <groupName>格式问题</groupName>
      <ability>L2_HalfPunc</ability>
      <abilityName>全半角检查</abilityName>
      <candidateList>
        <item>〈</item>
      </candidateList>
      <explain>文本全半角错误。</explain>
      <paraID>1FE68A89</paraID>
      <start>34</start>
      <end>35</end>
      <status>unmodified</status>
      <modifiedWord/>
      <trackRevisions>false</trackRevisions>
    </reviewItem>
    <reviewItem>
      <errorID>f0898fba-a4cb-4d9c-be96-4f4eb78cd5ee</errorID>
      <errorWord>(</errorWord>
      <group>L1_Format</group>
      <groupName>格式问题</groupName>
      <ability>L2_HalfPunc</ability>
      <abilityName>全半角检查</abilityName>
      <candidateList>
        <item>（</item>
      </candidateList>
      <explain>文本全半角错误。</explain>
      <paraID> 75F7B54</paraID>
      <start>11</start>
      <end>12</end>
      <status>unmodified</status>
      <modifiedWord/>
      <trackRevisions>false</trackRevisions>
    </reviewItem>
    <reviewItem>
      <errorID>7223ef73-e19e-4a71-a025-5d2d205e5311</errorID>
      <errorWord>)</errorWord>
      <group>L1_Format</group>
      <groupName>格式问题</groupName>
      <ability>L2_HalfPunc</ability>
      <abilityName>全半角检查</abilityName>
      <candidateList>
        <item>）</item>
      </candidateList>
      <explain>文本全半角错误。</explain>
      <paraID> 75F7B54</paraID>
      <start>14</start>
      <end>15</end>
      <status>unmodified</status>
      <modifiedWord/>
      <trackRevisions>false</trackRevisions>
    </reviewItem>
    <reviewItem>
      <errorID>f9bb76aa-9655-4ddc-97a6-4d6b7fa9ffff</errorID>
      <errorWord>，</errorWord>
      <group>L1_Word</group>
      <groupName>字词问题</groupName>
      <ability>L2_Typo</ability>
      <abilityName>字词错误</abilityName>
      <candidateList>
        <item>，并</item>
      </candidateList>
      <explain/>
      <paraID> 75F7B54</paraID>
      <start>60</start>
      <end>61</end>
      <status>unmodified</status>
      <modifiedWord/>
      <trackRevisions>false</trackRevisions>
    </reviewItem>
    <reviewItem>
      <errorID>72cfdafa-1092-4790-9469-ab9b99c13f03</errorID>
      <errorWord>-</errorWord>
      <group>L1_Format</group>
      <groupName>格式问题</groupName>
      <ability>L2_HalfPunc</ability>
      <abilityName>全半角检查</abilityName>
      <candidateList>
        <item>－</item>
      </candidateList>
      <explain>文本全半角错误。</explain>
      <paraID>5A9D3616</paraID>
      <start>23</start>
      <end>24</end>
      <status>unmodified</status>
      <modifiedWord/>
      <trackRevisions>false</trackRevisions>
    </reviewItem>
    <reviewItem>
      <errorID>77986be1-5f9f-4c73-bb65-5b126e2a7c74</errorID>
      <errorWord>-</errorWord>
      <group>L1_Format</group>
      <groupName>格式问题</groupName>
      <ability>L2_HalfPunc</ability>
      <abilityName>全半角检查</abilityName>
      <candidateList>
        <item>－</item>
      </candidateList>
      <explain>文本全半角错误。</explain>
      <paraID>5A9D3616</paraID>
      <start>43</start>
      <end>44</end>
      <status>unmodified</status>
      <modifiedWord/>
      <trackRevisions>false</trackRevisions>
    </reviewItem>
    <reviewItem>
      <errorID>668b41fc-436c-4482-bf95-fba7d3284e13</errorID>
      <errorWord>查看到</errorWord>
      <group>L1_Word</group>
      <groupName>字词问题</groupName>
      <ability>L2_Typo</ability>
      <abilityName>字词错误</abilityName>
      <candidateList>
        <item>查看</item>
      </candidateList>
      <explain>〈动〉检查、观察（事物的情况）：～灾情｜亲自到现场～。</explain>
      <paraID>5A9D3616</paraID>
      <start>69</start>
      <end>72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07A0EA-3F5A-40E2-B883-9662D154980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105</Pages>
  <Words>15394</Words>
  <Characters>16693</Characters>
  <TotalTime>33</TotalTime>
  <ScaleCrop>false</ScaleCrop>
  <LinksUpToDate>false</LinksUpToDate>
  <CharactersWithSpaces>16786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2026-05-25T06:11:00Z</dcterms:created>
  <dc:creator>User</dc:creator>
  <cp:lastModifiedBy>铁匠</cp:lastModifiedBy>
  <dcterms:modified xsi:type="dcterms:W3CDTF">2026-07-28T06:58:13Z</dcterms:modified>
  <dc:title>南通市Ⅹ项目</dc:title>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8D897BA2046B42FD8826B4556F197D2F_13</vt:lpwstr>
  </property>
  <property fmtid="{D5CDD505-2E9C-101B-9397-08002B2CF9AE}" pid="4" name="KSOTemplateDocerSaveRecord">
    <vt:lpwstr>eyJoZGlkIjoiZThjZjc2OGM3MmFkOTE0ZDYyOTRhZTlkN2Q1YWFhM2MiLCJ1c2VySWQiOiI2ODU3NjMzNzMifQ==</vt:lpwstr>
  </property>
</Properties>
</file>