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17F3A">
      <w:pPr>
        <w:spacing w:line="760" w:lineRule="exact"/>
        <w:jc w:val="center"/>
        <w:rPr>
          <w:rFonts w:hint="eastAsia" w:ascii="宋体" w:hAnsi="宋体" w:cs="宋体"/>
          <w:b/>
          <w:color w:val="auto"/>
          <w:spacing w:val="20"/>
          <w:sz w:val="48"/>
          <w:szCs w:val="48"/>
          <w:highlight w:val="none"/>
        </w:rPr>
      </w:pPr>
      <w:r>
        <w:rPr>
          <w:rFonts w:hint="eastAsia" w:ascii="宋体" w:hAnsi="宋体" w:cs="宋体"/>
          <w:b/>
          <w:color w:val="auto"/>
          <w:spacing w:val="20"/>
          <w:sz w:val="48"/>
          <w:szCs w:val="48"/>
          <w:highlight w:val="none"/>
        </w:rPr>
        <w:t>南通职业大学青年路校区田径场增设高杆灯采购项目</w:t>
      </w:r>
    </w:p>
    <w:p w14:paraId="32AA951C">
      <w:pPr>
        <w:rPr>
          <w:rFonts w:hint="eastAsia" w:ascii="宋体" w:hAnsi="宋体" w:cs="宋体"/>
          <w:bCs/>
          <w:color w:val="auto"/>
          <w:sz w:val="100"/>
          <w:szCs w:val="100"/>
          <w:highlight w:val="none"/>
        </w:rPr>
      </w:pPr>
    </w:p>
    <w:p w14:paraId="5527201F">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59083401">
      <w:pPr>
        <w:pStyle w:val="7"/>
        <w:spacing w:line="500" w:lineRule="exact"/>
        <w:rPr>
          <w:rFonts w:hint="eastAsia" w:ascii="宋体" w:hAnsi="宋体" w:cs="宋体"/>
          <w:b w:val="0"/>
          <w:bCs/>
          <w:color w:val="auto"/>
          <w:highlight w:val="none"/>
        </w:rPr>
      </w:pPr>
    </w:p>
    <w:p w14:paraId="2ABFF609">
      <w:pPr>
        <w:pStyle w:val="7"/>
        <w:spacing w:line="500" w:lineRule="exact"/>
        <w:rPr>
          <w:rFonts w:hint="eastAsia" w:ascii="宋体" w:hAnsi="宋体" w:cs="宋体"/>
          <w:b w:val="0"/>
          <w:bCs/>
          <w:color w:val="auto"/>
          <w:sz w:val="36"/>
          <w:szCs w:val="36"/>
          <w:highlight w:val="none"/>
        </w:rPr>
      </w:pPr>
      <w:r>
        <w:rPr>
          <w:rFonts w:hint="eastAsia" w:ascii="宋体" w:hAnsi="宋体" w:cs="宋体"/>
          <w:bCs/>
          <w:color w:val="auto"/>
          <w:sz w:val="36"/>
          <w:szCs w:val="36"/>
          <w:highlight w:val="none"/>
        </w:rPr>
        <w:t>招标文件编号：HW20250050</w:t>
      </w:r>
    </w:p>
    <w:p w14:paraId="214E91C9">
      <w:pPr>
        <w:spacing w:line="500" w:lineRule="exact"/>
        <w:ind w:firstLine="420"/>
        <w:jc w:val="center"/>
        <w:rPr>
          <w:rFonts w:hint="eastAsia" w:ascii="宋体" w:hAnsi="宋体" w:cs="宋体"/>
          <w:b/>
          <w:color w:val="auto"/>
          <w:sz w:val="36"/>
          <w:highlight w:val="none"/>
        </w:rPr>
      </w:pPr>
    </w:p>
    <w:p w14:paraId="5E3B8FAE">
      <w:pPr>
        <w:spacing w:line="500" w:lineRule="exact"/>
        <w:jc w:val="center"/>
        <w:rPr>
          <w:rFonts w:hint="eastAsia" w:ascii="宋体" w:hAnsi="宋体" w:cs="宋体"/>
          <w:b/>
          <w:color w:val="auto"/>
          <w:sz w:val="36"/>
          <w:highlight w:val="none"/>
        </w:rPr>
      </w:pPr>
    </w:p>
    <w:p w14:paraId="2E03E0E0">
      <w:pPr>
        <w:spacing w:line="500" w:lineRule="exact"/>
        <w:jc w:val="center"/>
        <w:rPr>
          <w:rFonts w:hint="eastAsia" w:ascii="宋体" w:hAnsi="宋体" w:cs="宋体"/>
          <w:b/>
          <w:color w:val="auto"/>
          <w:sz w:val="36"/>
          <w:highlight w:val="none"/>
        </w:rPr>
      </w:pPr>
    </w:p>
    <w:p w14:paraId="65D6C2F8">
      <w:pPr>
        <w:rPr>
          <w:rFonts w:hint="eastAsia" w:ascii="宋体" w:hAnsi="宋体" w:cs="宋体"/>
          <w:color w:val="auto"/>
          <w:sz w:val="32"/>
          <w:highlight w:val="none"/>
        </w:rPr>
      </w:pPr>
    </w:p>
    <w:p w14:paraId="7B029CE0">
      <w:pPr>
        <w:rPr>
          <w:rFonts w:hint="eastAsia" w:ascii="宋体" w:hAnsi="宋体" w:cs="宋体"/>
          <w:color w:val="auto"/>
          <w:sz w:val="32"/>
          <w:highlight w:val="none"/>
        </w:rPr>
      </w:pPr>
    </w:p>
    <w:p w14:paraId="2E493616">
      <w:pPr>
        <w:pStyle w:val="21"/>
        <w:rPr>
          <w:rFonts w:hint="eastAsia" w:cs="宋体"/>
          <w:color w:val="auto"/>
          <w:highlight w:val="none"/>
        </w:rPr>
      </w:pPr>
    </w:p>
    <w:p w14:paraId="49ACB572">
      <w:pPr>
        <w:pStyle w:val="73"/>
        <w:rPr>
          <w:rFonts w:hint="eastAsia" w:ascii="宋体" w:hAnsi="宋体" w:eastAsia="宋体" w:cs="宋体"/>
          <w:color w:val="auto"/>
          <w:sz w:val="32"/>
          <w:highlight w:val="none"/>
        </w:rPr>
      </w:pPr>
    </w:p>
    <w:p w14:paraId="01B9ACE3">
      <w:pPr>
        <w:pStyle w:val="73"/>
        <w:rPr>
          <w:rFonts w:hint="eastAsia" w:ascii="宋体" w:hAnsi="宋体" w:eastAsia="宋体" w:cs="宋体"/>
          <w:color w:val="auto"/>
          <w:sz w:val="32"/>
          <w:highlight w:val="none"/>
        </w:rPr>
      </w:pPr>
    </w:p>
    <w:p w14:paraId="4B2A251B">
      <w:pPr>
        <w:spacing w:line="500" w:lineRule="exact"/>
        <w:jc w:val="center"/>
        <w:rPr>
          <w:rFonts w:hint="eastAsia" w:ascii="宋体" w:hAnsi="宋体" w:cs="宋体"/>
          <w:color w:val="auto"/>
          <w:sz w:val="32"/>
          <w:highlight w:val="none"/>
        </w:rPr>
      </w:pPr>
    </w:p>
    <w:p w14:paraId="2ADE4FD5">
      <w:pPr>
        <w:spacing w:line="500" w:lineRule="exact"/>
        <w:jc w:val="center"/>
        <w:rPr>
          <w:rFonts w:hint="eastAsia" w:ascii="宋体" w:hAnsi="宋体" w:cs="宋体"/>
          <w:color w:val="auto"/>
          <w:sz w:val="32"/>
          <w:highlight w:val="none"/>
        </w:rPr>
      </w:pPr>
    </w:p>
    <w:p w14:paraId="2DA972C0">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58A3F775">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招标人：南通职业大学</w:t>
      </w:r>
    </w:p>
    <w:p w14:paraId="255916D3">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招标代理机构：江苏中润工程建设咨询有限公司</w:t>
      </w:r>
    </w:p>
    <w:p w14:paraId="65CD75E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2026年01月</w:t>
      </w:r>
    </w:p>
    <w:p w14:paraId="1630927C">
      <w:pPr>
        <w:adjustRightInd w:val="0"/>
        <w:snapToGrid w:val="0"/>
        <w:ind w:left="-158" w:leftChars="-75"/>
        <w:jc w:val="center"/>
        <w:rPr>
          <w:rFonts w:hint="eastAsia" w:ascii="宋体" w:hAnsi="宋体" w:cs="宋体"/>
          <w:b/>
          <w:bCs/>
          <w:color w:val="auto"/>
          <w:sz w:val="44"/>
          <w:szCs w:val="44"/>
          <w:highlight w:val="none"/>
        </w:rPr>
      </w:pPr>
    </w:p>
    <w:p w14:paraId="60704CAD">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 录</w:t>
      </w:r>
    </w:p>
    <w:p w14:paraId="4F3A7A70">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1178029E">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  投标邀请</w:t>
      </w:r>
    </w:p>
    <w:p w14:paraId="44091867">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  投标须知</w:t>
      </w:r>
    </w:p>
    <w:p w14:paraId="2BF9F951">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  项目需求</w:t>
      </w:r>
    </w:p>
    <w:p w14:paraId="2FDE605C">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开标和评标</w:t>
      </w:r>
    </w:p>
    <w:p w14:paraId="01236B4A">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  质疑与投诉</w:t>
      </w:r>
    </w:p>
    <w:p w14:paraId="46D79C6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  投标文件组成</w:t>
      </w:r>
    </w:p>
    <w:p w14:paraId="5897B678">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4F3FEE7D">
      <w:pPr>
        <w:spacing w:line="500" w:lineRule="exact"/>
        <w:rPr>
          <w:rFonts w:hint="eastAsia" w:ascii="宋体" w:hAnsi="宋体" w:cs="宋体"/>
          <w:b/>
          <w:color w:val="auto"/>
          <w:sz w:val="32"/>
          <w:szCs w:val="32"/>
          <w:highlight w:val="none"/>
        </w:rPr>
      </w:pPr>
    </w:p>
    <w:p w14:paraId="62AD0388">
      <w:pPr>
        <w:tabs>
          <w:tab w:val="left" w:pos="7740"/>
        </w:tabs>
        <w:spacing w:line="500" w:lineRule="exact"/>
        <w:rPr>
          <w:rFonts w:hint="eastAsia" w:ascii="宋体" w:hAnsi="宋体" w:cs="宋体"/>
          <w:b/>
          <w:color w:val="auto"/>
          <w:spacing w:val="2"/>
          <w:sz w:val="32"/>
          <w:szCs w:val="32"/>
          <w:highlight w:val="none"/>
        </w:rPr>
      </w:pPr>
    </w:p>
    <w:p w14:paraId="226D553F">
      <w:pPr>
        <w:tabs>
          <w:tab w:val="left" w:pos="7740"/>
        </w:tabs>
        <w:spacing w:line="500" w:lineRule="exact"/>
        <w:rPr>
          <w:rFonts w:hint="eastAsia" w:ascii="宋体" w:hAnsi="宋体" w:cs="宋体"/>
          <w:b/>
          <w:color w:val="auto"/>
          <w:spacing w:val="2"/>
          <w:sz w:val="32"/>
          <w:szCs w:val="32"/>
          <w:highlight w:val="none"/>
        </w:rPr>
      </w:pPr>
    </w:p>
    <w:p w14:paraId="576C0762">
      <w:pPr>
        <w:tabs>
          <w:tab w:val="left" w:pos="7740"/>
        </w:tabs>
        <w:spacing w:line="500" w:lineRule="exact"/>
        <w:rPr>
          <w:rFonts w:hint="eastAsia" w:ascii="宋体" w:hAnsi="宋体" w:cs="宋体"/>
          <w:b/>
          <w:bCs/>
          <w:color w:val="auto"/>
          <w:sz w:val="32"/>
          <w:szCs w:val="32"/>
          <w:highlight w:val="none"/>
        </w:rPr>
      </w:pPr>
    </w:p>
    <w:p w14:paraId="66642EF7">
      <w:pPr>
        <w:spacing w:line="500" w:lineRule="exact"/>
        <w:outlineLvl w:val="0"/>
        <w:rPr>
          <w:rFonts w:hint="eastAsia" w:ascii="宋体" w:hAnsi="宋体" w:cs="宋体"/>
          <w:b/>
          <w:color w:val="auto"/>
          <w:sz w:val="44"/>
          <w:szCs w:val="44"/>
          <w:highlight w:val="none"/>
        </w:rPr>
      </w:pPr>
    </w:p>
    <w:p w14:paraId="2C6A96F1">
      <w:pPr>
        <w:spacing w:line="500" w:lineRule="exact"/>
        <w:outlineLvl w:val="0"/>
        <w:rPr>
          <w:rFonts w:hint="eastAsia" w:ascii="宋体" w:hAnsi="宋体" w:cs="宋体"/>
          <w:color w:val="auto"/>
          <w:sz w:val="44"/>
          <w:szCs w:val="44"/>
          <w:highlight w:val="none"/>
        </w:rPr>
      </w:pPr>
    </w:p>
    <w:p w14:paraId="102D73E5">
      <w:pPr>
        <w:spacing w:line="500" w:lineRule="exact"/>
        <w:outlineLvl w:val="0"/>
        <w:rPr>
          <w:rFonts w:hint="eastAsia" w:ascii="宋体" w:hAnsi="宋体" w:cs="宋体"/>
          <w:color w:val="auto"/>
          <w:sz w:val="44"/>
          <w:szCs w:val="44"/>
          <w:highlight w:val="none"/>
        </w:rPr>
      </w:pPr>
    </w:p>
    <w:p w14:paraId="3AC3D196">
      <w:pPr>
        <w:spacing w:line="500" w:lineRule="exact"/>
        <w:outlineLvl w:val="0"/>
        <w:rPr>
          <w:rFonts w:hint="eastAsia" w:ascii="宋体" w:hAnsi="宋体" w:cs="宋体"/>
          <w:color w:val="auto"/>
          <w:sz w:val="44"/>
          <w:szCs w:val="44"/>
          <w:highlight w:val="none"/>
        </w:rPr>
      </w:pPr>
    </w:p>
    <w:p w14:paraId="054C4695">
      <w:pPr>
        <w:spacing w:line="500" w:lineRule="exact"/>
        <w:outlineLvl w:val="0"/>
        <w:rPr>
          <w:rFonts w:hint="eastAsia" w:ascii="宋体" w:hAnsi="宋体" w:cs="宋体"/>
          <w:color w:val="auto"/>
          <w:sz w:val="44"/>
          <w:szCs w:val="44"/>
          <w:highlight w:val="none"/>
        </w:rPr>
      </w:pPr>
    </w:p>
    <w:p w14:paraId="5A3C627F">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 xml:space="preserve">第一部分 </w:t>
      </w:r>
      <w:bookmarkStart w:id="0" w:name="OLE_LINK7"/>
      <w:bookmarkStart w:id="1" w:name="OLE_LINK5"/>
      <w:r>
        <w:rPr>
          <w:rFonts w:hint="eastAsia" w:ascii="宋体" w:hAnsi="宋体" w:cs="宋体"/>
          <w:b/>
          <w:color w:val="auto"/>
          <w:sz w:val="36"/>
          <w:szCs w:val="36"/>
          <w:highlight w:val="none"/>
        </w:rPr>
        <w:t>投标邀请</w:t>
      </w:r>
    </w:p>
    <w:p w14:paraId="599B8DF5">
      <w:pPr>
        <w:adjustRightInd w:val="0"/>
        <w:snapToGrid w:val="0"/>
        <w:spacing w:line="520" w:lineRule="exact"/>
        <w:jc w:val="center"/>
        <w:outlineLvl w:val="0"/>
        <w:rPr>
          <w:rFonts w:hint="eastAsia" w:ascii="宋体" w:hAnsi="宋体" w:cs="宋体"/>
          <w:b/>
          <w:color w:val="auto"/>
          <w:sz w:val="32"/>
          <w:szCs w:val="32"/>
          <w:highlight w:val="none"/>
        </w:rPr>
      </w:pPr>
    </w:p>
    <w:p w14:paraId="3FA1D874">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3EF9BBEC">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（南通职业大学青年路校区田径场增设高杆灯采购项目）的潜在投标人应在南通职业大学网站获取招标文件，并于2026年</w:t>
      </w:r>
      <w:r>
        <w:rPr>
          <w:rFonts w:hint="eastAsia" w:ascii="宋体" w:hAnsi="宋体" w:cs="宋体"/>
          <w:color w:val="auto"/>
          <w:sz w:val="28"/>
          <w:szCs w:val="28"/>
          <w:highlight w:val="none"/>
          <w:lang w:val="en-US" w:eastAsia="zh-CN"/>
        </w:rPr>
        <w:t>02</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12</w:t>
      </w:r>
      <w:r>
        <w:rPr>
          <w:rFonts w:hint="eastAsia" w:ascii="宋体" w:hAnsi="宋体" w:cs="宋体"/>
          <w:color w:val="auto"/>
          <w:sz w:val="28"/>
          <w:szCs w:val="28"/>
          <w:highlight w:val="none"/>
        </w:rPr>
        <w:t>日9点30分（北京时间）前递交投标文件。</w:t>
      </w:r>
    </w:p>
    <w:p w14:paraId="0DAB282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A30045B">
      <w:pPr>
        <w:adjustRightInd w:val="0"/>
        <w:snapToGrid w:val="0"/>
        <w:spacing w:line="520" w:lineRule="exact"/>
        <w:ind w:firstLine="560" w:firstLineChars="200"/>
        <w:rPr>
          <w:rFonts w:hint="eastAsia" w:ascii="宋体" w:hAnsi="宋体" w:cs="宋体"/>
          <w:color w:val="auto"/>
          <w:spacing w:val="7"/>
          <w:kern w:val="0"/>
          <w:sz w:val="28"/>
          <w:szCs w:val="22"/>
          <w:highlight w:val="none"/>
        </w:rPr>
      </w:pPr>
      <w:r>
        <w:rPr>
          <w:rFonts w:hint="eastAsia" w:ascii="宋体" w:hAnsi="宋体" w:cs="宋体"/>
          <w:color w:val="auto"/>
          <w:sz w:val="28"/>
          <w:szCs w:val="28"/>
          <w:highlight w:val="none"/>
        </w:rPr>
        <w:t>项目编号：HW20250050</w:t>
      </w:r>
    </w:p>
    <w:p w14:paraId="1F240D0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bookmarkStart w:id="112" w:name="_GoBack"/>
      <w:r>
        <w:rPr>
          <w:rFonts w:hint="eastAsia" w:ascii="宋体" w:hAnsi="宋体" w:cs="宋体"/>
          <w:color w:val="auto"/>
          <w:sz w:val="28"/>
          <w:szCs w:val="28"/>
          <w:highlight w:val="none"/>
        </w:rPr>
        <w:t>南通职业大学青年路校区田径场增设高杆灯采购项目</w:t>
      </w:r>
    </w:p>
    <w:bookmarkEnd w:id="112"/>
    <w:p w14:paraId="451368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预算金额：37.5万元</w:t>
      </w:r>
    </w:p>
    <w:p w14:paraId="14AB5C3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最高限价：37.5万元，投标报价超过最高限价按无效标处理。</w:t>
      </w:r>
    </w:p>
    <w:p w14:paraId="0CFCEFE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5E8CA0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合同履行期限：签订合同后40日历天内完成。</w:t>
      </w:r>
    </w:p>
    <w:p w14:paraId="53EC929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35C06E7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w:t>
      </w:r>
    </w:p>
    <w:p w14:paraId="3259B8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无；</w:t>
      </w:r>
    </w:p>
    <w:p w14:paraId="37114D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3.提供法定代表人身份证明书及法人身份证复印件盖公章；非法定代表人参加的，另须提供法定代表人签名或盖章的授权委托书及投标代表本人身份证复印件盖公章；</w:t>
      </w:r>
    </w:p>
    <w:p w14:paraId="2DC7D6D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4.建议投标人进行现场勘察，并提供现场勘察承诺书（</w:t>
      </w:r>
      <w:r>
        <w:rPr>
          <w:rFonts w:hint="eastAsia" w:ascii="宋体" w:hAnsi="宋体" w:cs="宋体"/>
          <w:color w:val="auto"/>
          <w:sz w:val="28"/>
          <w:szCs w:val="28"/>
          <w:highlight w:val="none"/>
          <w:lang w:eastAsia="zh-CN"/>
        </w:rPr>
        <w:t>格式见</w:t>
      </w:r>
      <w:r>
        <w:rPr>
          <w:rFonts w:hint="eastAsia" w:ascii="宋体" w:hAnsi="宋体" w:cs="宋体"/>
          <w:color w:val="auto"/>
          <w:sz w:val="28"/>
          <w:szCs w:val="28"/>
          <w:highlight w:val="none"/>
        </w:rPr>
        <w:t>附件4）；</w:t>
      </w:r>
    </w:p>
    <w:p w14:paraId="668A65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5.本项目不接受联合体投标。</w:t>
      </w:r>
    </w:p>
    <w:p w14:paraId="6661E69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注：在开标现场，将由招标人或招标代理通过“天眼查或企查查”查询投标单位之间是否存在法定关联性关系。若存在法定关联性关系将按无效投标处理。查询结果留存归档。</w:t>
      </w:r>
    </w:p>
    <w:p w14:paraId="54D7AFC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717E5FD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时间：2026年01月</w:t>
      </w:r>
      <w:r>
        <w:rPr>
          <w:rFonts w:hint="eastAsia" w:ascii="宋体" w:hAnsi="宋体" w:cs="宋体"/>
          <w:color w:val="auto"/>
          <w:sz w:val="28"/>
          <w:szCs w:val="28"/>
          <w:highlight w:val="none"/>
          <w:lang w:val="en-US" w:eastAsia="zh-CN"/>
        </w:rPr>
        <w:t>22</w:t>
      </w:r>
      <w:r>
        <w:rPr>
          <w:rFonts w:hint="eastAsia" w:ascii="宋体" w:hAnsi="宋体" w:cs="宋体"/>
          <w:color w:val="auto"/>
          <w:sz w:val="28"/>
          <w:szCs w:val="28"/>
          <w:highlight w:val="none"/>
        </w:rPr>
        <w:t>日至2026年</w:t>
      </w:r>
      <w:r>
        <w:rPr>
          <w:rFonts w:hint="eastAsia" w:ascii="宋体" w:hAnsi="宋体" w:cs="宋体"/>
          <w:color w:val="auto"/>
          <w:sz w:val="28"/>
          <w:szCs w:val="28"/>
          <w:highlight w:val="none"/>
          <w:lang w:val="en-US" w:eastAsia="zh-CN"/>
        </w:rPr>
        <w:t>02</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11</w:t>
      </w:r>
      <w:r>
        <w:rPr>
          <w:rFonts w:hint="eastAsia" w:ascii="宋体" w:hAnsi="宋体" w:cs="宋体"/>
          <w:color w:val="auto"/>
          <w:sz w:val="28"/>
          <w:szCs w:val="28"/>
          <w:highlight w:val="none"/>
        </w:rPr>
        <w:t>日</w:t>
      </w:r>
    </w:p>
    <w:p w14:paraId="182FCE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地点：南通职业大学网站</w:t>
      </w:r>
    </w:p>
    <w:p w14:paraId="7D0E968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33B22AC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551F53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2026年0</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12</w:t>
      </w:r>
      <w:r>
        <w:rPr>
          <w:rFonts w:hint="eastAsia" w:ascii="宋体" w:hAnsi="宋体" w:cs="宋体"/>
          <w:color w:val="auto"/>
          <w:sz w:val="28"/>
          <w:szCs w:val="28"/>
          <w:highlight w:val="none"/>
        </w:rPr>
        <w:t>日9点30分（北京时间）。逾时，招标人将拒绝接受投标响应文件。</w:t>
      </w:r>
    </w:p>
    <w:p w14:paraId="2DDDEA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357788C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45C8109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7305A5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505FF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521CAB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30E7B69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3.项目演示、样品：详见招标文件。</w:t>
      </w:r>
    </w:p>
    <w:p w14:paraId="4455104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4.对项目需求部分（投标人资格要求、项目需求、商务技术评分标准）的询问、质询请向招标人提出，由招标人负责答复；对项目招标文件其他部分的询问请向代理机构经办人提出。</w:t>
      </w:r>
    </w:p>
    <w:p w14:paraId="0E5E67E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56C6042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05994AB2">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1.招标人信息</w:t>
      </w:r>
    </w:p>
    <w:p w14:paraId="64D346EF">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28359097"/>
      <w:bookmarkStart w:id="4" w:name="_Toc35393807"/>
      <w:bookmarkStart w:id="5" w:name="_Toc35393638"/>
      <w:bookmarkStart w:id="6" w:name="_Toc28359020"/>
      <w:r>
        <w:rPr>
          <w:rFonts w:hint="eastAsia" w:ascii="宋体" w:hAnsi="宋体" w:cs="宋体"/>
          <w:color w:val="auto"/>
          <w:spacing w:val="7"/>
          <w:sz w:val="28"/>
          <w:szCs w:val="28"/>
          <w:highlight w:val="none"/>
        </w:rPr>
        <w:t>名称：南通职业大学</w:t>
      </w:r>
    </w:p>
    <w:p w14:paraId="185528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15FE882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联系人：徐老师 </w:t>
      </w:r>
    </w:p>
    <w:p w14:paraId="60B9B347">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联系方式：13962958530</w:t>
      </w:r>
    </w:p>
    <w:p w14:paraId="4F1FA1B4">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2.招标代理机构信息</w:t>
      </w:r>
      <w:bookmarkEnd w:id="3"/>
      <w:bookmarkEnd w:id="4"/>
      <w:bookmarkEnd w:id="5"/>
      <w:bookmarkEnd w:id="6"/>
    </w:p>
    <w:p w14:paraId="0B8B5A59">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7C15C7A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6A98F1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联系方式：肖俊菁0513-55887688 18106299008</w:t>
      </w:r>
    </w:p>
    <w:p w14:paraId="08733021">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  投标须知</w:t>
      </w:r>
    </w:p>
    <w:p w14:paraId="460A1EAE">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20823275"/>
      <w:bookmarkStart w:id="8" w:name="_Toc513029203"/>
      <w:bookmarkStart w:id="9" w:name="_Toc16938519"/>
      <w:bookmarkStart w:id="10" w:name="_Toc120614214"/>
      <w:r>
        <w:rPr>
          <w:rFonts w:hint="eastAsia" w:ascii="宋体" w:hAnsi="宋体" w:cs="宋体"/>
          <w:color w:val="auto"/>
          <w:sz w:val="28"/>
          <w:szCs w:val="28"/>
          <w:highlight w:val="none"/>
        </w:rPr>
        <w:t>一、总则</w:t>
      </w:r>
      <w:bookmarkEnd w:id="7"/>
      <w:bookmarkEnd w:id="8"/>
      <w:bookmarkEnd w:id="9"/>
      <w:bookmarkEnd w:id="10"/>
    </w:p>
    <w:p w14:paraId="0D47D800">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513029204"/>
      <w:bookmarkStart w:id="14" w:name="_Toc16938520"/>
      <w:bookmarkStart w:id="15" w:name="_Toc20823276"/>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招标人式</w:t>
      </w:r>
    </w:p>
    <w:p w14:paraId="183622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本次招标采取公开招标人式，本招标文件仅适用于招标公告中所述项目。</w:t>
      </w:r>
    </w:p>
    <w:p w14:paraId="6FE427D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513029205"/>
      <w:bookmarkStart w:id="17" w:name="_Toc16938521"/>
      <w:bookmarkStart w:id="18" w:name="_Toc20823277"/>
      <w:r>
        <w:rPr>
          <w:rFonts w:hint="eastAsia" w:ascii="宋体" w:hAnsi="宋体" w:eastAsia="宋体" w:cs="宋体"/>
          <w:color w:val="auto"/>
          <w:sz w:val="28"/>
          <w:szCs w:val="28"/>
          <w:highlight w:val="none"/>
        </w:rPr>
        <w:t>2.合格的投标人</w:t>
      </w:r>
      <w:bookmarkEnd w:id="16"/>
      <w:bookmarkEnd w:id="17"/>
      <w:bookmarkEnd w:id="18"/>
    </w:p>
    <w:p w14:paraId="1EDA30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33795DD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210E39B">
      <w:pPr>
        <w:pStyle w:val="5"/>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16938522"/>
      <w:bookmarkStart w:id="20" w:name="_Toc20823278"/>
      <w:bookmarkStart w:id="21" w:name="_Toc513029206"/>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6CF8927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1718B5C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2A0364FF">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462564067"/>
      <w:bookmarkStart w:id="23" w:name="_Toc16938523"/>
      <w:bookmarkStart w:id="24" w:name="_Toc513029207"/>
      <w:bookmarkStart w:id="25" w:name="_Toc20823279"/>
      <w:r>
        <w:rPr>
          <w:rFonts w:hint="eastAsia" w:ascii="宋体" w:hAnsi="宋体" w:eastAsia="宋体" w:cs="宋体"/>
          <w:color w:val="auto"/>
          <w:sz w:val="28"/>
          <w:szCs w:val="28"/>
          <w:highlight w:val="none"/>
        </w:rPr>
        <w:t>4.投标费用</w:t>
      </w:r>
      <w:bookmarkEnd w:id="22"/>
      <w:bookmarkEnd w:id="23"/>
      <w:bookmarkEnd w:id="24"/>
      <w:bookmarkEnd w:id="25"/>
    </w:p>
    <w:p w14:paraId="5F46573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供应商应自行承担所有与参与投标有关的费用，无论投标过程中的做法和结果如何，江苏中润工程建设咨询有限公司（以下简称招标代理机构）在任何情况下均无义务和责任承担这些费用（不含专家评审费）。</w:t>
      </w:r>
    </w:p>
    <w:p w14:paraId="288CA4E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4.2本项目工本费200元/份，于开标现场支付给采购代理机构，无论是否中标售后不退。</w:t>
      </w:r>
    </w:p>
    <w:p w14:paraId="369E4C04">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4.3本项目招标代理费收取标准以中标价(按成交单价乘以预估数量）为基准，乘以招标代理收费费率，由成交供应商支付，响应供应商</w:t>
      </w:r>
      <w:r>
        <w:rPr>
          <w:rFonts w:hint="eastAsia" w:ascii="宋体" w:hAnsi="宋体" w:cs="宋体"/>
          <w:color w:val="auto"/>
          <w:sz w:val="28"/>
          <w:szCs w:val="28"/>
          <w:highlight w:val="none"/>
          <w:lang w:val="zh-CN"/>
        </w:rPr>
        <w:t>综合考虑在报价内（不单列）。</w:t>
      </w:r>
    </w:p>
    <w:p w14:paraId="71D70E1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7D64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jc w:val="center"/>
        </w:trPr>
        <w:tc>
          <w:tcPr>
            <w:tcW w:w="4239" w:type="dxa"/>
            <w:vAlign w:val="center"/>
          </w:tcPr>
          <w:p w14:paraId="624483F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241" w:type="dxa"/>
            <w:vAlign w:val="center"/>
          </w:tcPr>
          <w:p w14:paraId="79884FA8">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招标代理收费费率（超额累进）</w:t>
            </w:r>
          </w:p>
        </w:tc>
      </w:tr>
      <w:tr w14:paraId="74BC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216E55F5">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241" w:type="dxa"/>
            <w:vAlign w:val="center"/>
          </w:tcPr>
          <w:p w14:paraId="20E4632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3881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0B7D54E7">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20万元（含）-50万元（不含）</w:t>
            </w:r>
          </w:p>
        </w:tc>
        <w:tc>
          <w:tcPr>
            <w:tcW w:w="4241" w:type="dxa"/>
            <w:vAlign w:val="center"/>
          </w:tcPr>
          <w:p w14:paraId="622ECD2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1.5%</w:t>
            </w:r>
          </w:p>
        </w:tc>
      </w:tr>
      <w:tr w14:paraId="1E6F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4D3F2A34">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50万元（含）-100万元（不含）</w:t>
            </w:r>
          </w:p>
        </w:tc>
        <w:tc>
          <w:tcPr>
            <w:tcW w:w="4241" w:type="dxa"/>
            <w:vAlign w:val="center"/>
          </w:tcPr>
          <w:p w14:paraId="0B42D84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1.4%</w:t>
            </w:r>
          </w:p>
        </w:tc>
      </w:tr>
      <w:tr w14:paraId="7A65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B22EFCD">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100万元（含）以上</w:t>
            </w:r>
          </w:p>
        </w:tc>
        <w:tc>
          <w:tcPr>
            <w:tcW w:w="4241" w:type="dxa"/>
            <w:vAlign w:val="center"/>
          </w:tcPr>
          <w:p w14:paraId="46565E1E">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1.1%</w:t>
            </w:r>
          </w:p>
        </w:tc>
      </w:tr>
    </w:tbl>
    <w:p w14:paraId="24BE732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3955A2C6">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255251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20BD2F0">
      <w:pPr>
        <w:pStyle w:val="5"/>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7AA82E6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招标文件需求部分（投标人资格要求、项目需求、商务技术评分标准）由招标人解释，其他部分由代理机构解释。</w:t>
      </w:r>
    </w:p>
    <w:p w14:paraId="210A2BB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16938525"/>
      <w:bookmarkStart w:id="28" w:name="_Toc20823281"/>
      <w:bookmarkStart w:id="29" w:name="_Toc513029209"/>
      <w:r>
        <w:rPr>
          <w:rFonts w:hint="eastAsia" w:ascii="宋体" w:hAnsi="宋体" w:cs="宋体"/>
          <w:color w:val="auto"/>
          <w:sz w:val="28"/>
          <w:szCs w:val="28"/>
          <w:highlight w:val="none"/>
        </w:rPr>
        <w:t>二、招标文件</w:t>
      </w:r>
      <w:bookmarkEnd w:id="26"/>
      <w:bookmarkEnd w:id="27"/>
      <w:bookmarkEnd w:id="28"/>
      <w:bookmarkEnd w:id="29"/>
    </w:p>
    <w:p w14:paraId="1E3C1221">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20823282"/>
      <w:bookmarkStart w:id="31" w:name="_Toc16938526"/>
      <w:bookmarkStart w:id="32" w:name="_Toc513029210"/>
      <w:r>
        <w:rPr>
          <w:rFonts w:hint="eastAsia" w:ascii="宋体" w:hAnsi="宋体" w:eastAsia="宋体" w:cs="宋体"/>
          <w:color w:val="auto"/>
          <w:sz w:val="28"/>
          <w:szCs w:val="28"/>
          <w:highlight w:val="none"/>
        </w:rPr>
        <w:t>1.招标文件构成</w:t>
      </w:r>
      <w:bookmarkEnd w:id="30"/>
      <w:bookmarkEnd w:id="31"/>
      <w:bookmarkEnd w:id="32"/>
    </w:p>
    <w:p w14:paraId="01903F2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招标文件由以下部分组成：</w:t>
      </w:r>
    </w:p>
    <w:p w14:paraId="15D27E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475A1F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6775A6C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278D00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674BD7C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63A1873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46CD43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4B9D2BD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7A7724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20823283"/>
      <w:bookmarkStart w:id="34" w:name="_Toc462564070"/>
      <w:bookmarkStart w:id="35" w:name="_Toc16938527"/>
      <w:bookmarkStart w:id="36" w:name="_Toc513029211"/>
      <w:r>
        <w:rPr>
          <w:rFonts w:hint="eastAsia" w:ascii="宋体" w:hAnsi="宋体" w:eastAsia="宋体" w:cs="宋体"/>
          <w:color w:val="auto"/>
          <w:sz w:val="28"/>
          <w:szCs w:val="28"/>
          <w:highlight w:val="none"/>
        </w:rPr>
        <w:t>2.招标文件的澄清</w:t>
      </w:r>
      <w:bookmarkEnd w:id="33"/>
      <w:bookmarkEnd w:id="34"/>
      <w:bookmarkEnd w:id="35"/>
      <w:bookmarkEnd w:id="36"/>
    </w:p>
    <w:p w14:paraId="1DD8F1B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p>
    <w:p w14:paraId="26BD58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48F0D6D0">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16938528"/>
      <w:bookmarkStart w:id="38" w:name="_Toc462564071"/>
      <w:bookmarkStart w:id="39" w:name="_Toc513029212"/>
      <w:bookmarkStart w:id="40" w:name="_Toc20823284"/>
      <w:r>
        <w:rPr>
          <w:rFonts w:hint="eastAsia" w:ascii="宋体" w:hAnsi="宋体" w:eastAsia="宋体" w:cs="宋体"/>
          <w:color w:val="auto"/>
          <w:sz w:val="28"/>
          <w:szCs w:val="28"/>
          <w:highlight w:val="none"/>
        </w:rPr>
        <w:t>3.招标文件的修改</w:t>
      </w:r>
      <w:bookmarkEnd w:id="37"/>
      <w:bookmarkEnd w:id="38"/>
      <w:bookmarkEnd w:id="39"/>
      <w:bookmarkEnd w:id="40"/>
    </w:p>
    <w:p w14:paraId="5A6DD1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在投标截止时间前，代理机构可以对招标文件进行修改。</w:t>
      </w:r>
    </w:p>
    <w:p w14:paraId="4215FF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代理机构有权按照法定的要求推迟投标截止日期和开标日期。</w:t>
      </w:r>
    </w:p>
    <w:p w14:paraId="60EE6E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招标文件的修改将在南通职业大学网站公布，补充文件将作为招标文件的组成部分，并对投标人具有约束力。</w:t>
      </w:r>
    </w:p>
    <w:p w14:paraId="361BAB8B">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120614216"/>
      <w:bookmarkStart w:id="42" w:name="_Toc513029213"/>
      <w:bookmarkStart w:id="43" w:name="_Toc16938529"/>
      <w:bookmarkStart w:id="44" w:name="_Toc462564072"/>
      <w:bookmarkStart w:id="45" w:name="_Toc20823285"/>
      <w:r>
        <w:rPr>
          <w:rFonts w:hint="eastAsia" w:ascii="宋体" w:hAnsi="宋体" w:cs="宋体"/>
          <w:color w:val="auto"/>
          <w:sz w:val="28"/>
          <w:szCs w:val="28"/>
          <w:highlight w:val="none"/>
        </w:rPr>
        <w:t>三、投标文件的编制</w:t>
      </w:r>
      <w:bookmarkEnd w:id="41"/>
      <w:bookmarkEnd w:id="42"/>
      <w:bookmarkEnd w:id="43"/>
      <w:bookmarkEnd w:id="44"/>
      <w:bookmarkEnd w:id="45"/>
    </w:p>
    <w:p w14:paraId="5E90CDA2">
      <w:pPr>
        <w:pStyle w:val="5"/>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16938530"/>
      <w:bookmarkStart w:id="47" w:name="_Toc20823286"/>
      <w:bookmarkStart w:id="48" w:name="_Toc462564073"/>
      <w:bookmarkStart w:id="49" w:name="_Toc513029214"/>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742DAD6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761EA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除技术性能另有规定外，投标文件所使用的度量衡单位，均须采用国家法定计量单位。</w:t>
      </w:r>
    </w:p>
    <w:p w14:paraId="227FAF2B">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20823287"/>
      <w:bookmarkStart w:id="51" w:name="_Toc513029215"/>
      <w:bookmarkStart w:id="52" w:name="_Toc16938531"/>
      <w:bookmarkStart w:id="53" w:name="_Toc462564074"/>
      <w:r>
        <w:rPr>
          <w:rFonts w:hint="eastAsia" w:ascii="宋体" w:hAnsi="宋体" w:eastAsia="宋体" w:cs="宋体"/>
          <w:color w:val="auto"/>
          <w:sz w:val="28"/>
          <w:szCs w:val="28"/>
          <w:highlight w:val="none"/>
        </w:rPr>
        <w:t>2.投标文件构成</w:t>
      </w:r>
      <w:bookmarkEnd w:id="50"/>
      <w:bookmarkEnd w:id="51"/>
      <w:bookmarkEnd w:id="52"/>
      <w:bookmarkEnd w:id="53"/>
    </w:p>
    <w:p w14:paraId="176FC9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投标人编写的投标文件应包括资格审查文件、商务技术文件、价格文件、电子响应文件。投标人按“第五部分 投标文件组成”要求编写投标文件</w:t>
      </w:r>
    </w:p>
    <w:p w14:paraId="3688AB24">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70360"/>
      <w:bookmarkEnd w:id="54"/>
      <w:bookmarkStart w:id="55" w:name="_Hlt26954838"/>
      <w:bookmarkEnd w:id="55"/>
      <w:bookmarkStart w:id="56" w:name="_Hlt26668975"/>
      <w:bookmarkEnd w:id="56"/>
      <w:bookmarkStart w:id="57" w:name="_Toc49090511"/>
      <w:bookmarkStart w:id="58" w:name="_Toc14577360"/>
      <w:r>
        <w:rPr>
          <w:rFonts w:hint="eastAsia" w:ascii="宋体" w:hAnsi="宋体" w:eastAsia="宋体" w:cs="宋体"/>
          <w:color w:val="auto"/>
          <w:sz w:val="28"/>
          <w:szCs w:val="28"/>
          <w:highlight w:val="none"/>
        </w:rPr>
        <w:t>3.投标有效期</w:t>
      </w:r>
      <w:bookmarkEnd w:id="57"/>
      <w:bookmarkEnd w:id="58"/>
    </w:p>
    <w:p w14:paraId="341A467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6F0E1A85">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0B1C519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587399B9">
      <w:pPr>
        <w:pStyle w:val="5"/>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5DD36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726FADD8">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739"/>
      <w:bookmarkEnd w:id="59"/>
      <w:bookmarkStart w:id="60" w:name="_Hlt26954852"/>
      <w:bookmarkEnd w:id="60"/>
      <w:bookmarkStart w:id="61" w:name="_Toc120614217"/>
      <w:bookmarkStart w:id="62" w:name="_Toc513029224"/>
      <w:bookmarkStart w:id="63" w:name="_Toc20823296"/>
      <w:bookmarkStart w:id="64" w:name="_Toc16938540"/>
      <w:r>
        <w:rPr>
          <w:rFonts w:hint="eastAsia" w:ascii="宋体" w:hAnsi="宋体" w:cs="宋体"/>
          <w:color w:val="auto"/>
          <w:sz w:val="28"/>
          <w:szCs w:val="28"/>
          <w:highlight w:val="none"/>
        </w:rPr>
        <w:t>四、投标文件的递交</w:t>
      </w:r>
      <w:bookmarkEnd w:id="61"/>
      <w:bookmarkEnd w:id="62"/>
      <w:bookmarkEnd w:id="63"/>
      <w:bookmarkEnd w:id="64"/>
    </w:p>
    <w:p w14:paraId="416D33DA">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16938542"/>
      <w:bookmarkStart w:id="66" w:name="_Toc20823298"/>
      <w:bookmarkStart w:id="67" w:name="_Toc513029226"/>
      <w:r>
        <w:rPr>
          <w:rFonts w:hint="eastAsia" w:ascii="宋体" w:hAnsi="宋体" w:cs="宋体"/>
          <w:color w:val="auto"/>
          <w:kern w:val="0"/>
          <w:sz w:val="28"/>
          <w:szCs w:val="28"/>
          <w:highlight w:val="none"/>
        </w:rPr>
        <w:t>1.投标文件的组成</w:t>
      </w:r>
    </w:p>
    <w:p w14:paraId="156AF9C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贰份副本”纸质响应文件，须分别单独牢固装订，不得相互混淆，文件自编目录并连续标注页码，不得将内容拆开。价格文件不得出现于资格审查文件和商务技术文件中。</w:t>
      </w:r>
    </w:p>
    <w:p w14:paraId="43FC267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1.2纸质响应文件分三个密封袋（箱）提交。其中：</w:t>
      </w:r>
    </w:p>
    <w:p w14:paraId="3B5DB7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资格审查文件的正、副本纸质响应文件密封在一个单独的密封袋内；</w:t>
      </w:r>
    </w:p>
    <w:p w14:paraId="155A0E4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商务技术文件的正、副本纸质响应文件及图纸类（如需提供图纸等其他资料的话）等密封在一个单独的密封袋或密封箱内（如有A3大小的图纸类，可单独密封）；</w:t>
      </w:r>
    </w:p>
    <w:p w14:paraId="3AE37B0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价格文件的正、副本纸质响应文件密封在一个单独的密封袋内。</w:t>
      </w:r>
    </w:p>
    <w:p w14:paraId="43F2F02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1.3纸质投标文件须采用A4纸（图纸等除外），正、副本须打印并由法定代表人或授权人签字并加盖单位印章。文件内容中不得行间插字、涂改、增删，如修补错漏处，须由投标文件签署人签字并加盖公章。</w:t>
      </w:r>
    </w:p>
    <w:p w14:paraId="59F45F7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0EFE1FE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响应文件一份，电子响应文件的内容为资格审查文件、商务技术文件、价格文件打印盖章（或电子签章）后的响应文件的扫描件（资格审查文件、商务技术文件、价格文件需分别逐页连续扫描为三个独立的PDF文件），可以采取U盘、电子光盘两种方式中任意一种方式提交，需单独密封提交。</w:t>
      </w:r>
    </w:p>
    <w:p w14:paraId="461AE76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电子响应文件内容应与提交的纸质响应文件内容一致。否则，由此产生的后果投标人自负。</w:t>
      </w:r>
    </w:p>
    <w:p w14:paraId="112CA91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1.5响应文件密封后应标明响应文件项目名称、项目编号、边缝处加盖单位骑缝章或骑缝签字等关键信息，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795EF00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1.6递交时间：投标人须在规定的响应文件接收截止时间前送达指定地点。投标人提交投标文件，即视为已响应参加本次采购活动。</w:t>
      </w:r>
    </w:p>
    <w:p w14:paraId="4A2B2A3D">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未按照招标文件要求密封的响应文件，拒绝接收在响应文件接收截止时间后递交的响应文件。②采购人、采购代理机构对投标（响应）文件的格式、形式要求，结合财政部《关于促进政府采购公平竞争优化营商环境的通知》（财库〔2019〕38 号）相关规定实施。</w:t>
      </w:r>
    </w:p>
    <w:p w14:paraId="75003D00">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253116D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 投标人提交响应文件的时间不得迟于招标公告中规定的响应文件提交截止时间。</w:t>
      </w:r>
    </w:p>
    <w:p w14:paraId="674641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投标人应充分考虑到交通路况、停车、疫情管控等风险因素，如因投标人自身原因造成的投标响应文件提交不成功由投标人自行承担全部责任。</w:t>
      </w:r>
    </w:p>
    <w:p w14:paraId="0D47B33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12B3BBB9">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513029227"/>
      <w:bookmarkStart w:id="69" w:name="_Toc16938543"/>
      <w:bookmarkStart w:id="70" w:name="_Toc20823299"/>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1435612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 代理机构拒绝接收在其规定的投标截止时间后提交的任何投标文件。</w:t>
      </w:r>
    </w:p>
    <w:p w14:paraId="5EDCF0CE">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16938544"/>
      <w:bookmarkStart w:id="72" w:name="_Toc20823300"/>
      <w:bookmarkStart w:id="73" w:name="_Toc513029228"/>
      <w:r>
        <w:rPr>
          <w:rFonts w:hint="eastAsia" w:ascii="宋体" w:hAnsi="宋体" w:eastAsia="宋体" w:cs="宋体"/>
          <w:color w:val="auto"/>
          <w:sz w:val="28"/>
          <w:szCs w:val="28"/>
          <w:highlight w:val="none"/>
        </w:rPr>
        <w:t>4.投标文件的撤回和修改</w:t>
      </w:r>
      <w:bookmarkEnd w:id="71"/>
      <w:bookmarkEnd w:id="72"/>
      <w:bookmarkEnd w:id="73"/>
    </w:p>
    <w:p w14:paraId="5D0EEE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20D89CD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可在响应文件提交截止时间前，书面撤回其投标响应文件。</w:t>
      </w:r>
    </w:p>
    <w:p w14:paraId="3104FB8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 投标人撤回投标文件，则认为其不再参与本项目投标活动。</w:t>
      </w:r>
    </w:p>
    <w:p w14:paraId="27316E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 投标文件的修改</w:t>
      </w:r>
    </w:p>
    <w:p w14:paraId="2E5CF79D">
      <w:pPr>
        <w:pStyle w:val="4"/>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513029229"/>
      <w:bookmarkStart w:id="75" w:name="_Toc16938545"/>
      <w:bookmarkStart w:id="76" w:name="_Toc120614218"/>
      <w:bookmarkStart w:id="77" w:name="_Toc20823301"/>
      <w:r>
        <w:rPr>
          <w:rFonts w:hint="eastAsia" w:ascii="宋体" w:hAnsi="宋体" w:cs="宋体"/>
          <w:b w:val="0"/>
          <w:bCs w:val="0"/>
          <w:color w:val="auto"/>
          <w:sz w:val="28"/>
          <w:szCs w:val="28"/>
          <w:highlight w:val="none"/>
        </w:rPr>
        <w:t>在响应文件提交截止时间之后，投标人不得再对其提交的响应文件进行修改。</w:t>
      </w:r>
    </w:p>
    <w:p w14:paraId="3F940326">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2C499CBA">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20823302"/>
      <w:bookmarkStart w:id="79" w:name="_Toc16938546"/>
      <w:bookmarkStart w:id="80" w:name="_Toc513029230"/>
      <w:r>
        <w:rPr>
          <w:rFonts w:hint="eastAsia" w:ascii="宋体" w:hAnsi="宋体" w:eastAsia="宋体" w:cs="宋体"/>
          <w:color w:val="auto"/>
          <w:sz w:val="28"/>
          <w:szCs w:val="28"/>
          <w:highlight w:val="none"/>
        </w:rPr>
        <w:t>1.开标</w:t>
      </w:r>
      <w:bookmarkEnd w:id="78"/>
      <w:bookmarkEnd w:id="79"/>
      <w:bookmarkEnd w:id="80"/>
    </w:p>
    <w:p w14:paraId="1F0E4FD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 代理机构将在招标公告中规定的时间和地点组织公开开标。投标人应当按时在指定地点参加开标活动。</w:t>
      </w:r>
    </w:p>
    <w:p w14:paraId="031964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002090CF">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16938547"/>
      <w:bookmarkStart w:id="82" w:name="_Toc20823303"/>
      <w:bookmarkStart w:id="83" w:name="_Toc513029231"/>
      <w:r>
        <w:rPr>
          <w:rFonts w:hint="eastAsia" w:ascii="宋体" w:hAnsi="宋体" w:eastAsia="宋体" w:cs="宋体"/>
          <w:color w:val="auto"/>
          <w:sz w:val="28"/>
          <w:szCs w:val="28"/>
          <w:highlight w:val="none"/>
        </w:rPr>
        <w:t>2评标委员会</w:t>
      </w:r>
    </w:p>
    <w:p w14:paraId="7C600441">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0A9025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评委会由招标人代表和有关技术、经济等方面的专家组成，且人员构成符合采购有关规定。</w:t>
      </w:r>
    </w:p>
    <w:p w14:paraId="56EDEF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01196D9A">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478E6A0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公开开标后，直至向中标的投标人授予合同时止，凡是与审查、澄清、评价和比较投标的有关资料以及授标建议等，招标人、评委、代理机构均不得向投标人或与评标无关的其他人员透露。</w:t>
      </w:r>
    </w:p>
    <w:p w14:paraId="3D85D0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5196FB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282D63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 代理机构和评标委员会不向未中标的投标人解释未中标原因，也不公布评标过程中的相关细节。</w:t>
      </w:r>
    </w:p>
    <w:p w14:paraId="705D735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3.5 采用综合评分法的项目，公布评标结果时一并公布所有投标人的评审得分及排序情况。</w:t>
      </w:r>
    </w:p>
    <w:p w14:paraId="4C1FEC09">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513029232"/>
      <w:bookmarkStart w:id="85" w:name="_Toc16938548"/>
      <w:bookmarkStart w:id="86" w:name="_Toc20823304"/>
      <w:r>
        <w:rPr>
          <w:rFonts w:hint="eastAsia" w:ascii="宋体" w:hAnsi="宋体" w:eastAsia="宋体" w:cs="宋体"/>
          <w:color w:val="auto"/>
          <w:sz w:val="28"/>
          <w:szCs w:val="28"/>
          <w:highlight w:val="none"/>
        </w:rPr>
        <w:t>4.投标的澄清</w:t>
      </w:r>
      <w:bookmarkEnd w:id="84"/>
      <w:bookmarkEnd w:id="85"/>
      <w:bookmarkEnd w:id="86"/>
    </w:p>
    <w:p w14:paraId="7FAEFE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7756BCF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559CB0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 接到评委会澄清要求的投标人如未按规定作出澄清，其风险由投标人自行承担。</w:t>
      </w:r>
    </w:p>
    <w:p w14:paraId="771E2F83">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16938549"/>
      <w:bookmarkStart w:id="88" w:name="_Toc513029233"/>
      <w:bookmarkStart w:id="89" w:name="_Toc20823305"/>
      <w:r>
        <w:rPr>
          <w:rFonts w:hint="eastAsia" w:ascii="宋体" w:hAnsi="宋体" w:eastAsia="宋体" w:cs="宋体"/>
          <w:color w:val="auto"/>
          <w:sz w:val="28"/>
          <w:szCs w:val="28"/>
          <w:highlight w:val="none"/>
        </w:rPr>
        <w:t>5对投标文件的初审</w:t>
      </w:r>
      <w:bookmarkEnd w:id="87"/>
      <w:bookmarkEnd w:id="88"/>
      <w:bookmarkEnd w:id="89"/>
    </w:p>
    <w:p w14:paraId="5C11BE0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2FB331A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资格审查：依据法律法规和招标文件的规定，由招标人对投标文件中的资格证明文件进行审查。</w:t>
      </w:r>
    </w:p>
    <w:p w14:paraId="0884FF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 符合性审查：依据招标文件的规定，由评委会从投标文件的有效性、完整性和对招标文件的响应程度进行审查，以确定是否对招标文件的实质性要求作出响应。</w:t>
      </w:r>
    </w:p>
    <w:p w14:paraId="714CB84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 未通过资格审查或符合性审查的投标人，代理机构将告知未通过资格审查或符合性审查的原因。</w:t>
      </w:r>
    </w:p>
    <w:p w14:paraId="2746B03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5DE33D2B">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5.2.1.根据省财政厅《关于推动解决政府采购异常低价问题相关工作的通知》（苏财购〔2025〕62号）要求，评审过程中出现下列情形之一的，评审委员会应当启动异常低价投标（响应）审查程序：</w:t>
      </w:r>
    </w:p>
    <w:p w14:paraId="71AE78E1">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（1）投标(响应)报价低于采购项目预算50%的，即投标(响应)报价&lt;采购项目预算×50%;</w:t>
      </w:r>
    </w:p>
    <w:p w14:paraId="4D603CE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（2）投标(响应)报价低于采购项目最高限价45%的，即投标(响应)报价&lt;采购项目最高限价×45%;</w:t>
      </w:r>
    </w:p>
    <w:p w14:paraId="000D8327">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（3）评审委员会认定的供应商报价过低、有可能影响产品质量或者不能诚信履约的其他情形。</w:t>
      </w:r>
    </w:p>
    <w:p w14:paraId="216D0DBE">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5.2.2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FB4E9B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0A76379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743E90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如果投标文件实质上没有响应招标文件的要求，评委会将予以拒绝，投标人不得通过修改或撤销不合要求的偏离或保留而使其投标成为实质性响应的投标。</w:t>
      </w:r>
    </w:p>
    <w:p w14:paraId="1F428A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56CA4DE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2A1BEC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0C3FDF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960911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58ABFD5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592303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2F56438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1B68E996">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16938550"/>
      <w:bookmarkStart w:id="91" w:name="_Toc513029234"/>
      <w:bookmarkStart w:id="92" w:name="_Toc20823306"/>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22D5CFAC">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7F8CCB74">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513029235"/>
      <w:bookmarkStart w:id="94" w:name="_Toc20823307"/>
      <w:bookmarkStart w:id="95" w:name="_Toc16938551"/>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576616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0276519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10252EC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7D814E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6.1.4不具备招标文件中规定的资格要求的。 </w:t>
      </w:r>
    </w:p>
    <w:p w14:paraId="64B182D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08F69AE1">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77A052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5C89CB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D4331C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6.1.9响应文件含有招标人不能接受的附加条件的。</w:t>
      </w:r>
    </w:p>
    <w:p w14:paraId="05D9188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748FA5B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45D5958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6.1.12响应文件未按照招标文件要求盖章、密封的。</w:t>
      </w:r>
    </w:p>
    <w:p w14:paraId="2DD553E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6.1.13投标人的商务技术部分得分相差悬殊，评标委员会认为得分畸低者没有实质性响应的（投标人商务技术标得分低于招标文件商务技术总分的50%的。）。</w:t>
      </w:r>
    </w:p>
    <w:p w14:paraId="6C0076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6.1.14未提供产品演示的。</w:t>
      </w:r>
    </w:p>
    <w:p w14:paraId="68DB2F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6.1.15 启动异常低价响应审查后，供应商不提供书面说明、证明材料，或者提供的书面说明、证明材料不能证明其报价合理性的。</w:t>
      </w:r>
    </w:p>
    <w:p w14:paraId="3BA9F58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6.1.16 其他法律法规及本招标文件规定的属无效响应的情形。</w:t>
      </w:r>
    </w:p>
    <w:p w14:paraId="023DC93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175BFB4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6.2.1符合专业条件的投标人或者对招标文件作实质响应的投标人不足三家的。</w:t>
      </w:r>
    </w:p>
    <w:p w14:paraId="3EC469A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1017053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5E30C48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6.2.4评标委员会认定招标文件存在歧义、重大缺陷导致评审工作无法进行。</w:t>
      </w:r>
    </w:p>
    <w:p w14:paraId="0FEF96C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因系统故障原因造成开评标无法继续进行的（适用于不见面开标模式）。</w:t>
      </w:r>
    </w:p>
    <w:p w14:paraId="75782B2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 投标截止时间结束后参加投标的投标人不足三家的处理：</w:t>
      </w:r>
    </w:p>
    <w:p w14:paraId="1E1D6A3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6.3.1如出现投标截止时间结束后参加投标的投标人或者在评标期间对招标文件做出实质响应的投标人不足三家情况，按招标人采购相关规定执行。</w:t>
      </w:r>
    </w:p>
    <w:bookmarkEnd w:id="93"/>
    <w:bookmarkEnd w:id="94"/>
    <w:bookmarkEnd w:id="95"/>
    <w:p w14:paraId="6980860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02A3011B">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20823310"/>
      <w:bookmarkStart w:id="98" w:name="_Toc16938554"/>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426E299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173F972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7D975EB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代理机构将在“南通职业大学网站”发布中标公告，公告期限为1个工作日。</w:t>
      </w:r>
    </w:p>
    <w:p w14:paraId="331A0D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0981817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85154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1.4.2向招标人、代理机构行贿或者提供其他不正当利益的。</w:t>
      </w:r>
    </w:p>
    <w:p w14:paraId="7312670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407CF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5AA435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1.4.5与招标人或者其他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689D0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6BBB3ABD">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08C952A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E74C3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507863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359FBAA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4BC823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58051F56">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57900C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4C3482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认为招标文件、采购过程和采购结果使自己的权益受到损害的，可以在知道或应知其权益受到损害之日起七个工作日内，以书面形式向代理机构或招标人提出质询。上述应知其权益受到损害之日，是指：</w:t>
      </w:r>
    </w:p>
    <w:p w14:paraId="15748A8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32F3B510">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4A75F3FD">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2A1E0E3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5E13737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2B41C49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151FDAAE">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招标人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021508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7BF0EE7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64F89C1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招标人质询接收人及联系方式，见招标文件第一部分。</w:t>
      </w:r>
    </w:p>
    <w:p w14:paraId="3089789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以下情形的质询不予受理</w:t>
      </w:r>
    </w:p>
    <w:p w14:paraId="24E54A2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内容不符合上述规定的质询。</w:t>
      </w:r>
    </w:p>
    <w:p w14:paraId="0B5B4EB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 超出采购法定期限的质询。</w:t>
      </w:r>
    </w:p>
    <w:p w14:paraId="48E820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未参加招标活动的投标人或在招标活动中自身权益未受到损害的投标人所提出的质询。</w:t>
      </w:r>
    </w:p>
    <w:p w14:paraId="0C2503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询必须有理、有据，不得捏造事实、提供虚假材料进行恶意质询。否则，一经查实，招标代理机构有权依据招标的有关规定，报请采购监管部门对该投标人进行相应的行政处罚和记录该投标人的失信信息。</w:t>
      </w:r>
    </w:p>
    <w:p w14:paraId="031668F0">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0DC46D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3.l中标结果确定后，招标人将向中标人发出中标通知书。中标人应在成交结果公告期满后5个工作日内到采购代理机构办理领取成交通知书手续，否则，由此产生的后果投标人自负。</w:t>
      </w:r>
    </w:p>
    <w:p w14:paraId="43B7BDB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7AF5B45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20823308"/>
      <w:bookmarkStart w:id="102" w:name="_Toc16938552"/>
      <w:bookmarkStart w:id="103" w:name="_Toc513029236"/>
      <w:r>
        <w:rPr>
          <w:rFonts w:hint="eastAsia" w:ascii="宋体" w:hAnsi="宋体" w:cs="宋体"/>
          <w:color w:val="auto"/>
          <w:sz w:val="28"/>
          <w:szCs w:val="28"/>
          <w:highlight w:val="none"/>
        </w:rPr>
        <w:t>七、授予合同</w:t>
      </w:r>
      <w:bookmarkEnd w:id="100"/>
    </w:p>
    <w:bookmarkEnd w:id="101"/>
    <w:bookmarkEnd w:id="102"/>
    <w:bookmarkEnd w:id="103"/>
    <w:p w14:paraId="3F14B43E">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16938553"/>
      <w:bookmarkStart w:id="105" w:name="_Toc513029237"/>
      <w:bookmarkStart w:id="106" w:name="_Toc20823309"/>
      <w:r>
        <w:rPr>
          <w:rFonts w:hint="eastAsia" w:ascii="宋体" w:hAnsi="宋体" w:eastAsia="宋体" w:cs="宋体"/>
          <w:color w:val="auto"/>
          <w:sz w:val="28"/>
          <w:szCs w:val="28"/>
          <w:highlight w:val="none"/>
        </w:rPr>
        <w:t>1.签订合同</w:t>
      </w:r>
    </w:p>
    <w:p w14:paraId="185376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.l中标人应当在中标通知书发出之日起三十个工作日内，按照招标文件确定的事项与招标人签订采购合同。</w:t>
      </w:r>
    </w:p>
    <w:p w14:paraId="54F1487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4777012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招标人同意，中标人也不得采用分包的形式履行合同，否则招标人有权终止合同。采购合同分包履行的，中标、中标人就采购项目和分包项目向招标人负责，分包投标人就分包项目承担责任。转包或分包造成招标人损失的，中标人应承担相应赔偿责任。</w:t>
      </w:r>
    </w:p>
    <w:p w14:paraId="3B735CC1">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53BA251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2.1采购合同履行中，招标人需追加与合同标的相同的服务的，在不改变合同其他条款的前提下，可以与中标人协商签订补充合同，但所有补充合同的采购金额不超过原合同金额的10%。</w:t>
      </w:r>
    </w:p>
    <w:p w14:paraId="272CC58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7BA3C441">
      <w:pPr>
        <w:adjustRightInd w:val="0"/>
        <w:snapToGrid w:val="0"/>
        <w:spacing w:line="420" w:lineRule="exact"/>
        <w:ind w:firstLine="560" w:firstLineChars="200"/>
        <w:rPr>
          <w:rFonts w:hint="eastAsia" w:ascii="宋体" w:hAnsi="宋体" w:cs="宋体"/>
          <w:color w:val="auto"/>
          <w:sz w:val="28"/>
          <w:szCs w:val="28"/>
          <w:highlight w:val="none"/>
        </w:rPr>
      </w:pPr>
    </w:p>
    <w:p w14:paraId="54ACF27D">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09DF8F7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608E6FFC">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一、项目概况</w:t>
      </w:r>
    </w:p>
    <w:p w14:paraId="536B0E82">
      <w:pPr>
        <w:pStyle w:val="86"/>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ascii="宋体" w:hAnsi="宋体" w:cs="宋体"/>
          <w:color w:val="auto"/>
          <w:sz w:val="28"/>
          <w:szCs w:val="28"/>
          <w:highlight w:val="none"/>
        </w:rPr>
        <w:t>采用四杆布灯方式。在田径场四个角的绿化带内增设4</w:t>
      </w:r>
      <w:r>
        <w:rPr>
          <w:rFonts w:hint="eastAsia" w:ascii="宋体" w:hAnsi="宋体" w:cs="宋体"/>
          <w:color w:val="auto"/>
          <w:sz w:val="28"/>
          <w:szCs w:val="28"/>
          <w:highlight w:val="none"/>
          <w:lang w:val="en-US" w:eastAsia="zh-CN"/>
        </w:rPr>
        <w:t>套</w:t>
      </w:r>
      <w:r>
        <w:rPr>
          <w:rFonts w:ascii="宋体" w:hAnsi="宋体" w:cs="宋体"/>
          <w:color w:val="auto"/>
          <w:sz w:val="28"/>
          <w:szCs w:val="28"/>
          <w:highlight w:val="none"/>
        </w:rPr>
        <w:t>20米高杆灯，</w:t>
      </w:r>
      <w:r>
        <w:rPr>
          <w:rFonts w:hint="eastAsia"/>
          <w:color w:val="auto"/>
          <w:sz w:val="28"/>
          <w:szCs w:val="28"/>
          <w:highlight w:val="none"/>
          <w:lang w:val="en-US" w:eastAsia="zh-CN"/>
        </w:rPr>
        <w:t>需实现每杆灯塔独立控制，且每根灯塔中的LED灯分组控制，</w:t>
      </w:r>
      <w:r>
        <w:rPr>
          <w:rFonts w:ascii="宋体" w:hAnsi="宋体" w:cs="宋体"/>
          <w:color w:val="auto"/>
          <w:sz w:val="28"/>
          <w:szCs w:val="28"/>
          <w:highlight w:val="none"/>
        </w:rPr>
        <w:t>平均水平照度</w:t>
      </w:r>
      <w:r>
        <w:rPr>
          <w:rFonts w:hint="eastAsia" w:ascii="宋体" w:hAnsi="宋体" w:cs="宋体"/>
          <w:color w:val="auto"/>
          <w:sz w:val="28"/>
          <w:szCs w:val="28"/>
          <w:highlight w:val="none"/>
        </w:rPr>
        <w:t>200</w:t>
      </w:r>
      <w:r>
        <w:rPr>
          <w:rFonts w:ascii="宋体" w:hAnsi="宋体" w:cs="宋体"/>
          <w:color w:val="auto"/>
          <w:sz w:val="28"/>
          <w:szCs w:val="28"/>
          <w:highlight w:val="none"/>
        </w:rPr>
        <w:t>Lux以上</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满载状态</w:t>
      </w:r>
      <w:r>
        <w:rPr>
          <w:rFonts w:hint="eastAsia" w:ascii="宋体" w:hAnsi="宋体" w:cs="宋体"/>
          <w:color w:val="auto"/>
          <w:sz w:val="28"/>
          <w:szCs w:val="28"/>
          <w:highlight w:val="none"/>
          <w:lang w:eastAsia="zh-CN"/>
        </w:rPr>
        <w:t>）</w:t>
      </w:r>
      <w:r>
        <w:rPr>
          <w:rFonts w:ascii="宋体" w:hAnsi="宋体" w:cs="宋体"/>
          <w:color w:val="auto"/>
          <w:sz w:val="28"/>
          <w:szCs w:val="28"/>
          <w:highlight w:val="none"/>
        </w:rPr>
        <w:t>，可兼顾跑道及内场。</w:t>
      </w:r>
    </w:p>
    <w:p w14:paraId="2EC3606F">
      <w:pPr>
        <w:pStyle w:val="86"/>
        <w:spacing w:line="460" w:lineRule="exact"/>
        <w:ind w:firstLine="560"/>
        <w:rPr>
          <w:rFonts w:hint="default" w:ascii="宋体" w:hAnsi="宋体" w:eastAsia="宋体" w:cs="宋体"/>
          <w:color w:val="auto"/>
          <w:sz w:val="28"/>
          <w:szCs w:val="28"/>
          <w:highlight w:val="none"/>
          <w:lang w:val="en-US" w:eastAsia="zh-CN"/>
        </w:rPr>
      </w:pPr>
      <w:r>
        <w:rPr>
          <w:rFonts w:ascii="宋体" w:hAnsi="宋体" w:cs="宋体"/>
          <w:color w:val="auto"/>
          <w:sz w:val="28"/>
          <w:szCs w:val="28"/>
          <w:highlight w:val="none"/>
        </w:rPr>
        <w:t>2.电源取自实训楼西北角的高压配电房，在合适位置设置电源总箱实施电源分配和控制</w:t>
      </w:r>
      <w:r>
        <w:rPr>
          <w:rFonts w:hint="eastAsia" w:ascii="宋体" w:hAnsi="宋体" w:cs="宋体"/>
          <w:color w:val="auto"/>
          <w:sz w:val="28"/>
          <w:szCs w:val="28"/>
          <w:highlight w:val="none"/>
        </w:rPr>
        <w:t>。</w:t>
      </w:r>
    </w:p>
    <w:p w14:paraId="3BB3A9A7">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36"/>
        <w:tblW w:w="9460" w:type="dxa"/>
        <w:tblInd w:w="93" w:type="dxa"/>
        <w:tblLayout w:type="fixed"/>
        <w:tblCellMar>
          <w:top w:w="0" w:type="dxa"/>
          <w:left w:w="108" w:type="dxa"/>
          <w:bottom w:w="0" w:type="dxa"/>
          <w:right w:w="108" w:type="dxa"/>
        </w:tblCellMar>
      </w:tblPr>
      <w:tblGrid>
        <w:gridCol w:w="2012"/>
        <w:gridCol w:w="4199"/>
        <w:gridCol w:w="1560"/>
        <w:gridCol w:w="1689"/>
      </w:tblGrid>
      <w:tr w14:paraId="0B486782">
        <w:tblPrEx>
          <w:tblCellMar>
            <w:top w:w="0" w:type="dxa"/>
            <w:left w:w="108" w:type="dxa"/>
            <w:bottom w:w="0" w:type="dxa"/>
            <w:right w:w="108" w:type="dxa"/>
          </w:tblCellMar>
        </w:tblPrEx>
        <w:trPr>
          <w:trHeight w:val="480" w:hRule="atLeast"/>
        </w:trPr>
        <w:tc>
          <w:tcPr>
            <w:tcW w:w="201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80370B">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名称</w:t>
            </w:r>
          </w:p>
        </w:tc>
        <w:tc>
          <w:tcPr>
            <w:tcW w:w="419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CC96DC">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规格型号</w:t>
            </w:r>
          </w:p>
        </w:tc>
        <w:tc>
          <w:tcPr>
            <w:tcW w:w="156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C4451F">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数量</w:t>
            </w:r>
          </w:p>
        </w:tc>
        <w:tc>
          <w:tcPr>
            <w:tcW w:w="168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C8FE0">
            <w:pPr>
              <w:widowControl/>
              <w:jc w:val="center"/>
              <w:textAlignment w:val="center"/>
              <w:rPr>
                <w:rFonts w:hint="eastAsia"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t>单位</w:t>
            </w:r>
          </w:p>
        </w:tc>
      </w:tr>
      <w:tr w14:paraId="7A5D4EF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3B7A59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灯具</w:t>
            </w:r>
          </w:p>
          <w:p w14:paraId="67596B7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（核心产品）</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C7DE3E4">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LED灯（每根灯塔灯具总功率≥</w:t>
            </w:r>
            <w:r>
              <w:rPr>
                <w:rFonts w:hint="eastAsia" w:ascii="宋体" w:hAnsi="宋体" w:cs="宋体"/>
                <w:color w:val="auto"/>
                <w:kern w:val="0"/>
                <w:sz w:val="22"/>
                <w:szCs w:val="22"/>
                <w:highlight w:val="none"/>
                <w:lang w:val="en-US" w:eastAsia="zh-CN" w:bidi="ar"/>
              </w:rPr>
              <w:t>8</w:t>
            </w:r>
            <w:r>
              <w:rPr>
                <w:rFonts w:hint="eastAsia" w:ascii="宋体" w:hAnsi="宋体" w:cs="宋体"/>
                <w:color w:val="auto"/>
                <w:kern w:val="0"/>
                <w:sz w:val="22"/>
                <w:szCs w:val="22"/>
                <w:highlight w:val="none"/>
                <w:lang w:bidi="ar"/>
              </w:rPr>
              <w:t>000W）</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49C8C3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74BC643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套</w:t>
            </w:r>
          </w:p>
        </w:tc>
      </w:tr>
      <w:tr w14:paraId="0A865E62">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68AB7AE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高杆灯塔</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596BEAC">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20米高</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31D7C4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2D35F861">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根</w:t>
            </w:r>
          </w:p>
        </w:tc>
      </w:tr>
      <w:tr w14:paraId="48D87D5A">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5FDF917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主电缆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EDC8775">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≥YJV</w:t>
            </w:r>
            <w:r>
              <w:rPr>
                <w:rFonts w:hint="eastAsia" w:ascii="宋体" w:hAnsi="宋体" w:cs="宋体"/>
                <w:color w:val="auto"/>
                <w:kern w:val="0"/>
                <w:sz w:val="22"/>
                <w:szCs w:val="22"/>
                <w:highlight w:val="none"/>
                <w:lang w:bidi="ar"/>
              </w:rPr>
              <w:t>5*25</w:t>
            </w:r>
            <w:r>
              <w:rPr>
                <w:rFonts w:hint="eastAsia" w:ascii="宋体" w:hAnsi="宋体" w:cs="宋体"/>
                <w:color w:val="auto"/>
                <w:kern w:val="0"/>
                <w:sz w:val="22"/>
                <w:szCs w:val="22"/>
                <w:highlight w:val="none"/>
                <w:lang w:val="en-US" w:eastAsia="zh-CN" w:bidi="ar"/>
              </w:rPr>
              <w:t>mm²</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D45455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150</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5819FB4">
            <w:pPr>
              <w:widowControl/>
              <w:jc w:val="center"/>
              <w:textAlignment w:val="center"/>
              <w:rPr>
                <w:rFonts w:hint="eastAsia" w:ascii="宋体" w:hAnsi="宋体" w:cs="宋体"/>
                <w:color w:val="auto"/>
                <w:kern w:val="0"/>
                <w:sz w:val="22"/>
                <w:szCs w:val="22"/>
                <w:highlight w:val="none"/>
                <w:lang w:bidi="ar"/>
              </w:rPr>
            </w:pPr>
            <w:r>
              <w:rPr>
                <w:rFonts w:ascii="宋体" w:hAnsi="宋体" w:cs="宋体"/>
                <w:color w:val="auto"/>
                <w:sz w:val="24"/>
                <w:highlight w:val="none"/>
              </w:rPr>
              <w:t>米</w:t>
            </w:r>
          </w:p>
        </w:tc>
      </w:tr>
      <w:tr w14:paraId="0EAD98B1">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4DD20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辅电缆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287FBC80">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6F3F6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1E1635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5D837BF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C770B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接灯电缆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23C72C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40C02A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BCE89A7">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70D6DC2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1838C58C">
            <w:pPr>
              <w:pStyle w:val="16"/>
              <w:jc w:val="center"/>
              <w:rPr>
                <w:rFonts w:hint="eastAsia" w:ascii="宋体" w:hAnsi="宋体" w:cs="宋体"/>
                <w:color w:val="auto"/>
                <w:sz w:val="24"/>
                <w:szCs w:val="24"/>
                <w:highlight w:val="none"/>
              </w:rPr>
            </w:pPr>
            <w:r>
              <w:rPr>
                <w:rFonts w:hint="default" w:ascii="Times New Roman" w:hAnsi="Times New Roman" w:cs="Times New Roman"/>
                <w:color w:val="auto"/>
                <w:kern w:val="2"/>
                <w:sz w:val="21"/>
                <w:szCs w:val="24"/>
                <w:highlight w:val="none"/>
                <w:lang w:bidi="ar"/>
              </w:rPr>
              <w:t>户外配电箱</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54FF5284">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符合技术要求</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20D76C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993A968">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组</w:t>
            </w:r>
          </w:p>
        </w:tc>
      </w:tr>
      <w:tr w14:paraId="7D60AFD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DC9FC5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安装及其他辅材等</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48E3A7BF">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灯杆基础+预埋件+安装等一切费用</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0A71F21">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06621F8A">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r>
    </w:tbl>
    <w:p w14:paraId="0146F2F3">
      <w:pPr>
        <w:pStyle w:val="86"/>
        <w:widowControl/>
        <w:shd w:val="clear" w:color="auto" w:fill="FFFFFF"/>
        <w:spacing w:line="460" w:lineRule="exact"/>
        <w:ind w:firstLine="562"/>
        <w:jc w:val="left"/>
        <w:outlineLvl w:val="3"/>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三、技术要求</w:t>
      </w:r>
    </w:p>
    <w:p w14:paraId="19E302F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（一）LED 灯</w:t>
      </w:r>
    </w:p>
    <w:p w14:paraId="34F551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1.光源类型：采用高光效 LED 芯片，显色指数≥80，色温 4000K-5000K（暖白光），光效≥130lm/W；</w:t>
      </w:r>
    </w:p>
    <w:p w14:paraId="4233B2E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2.照度要求：单杆灯塔总额定功率</w:t>
      </w:r>
      <w:r>
        <w:rPr>
          <w:rFonts w:hint="eastAsia"/>
          <w:color w:val="auto"/>
          <w:sz w:val="28"/>
          <w:szCs w:val="28"/>
          <w:highlight w:val="none"/>
          <w:lang w:bidi="ar"/>
        </w:rPr>
        <w:t>≥</w:t>
      </w:r>
      <w:r>
        <w:rPr>
          <w:rFonts w:hint="eastAsia"/>
          <w:color w:val="auto"/>
          <w:sz w:val="28"/>
          <w:szCs w:val="28"/>
          <w:highlight w:val="none"/>
          <w:lang w:val="en-US" w:eastAsia="zh-CN" w:bidi="ar"/>
        </w:rPr>
        <w:t>8</w:t>
      </w:r>
      <w:r>
        <w:rPr>
          <w:rFonts w:hint="eastAsia"/>
          <w:color w:val="auto"/>
          <w:sz w:val="28"/>
          <w:szCs w:val="28"/>
          <w:highlight w:val="none"/>
          <w:lang w:bidi="ar"/>
        </w:rPr>
        <w:t>000W</w:t>
      </w:r>
      <w:r>
        <w:rPr>
          <w:rFonts w:hint="eastAsia" w:ascii="宋体" w:hAnsi="宋体" w:cs="宋体"/>
          <w:color w:val="auto"/>
          <w:sz w:val="28"/>
          <w:szCs w:val="28"/>
          <w:highlight w:val="none"/>
        </w:rPr>
        <w:t>，4 组高杆灯安装后，田径场平均水平照度≥200Lux，照度均匀度≥0.7，无明显眩光；</w:t>
      </w:r>
    </w:p>
    <w:p w14:paraId="546359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3.防护等级：IP65 及以上，具备防腐蚀、防水、防尘性能，适应户外恶劣环境；</w:t>
      </w:r>
    </w:p>
    <w:p w14:paraId="026EF0D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4.使用寿命：</w:t>
      </w:r>
      <w:r>
        <w:rPr>
          <w:rFonts w:hint="eastAsia"/>
          <w:color w:val="auto"/>
          <w:sz w:val="28"/>
          <w:szCs w:val="28"/>
          <w:highlight w:val="none"/>
        </w:rPr>
        <w:t>≥80000 小时</w:t>
      </w:r>
      <w:r>
        <w:rPr>
          <w:rFonts w:hint="eastAsia" w:ascii="宋体" w:hAnsi="宋体" w:cs="宋体"/>
          <w:color w:val="auto"/>
          <w:sz w:val="28"/>
          <w:szCs w:val="28"/>
          <w:highlight w:val="none"/>
        </w:rPr>
        <w:t>，光衰≤30%（20000 小时）；</w:t>
      </w:r>
    </w:p>
    <w:p w14:paraId="7519CBD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5.电气性能：输入电压 AC220V±10%，频率 50Hz，功率因数≥0.95，谐波畸变率≤10%；</w:t>
      </w:r>
    </w:p>
    <w:p w14:paraId="79AE7E6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6.具备过压、过流、短路、防雷等保护功能。</w:t>
      </w:r>
    </w:p>
    <w:p w14:paraId="363431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注：投标人所投LED灯具须满足上述技术参数要求，投标时提供具有相应资质的第三方检测机构出具的有CMA标识的检测报告（检测项至少包含以上光源类型、防护等级、使用寿命、光衰）。</w:t>
      </w:r>
    </w:p>
    <w:p w14:paraId="0B532E0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（二）20 米高杆灯塔</w:t>
      </w:r>
    </w:p>
    <w:p w14:paraId="1118EBE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1.灯杆材质：采用 Q235B 优质</w:t>
      </w:r>
      <w:r>
        <w:rPr>
          <w:rFonts w:hint="eastAsia" w:ascii="宋体" w:hAnsi="宋体" w:cs="宋体"/>
          <w:color w:val="auto"/>
          <w:sz w:val="28"/>
          <w:szCs w:val="28"/>
          <w:highlight w:val="none"/>
          <w:lang w:val="en-US" w:eastAsia="zh-CN"/>
        </w:rPr>
        <w:t>冷轧</w:t>
      </w:r>
      <w:r>
        <w:rPr>
          <w:rFonts w:hint="eastAsia" w:ascii="宋体" w:hAnsi="宋体" w:cs="宋体"/>
          <w:color w:val="auto"/>
          <w:sz w:val="28"/>
          <w:szCs w:val="28"/>
          <w:highlight w:val="none"/>
        </w:rPr>
        <w:t>钢板，整体热镀锌处理后静电喷塑，镀锌层厚度≥86μm，喷塑层厚度≥60μm，抗腐蚀性能强；</w:t>
      </w:r>
    </w:p>
    <w:p w14:paraId="041FBDD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2.结构要求：灯杆直径自上而下渐变，壁厚≥8mm</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底部直径≥450mm，顶部直径≥200mm，；法兰盘厚度≥25mm，直径≥800mm，</w:t>
      </w:r>
      <w:r>
        <w:rPr>
          <w:rFonts w:hint="eastAsia"/>
          <w:color w:val="auto"/>
          <w:sz w:val="28"/>
          <w:szCs w:val="28"/>
          <w:highlight w:val="none"/>
        </w:rPr>
        <w:t>以上灯杆结构要求为建议参数，可根据实际情况进行优化设计且符合国家安全标准，不允许负偏离。</w:t>
      </w:r>
      <w:r>
        <w:rPr>
          <w:rFonts w:hint="eastAsia" w:ascii="宋体" w:hAnsi="宋体" w:cs="宋体"/>
          <w:color w:val="auto"/>
          <w:sz w:val="28"/>
          <w:szCs w:val="28"/>
          <w:highlight w:val="none"/>
        </w:rPr>
        <w:t>灯杆采用焊接工艺，整体打磨光滑，无明显焊缝；</w:t>
      </w:r>
    </w:p>
    <w:p w14:paraId="50C2934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3.抗风等级：≥12 级，抗震烈度≥8 度，满足户外安装强度要求；</w:t>
      </w:r>
    </w:p>
    <w:p w14:paraId="539A0C0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4.灯具安装：灯杆顶部配备可调节灯具支架，支持旋转调节，便于精准布光，光照范围要兼顾跑道及田径场中央；</w:t>
      </w:r>
    </w:p>
    <w:p w14:paraId="57CB2EB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5.安全防护：灯杆底部设置检修门，内置接地装置，接地电阻≤4Ω，配置电动升降设备。</w:t>
      </w:r>
    </w:p>
    <w:p w14:paraId="28CC371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6.高杆灯塔塔顶设置独立避雷针一个，符合国家验收标准。</w:t>
      </w:r>
    </w:p>
    <w:p w14:paraId="3D69421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（三）电缆及附件</w:t>
      </w:r>
    </w:p>
    <w:p w14:paraId="0A187D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1.主电缆（</w:t>
      </w:r>
      <w:r>
        <w:rPr>
          <w:rFonts w:hint="eastAsia" w:ascii="宋体" w:hAnsi="宋体" w:cs="宋体"/>
          <w:color w:val="auto"/>
          <w:sz w:val="28"/>
          <w:szCs w:val="28"/>
          <w:highlight w:val="none"/>
          <w:lang w:val="en-US" w:eastAsia="zh-CN"/>
        </w:rPr>
        <w:t>≥YJV</w:t>
      </w:r>
      <w:r>
        <w:rPr>
          <w:rFonts w:hint="eastAsia" w:ascii="宋体" w:hAnsi="宋体" w:cs="宋体"/>
          <w:color w:val="auto"/>
          <w:sz w:val="28"/>
          <w:szCs w:val="28"/>
          <w:highlight w:val="none"/>
        </w:rPr>
        <w:t>5*25</w:t>
      </w:r>
      <w:r>
        <w:rPr>
          <w:rFonts w:hint="eastAsia" w:ascii="宋体" w:hAnsi="宋体" w:cs="宋体"/>
          <w:color w:val="auto"/>
          <w:sz w:val="28"/>
          <w:szCs w:val="28"/>
          <w:highlight w:val="none"/>
          <w:lang w:val="en-US" w:eastAsia="zh-CN"/>
        </w:rPr>
        <w:t>mm²</w:t>
      </w:r>
      <w:r>
        <w:rPr>
          <w:rFonts w:hint="eastAsia" w:ascii="宋体" w:hAnsi="宋体" w:cs="宋体"/>
          <w:color w:val="auto"/>
          <w:sz w:val="28"/>
          <w:szCs w:val="28"/>
          <w:highlight w:val="none"/>
        </w:rPr>
        <w:t>）：采用铜芯电力电缆，符合 GB/T 12706-2022 标准，导体材质为无氧铜，绝缘层为 XLPE 材料，护套为 PVC 材料，耐压等级≥0.6/1kV，防水、耐老化；</w:t>
      </w:r>
    </w:p>
    <w:p w14:paraId="6894D82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2.辅电缆、接灯电缆：</w:t>
      </w:r>
      <w:r>
        <w:rPr>
          <w:rFonts w:hint="eastAsia"/>
          <w:color w:val="auto"/>
          <w:sz w:val="28"/>
          <w:szCs w:val="28"/>
          <w:highlight w:val="none"/>
        </w:rPr>
        <w:t>采用铜芯电力电缆，</w:t>
      </w:r>
      <w:r>
        <w:rPr>
          <w:rFonts w:hint="eastAsia" w:ascii="宋体" w:hAnsi="宋体" w:cs="宋体"/>
          <w:color w:val="auto"/>
          <w:sz w:val="28"/>
          <w:szCs w:val="28"/>
          <w:highlight w:val="none"/>
        </w:rPr>
        <w:t>满足国家标准，具体长度数量由投标人根据所投灯具产品规格型号自行设计来确定需要的长度；</w:t>
      </w:r>
    </w:p>
    <w:p w14:paraId="3135DCF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3.电缆铺设方式：</w:t>
      </w:r>
      <w:r>
        <w:rPr>
          <w:rFonts w:hint="eastAsia"/>
          <w:color w:val="auto"/>
          <w:sz w:val="28"/>
          <w:szCs w:val="28"/>
          <w:highlight w:val="none"/>
        </w:rPr>
        <w:t>埋地穿钢管（除穿电缆沟外）</w:t>
      </w:r>
      <w:r>
        <w:rPr>
          <w:rFonts w:hint="eastAsia" w:ascii="宋体" w:hAnsi="宋体" w:cs="宋体"/>
          <w:color w:val="auto"/>
          <w:sz w:val="28"/>
          <w:szCs w:val="28"/>
          <w:highlight w:val="none"/>
        </w:rPr>
        <w:t>。</w:t>
      </w:r>
    </w:p>
    <w:p w14:paraId="33C9B0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4.根据所投灯具产品的参数、数量及功率的方案，可对所需电缆及辅材进行优化，在分项报价表中需要明确，确保满足所投产品的实际需要及使用要求，并符合国家标准。</w:t>
      </w:r>
    </w:p>
    <w:p w14:paraId="3E6112A9">
      <w:pPr>
        <w:spacing w:line="460" w:lineRule="exact"/>
        <w:ind w:firstLine="560" w:firstLineChars="200"/>
        <w:rPr>
          <w:rFonts w:hint="default" w:eastAsia="宋体"/>
          <w:color w:val="auto"/>
          <w:highlight w:val="none"/>
          <w:lang w:val="en-US" w:eastAsia="zh-CN"/>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.户外配电箱</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配电箱采用不锈钢材质，防护等级 IP54，内置</w:t>
      </w:r>
      <w:r>
        <w:rPr>
          <w:rFonts w:hint="eastAsia" w:ascii="宋体" w:hAnsi="宋体" w:cs="宋体"/>
          <w:color w:val="auto"/>
          <w:sz w:val="28"/>
          <w:szCs w:val="28"/>
          <w:highlight w:val="none"/>
          <w:lang w:val="en-US" w:eastAsia="zh-CN"/>
        </w:rPr>
        <w:t>至少包含</w:t>
      </w:r>
      <w:r>
        <w:rPr>
          <w:rFonts w:hint="eastAsia" w:ascii="宋体" w:hAnsi="宋体" w:cs="宋体"/>
          <w:color w:val="auto"/>
          <w:sz w:val="28"/>
          <w:szCs w:val="28"/>
          <w:highlight w:val="none"/>
        </w:rPr>
        <w:t>断路器、漏电保护器、智能时控开关（支持光控 + 时控双模式），时控精度≤1 分钟 / 天，具备过载、短路、漏电保护功能，</w:t>
      </w:r>
      <w:r>
        <w:rPr>
          <w:rFonts w:hint="eastAsia"/>
          <w:color w:val="auto"/>
          <w:sz w:val="28"/>
          <w:szCs w:val="28"/>
          <w:highlight w:val="none"/>
        </w:rPr>
        <w:t>设置浪涌保护器</w:t>
      </w:r>
      <w:r>
        <w:rPr>
          <w:rFonts w:hint="eastAsia"/>
          <w:color w:val="auto"/>
          <w:sz w:val="28"/>
          <w:szCs w:val="28"/>
          <w:highlight w:val="none"/>
          <w:lang w:eastAsia="zh-CN"/>
        </w:rPr>
        <w:t>。</w:t>
      </w:r>
      <w:r>
        <w:rPr>
          <w:rFonts w:hint="eastAsia"/>
          <w:color w:val="auto"/>
          <w:sz w:val="28"/>
          <w:szCs w:val="28"/>
          <w:highlight w:val="none"/>
          <w:lang w:val="en-US" w:eastAsia="zh-CN"/>
        </w:rPr>
        <w:t>需实现每杆灯塔独立控制，且每根灯塔中的LED灯分组控制。</w:t>
      </w:r>
    </w:p>
    <w:p w14:paraId="42E7C55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（四）安装及辅材</w:t>
      </w:r>
    </w:p>
    <w:p w14:paraId="1A200C4D">
      <w:pPr>
        <w:shd w:val="clea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灯杆基础：采用钢筋混凝土现浇基础，每个基础尺寸</w:t>
      </w:r>
      <w:r>
        <w:rPr>
          <w:rFonts w:hint="default"/>
          <w:color w:val="auto"/>
          <w:highlight w:val="none"/>
          <w:lang w:val="en-US" w:eastAsia="zh-CN"/>
        </w:rPr>
        <w:t>埋深</w:t>
      </w:r>
      <w:r>
        <w:rPr>
          <w:rFonts w:hint="eastAsia"/>
          <w:color w:val="auto"/>
          <w:sz w:val="28"/>
          <w:szCs w:val="28"/>
          <w:highlight w:val="none"/>
        </w:rPr>
        <w:t>≥</w:t>
      </w:r>
      <w:r>
        <w:rPr>
          <w:rFonts w:hint="default"/>
          <w:color w:val="auto"/>
          <w:highlight w:val="none"/>
          <w:lang w:val="en-US" w:eastAsia="zh-CN"/>
        </w:rPr>
        <w:t>3米，底部直径</w:t>
      </w:r>
      <w:r>
        <w:rPr>
          <w:rFonts w:hint="eastAsia"/>
          <w:color w:val="auto"/>
          <w:sz w:val="28"/>
          <w:szCs w:val="28"/>
          <w:highlight w:val="none"/>
        </w:rPr>
        <w:t>≥</w:t>
      </w:r>
      <w:r>
        <w:rPr>
          <w:rFonts w:hint="default"/>
          <w:color w:val="auto"/>
          <w:highlight w:val="none"/>
          <w:lang w:val="en-US" w:eastAsia="zh-CN"/>
        </w:rPr>
        <w:t>2.5米</w:t>
      </w:r>
      <w:r>
        <w:rPr>
          <w:rFonts w:hint="eastAsia"/>
          <w:color w:val="auto"/>
          <w:highlight w:val="none"/>
          <w:lang w:val="en-US" w:eastAsia="zh-CN"/>
        </w:rPr>
        <w:t>、顶部直径</w:t>
      </w:r>
      <w:r>
        <w:rPr>
          <w:rFonts w:hint="eastAsia"/>
          <w:color w:val="auto"/>
          <w:sz w:val="28"/>
          <w:szCs w:val="28"/>
          <w:highlight w:val="none"/>
        </w:rPr>
        <w:t>≥</w:t>
      </w:r>
      <w:r>
        <w:rPr>
          <w:rFonts w:hint="eastAsia"/>
          <w:color w:val="auto"/>
          <w:highlight w:val="none"/>
          <w:lang w:val="en-US" w:eastAsia="zh-CN"/>
        </w:rPr>
        <w:t>1</w:t>
      </w:r>
      <w:r>
        <w:rPr>
          <w:rFonts w:hint="default"/>
          <w:color w:val="auto"/>
          <w:highlight w:val="none"/>
          <w:lang w:val="en-US" w:eastAsia="zh-CN"/>
        </w:rPr>
        <w:t>米的圆锥台</w:t>
      </w:r>
      <w:r>
        <w:rPr>
          <w:rFonts w:hint="eastAsia"/>
          <w:color w:val="auto"/>
          <w:sz w:val="28"/>
          <w:szCs w:val="28"/>
          <w:highlight w:val="none"/>
        </w:rPr>
        <w:t>（参考规格，可进行优化设计，不允许负偏离）</w:t>
      </w:r>
      <w:r>
        <w:rPr>
          <w:rFonts w:hint="eastAsia" w:ascii="宋体" w:hAnsi="宋体" w:cs="宋体"/>
          <w:color w:val="auto"/>
          <w:sz w:val="28"/>
          <w:szCs w:val="28"/>
          <w:highlight w:val="none"/>
        </w:rPr>
        <w:t>，内置预埋件与灯杆法兰盘匹配，地笼安装固定，钢筋笼制作，混凝土强度等级≥C30；</w:t>
      </w:r>
    </w:p>
    <w:p w14:paraId="763E455C">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中标人在灯杆基础施工前，</w:t>
      </w:r>
      <w:r>
        <w:rPr>
          <w:rFonts w:hint="eastAsia"/>
          <w:color w:val="auto"/>
          <w:sz w:val="28"/>
          <w:szCs w:val="28"/>
          <w:highlight w:val="none"/>
        </w:rPr>
        <w:t>须提供具有工程设计资质单位出具的盖章施工图</w:t>
      </w:r>
      <w:r>
        <w:rPr>
          <w:rFonts w:hint="eastAsia" w:ascii="宋体" w:hAnsi="宋体" w:cs="宋体"/>
          <w:color w:val="auto"/>
          <w:sz w:val="28"/>
          <w:szCs w:val="28"/>
          <w:highlight w:val="none"/>
        </w:rPr>
        <w:t>，</w:t>
      </w:r>
      <w:r>
        <w:rPr>
          <w:rFonts w:hint="eastAsia"/>
          <w:color w:val="auto"/>
          <w:sz w:val="28"/>
          <w:szCs w:val="28"/>
          <w:highlight w:val="none"/>
          <w:lang w:val="en-US" w:eastAsia="zh-CN"/>
        </w:rPr>
        <w:t>施工图需符合安装地实际情况并体现灯杆基础设计及采用配件的安全冗余。</w:t>
      </w:r>
      <w:r>
        <w:rPr>
          <w:rFonts w:hint="eastAsia" w:ascii="宋体" w:hAnsi="宋体" w:cs="宋体"/>
          <w:color w:val="auto"/>
          <w:sz w:val="28"/>
          <w:szCs w:val="28"/>
          <w:highlight w:val="none"/>
        </w:rPr>
        <w:t>相关费用含在投标总价内由中标人自行承担。</w:t>
      </w:r>
    </w:p>
    <w:p w14:paraId="4DF7D754">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辅材：包括接线端子、防水接头、固定支架、螺栓等，均为优质国标产品，满足安装及使用强度要求</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并做防锈耐蚀处理</w:t>
      </w:r>
      <w:r>
        <w:rPr>
          <w:rFonts w:hint="eastAsia" w:ascii="宋体" w:hAnsi="宋体" w:cs="宋体"/>
          <w:color w:val="auto"/>
          <w:sz w:val="28"/>
          <w:szCs w:val="28"/>
          <w:highlight w:val="none"/>
        </w:rPr>
        <w:t>；</w:t>
      </w:r>
    </w:p>
    <w:p w14:paraId="380C8390">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安装工艺：电缆敷设需穿管保护，埋深≥0.7m，避免碾压损坏；灯具安装水平误差≤2°，接线牢固，做好防水处理。</w:t>
      </w:r>
    </w:p>
    <w:p w14:paraId="5320012E">
      <w:pPr>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四、商务条款</w:t>
      </w:r>
    </w:p>
    <w:p w14:paraId="0DDA21B3">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1.签定合同日期：</w:t>
      </w:r>
      <w:r>
        <w:rPr>
          <w:rFonts w:hint="eastAsia" w:ascii="宋体" w:hAnsi="宋体" w:cs="宋体"/>
          <w:color w:val="auto"/>
          <w:sz w:val="28"/>
          <w:szCs w:val="28"/>
          <w:highlight w:val="none"/>
        </w:rPr>
        <w:t>自招投标办公室中标（成交）通知书发出之日起30日内按时签约。</w:t>
      </w:r>
    </w:p>
    <w:p w14:paraId="044B774B">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2.交货期（服务时间）：</w:t>
      </w:r>
      <w:r>
        <w:rPr>
          <w:rFonts w:hint="eastAsia" w:ascii="宋体" w:hAnsi="宋体" w:cs="宋体"/>
          <w:color w:val="auto"/>
          <w:sz w:val="28"/>
          <w:szCs w:val="28"/>
          <w:highlight w:val="none"/>
        </w:rPr>
        <w:t xml:space="preserve"> 自合同签订之日起40个日历天内</w:t>
      </w:r>
      <w:r>
        <w:rPr>
          <w:rFonts w:hint="eastAsia" w:ascii="宋体" w:hAnsi="宋体" w:cs="宋体"/>
          <w:color w:val="auto"/>
          <w:sz w:val="28"/>
          <w:szCs w:val="32"/>
          <w:highlight w:val="none"/>
        </w:rPr>
        <w:t>完成</w:t>
      </w:r>
      <w:r>
        <w:rPr>
          <w:rFonts w:hint="eastAsia" w:ascii="宋体" w:hAnsi="宋体" w:cs="宋体"/>
          <w:color w:val="auto"/>
          <w:sz w:val="28"/>
          <w:szCs w:val="28"/>
          <w:highlight w:val="none"/>
        </w:rPr>
        <w:t>。</w:t>
      </w:r>
    </w:p>
    <w:p w14:paraId="5E2C329D">
      <w:pPr>
        <w:widowControl/>
        <w:shd w:val="clear" w:color="auto" w:fill="FFFFFF"/>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3.交货（服务）地点：</w:t>
      </w:r>
      <w:r>
        <w:rPr>
          <w:rFonts w:hint="eastAsia" w:ascii="宋体" w:hAnsi="宋体" w:cs="宋体"/>
          <w:bCs/>
          <w:color w:val="auto"/>
          <w:sz w:val="28"/>
          <w:szCs w:val="28"/>
          <w:highlight w:val="none"/>
        </w:rPr>
        <w:t>招标人指定地点。</w:t>
      </w:r>
    </w:p>
    <w:p w14:paraId="609E9DFB">
      <w:pPr>
        <w:widowControl/>
        <w:shd w:val="clear" w:color="auto" w:fill="FFFFFF"/>
        <w:spacing w:line="460" w:lineRule="exact"/>
        <w:ind w:firstLine="562" w:firstLineChars="200"/>
        <w:contextualSpacing/>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4.</w:t>
      </w:r>
      <w:r>
        <w:rPr>
          <w:rFonts w:hint="eastAsia" w:ascii="宋体" w:hAnsi="宋体" w:cs="宋体"/>
          <w:b/>
          <w:color w:val="auto"/>
          <w:sz w:val="28"/>
          <w:szCs w:val="28"/>
          <w:highlight w:val="none"/>
          <w:lang w:val="zh-CN"/>
        </w:rPr>
        <w:t>质保期限</w:t>
      </w:r>
      <w:r>
        <w:rPr>
          <w:rFonts w:hint="eastAsia" w:ascii="宋体" w:hAnsi="宋体" w:cs="宋体"/>
          <w:color w:val="auto"/>
          <w:sz w:val="28"/>
          <w:szCs w:val="28"/>
          <w:highlight w:val="none"/>
        </w:rPr>
        <w:t>（自交货并验收合格之日起计）</w:t>
      </w:r>
      <w:r>
        <w:rPr>
          <w:rFonts w:hint="eastAsia" w:ascii="宋体" w:hAnsi="宋体" w:cs="宋体"/>
          <w:b/>
          <w:color w:val="auto"/>
          <w:sz w:val="28"/>
          <w:szCs w:val="28"/>
          <w:highlight w:val="none"/>
          <w:lang w:val="zh-CN"/>
        </w:rPr>
        <w:t>：</w:t>
      </w:r>
      <w:r>
        <w:rPr>
          <w:rFonts w:hint="eastAsia" w:ascii="宋体" w:hAnsi="宋体" w:cs="宋体"/>
          <w:bCs/>
          <w:color w:val="auto"/>
          <w:sz w:val="28"/>
          <w:szCs w:val="28"/>
          <w:highlight w:val="none"/>
        </w:rPr>
        <w:t>自</w:t>
      </w:r>
      <w:r>
        <w:rPr>
          <w:rFonts w:hint="eastAsia" w:ascii="宋体" w:hAnsi="宋体" w:cs="宋体"/>
          <w:color w:val="auto"/>
          <w:sz w:val="28"/>
          <w:szCs w:val="28"/>
          <w:highlight w:val="none"/>
        </w:rPr>
        <w:t>验收合格之日起 5 年。</w:t>
      </w:r>
    </w:p>
    <w:p w14:paraId="401F8412">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5.付款方式：</w:t>
      </w:r>
    </w:p>
    <w:p w14:paraId="141A70DF">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全部货物安装调试完成并经招标人验收合格后，招标人自收到中标人增值税</w:t>
      </w:r>
      <w:r>
        <w:rPr>
          <w:rFonts w:hint="eastAsia" w:cs="宋体"/>
          <w:color w:val="auto"/>
          <w:sz w:val="28"/>
          <w:szCs w:val="32"/>
          <w:highlight w:val="none"/>
          <w:lang w:val="en-US" w:eastAsia="zh-CN"/>
        </w:rPr>
        <w:t>普通</w:t>
      </w:r>
      <w:r>
        <w:rPr>
          <w:rFonts w:hint="eastAsia" w:cs="宋体"/>
          <w:color w:val="auto"/>
          <w:sz w:val="28"/>
          <w:szCs w:val="32"/>
          <w:highlight w:val="none"/>
        </w:rPr>
        <w:t>发票30个工作日内一次性付清全部合同价款。</w:t>
      </w:r>
    </w:p>
    <w:p w14:paraId="5568D5AE">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 xml:space="preserve">注：因中标人发票错误、迟延等问题而导致招标人无法付款的，招标人不承担责任。 </w:t>
      </w:r>
    </w:p>
    <w:p w14:paraId="31DA56AB">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6.验收的具体方案：</w:t>
      </w:r>
    </w:p>
    <w:p w14:paraId="203BAB86">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6.1中标人</w:t>
      </w:r>
      <w:r>
        <w:rPr>
          <w:rFonts w:hint="eastAsia" w:cs="宋体"/>
          <w:color w:val="auto"/>
          <w:sz w:val="28"/>
          <w:szCs w:val="32"/>
          <w:highlight w:val="none"/>
          <w:lang w:val="zh-CN"/>
        </w:rPr>
        <w:t>货物送达后，</w:t>
      </w:r>
      <w:r>
        <w:rPr>
          <w:rFonts w:hint="eastAsia" w:cs="宋体"/>
          <w:color w:val="auto"/>
          <w:sz w:val="28"/>
          <w:szCs w:val="32"/>
          <w:highlight w:val="none"/>
        </w:rPr>
        <w:t>招标</w:t>
      </w:r>
      <w:r>
        <w:rPr>
          <w:rFonts w:hint="eastAsia" w:cs="宋体"/>
          <w:color w:val="auto"/>
          <w:sz w:val="28"/>
          <w:szCs w:val="32"/>
          <w:highlight w:val="none"/>
          <w:lang w:val="zh-CN"/>
        </w:rPr>
        <w:t>方对其数量、品种、规格、运输保存方式等进行检查验收，如不合格应无条件退货或换货。</w:t>
      </w:r>
    </w:p>
    <w:p w14:paraId="2C2FFF82">
      <w:pPr>
        <w:pStyle w:val="32"/>
        <w:spacing w:before="0" w:beforeAutospacing="0" w:after="0" w:afterAutospacing="0" w:line="460" w:lineRule="exact"/>
        <w:ind w:firstLine="560"/>
        <w:rPr>
          <w:rFonts w:hint="eastAsia" w:cs="宋体"/>
          <w:color w:val="auto"/>
          <w:sz w:val="28"/>
          <w:szCs w:val="32"/>
          <w:highlight w:val="none"/>
        </w:rPr>
      </w:pPr>
      <w:r>
        <w:rPr>
          <w:rFonts w:hint="eastAsia" w:cs="宋体"/>
          <w:color w:val="auto"/>
          <w:sz w:val="28"/>
          <w:szCs w:val="32"/>
          <w:highlight w:val="none"/>
        </w:rPr>
        <w:t>6.2中标人须确保所供产品材料的规格及对应品牌与投标文件保持一致，在合同履约过程中不得擅自更换。</w:t>
      </w:r>
    </w:p>
    <w:p w14:paraId="4869F12C">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w:t>
      </w:r>
      <w:r>
        <w:rPr>
          <w:rFonts w:hint="eastAsia" w:cs="宋体"/>
          <w:color w:val="auto"/>
          <w:sz w:val="28"/>
          <w:szCs w:val="32"/>
          <w:highlight w:val="none"/>
          <w:lang w:val="zh-CN"/>
        </w:rPr>
        <w:t>.</w:t>
      </w:r>
      <w:r>
        <w:rPr>
          <w:rFonts w:cs="宋体"/>
          <w:color w:val="auto"/>
          <w:sz w:val="28"/>
          <w:szCs w:val="32"/>
          <w:highlight w:val="none"/>
        </w:rPr>
        <w:t>3</w:t>
      </w:r>
      <w:r>
        <w:rPr>
          <w:rFonts w:hint="eastAsia" w:cs="宋体"/>
          <w:color w:val="auto"/>
          <w:sz w:val="28"/>
          <w:szCs w:val="28"/>
          <w:highlight w:val="none"/>
        </w:rPr>
        <w:t>全部货物安装调试完毕后</w:t>
      </w:r>
      <w:r>
        <w:rPr>
          <w:rFonts w:hint="eastAsia" w:cs="宋体"/>
          <w:color w:val="auto"/>
          <w:sz w:val="28"/>
          <w:szCs w:val="32"/>
          <w:highlight w:val="none"/>
          <w:lang w:val="zh-CN"/>
        </w:rPr>
        <w:t>，中标人需提供由相应资质的第三方单位对本项目</w:t>
      </w:r>
      <w:r>
        <w:rPr>
          <w:rFonts w:hint="eastAsia"/>
          <w:color w:val="auto"/>
          <w:sz w:val="28"/>
          <w:szCs w:val="28"/>
          <w:highlight w:val="none"/>
          <w:lang w:val="zh-CN"/>
        </w:rPr>
        <w:t>光照度</w:t>
      </w:r>
      <w:r>
        <w:rPr>
          <w:rFonts w:hint="eastAsia"/>
          <w:color w:val="auto"/>
          <w:sz w:val="28"/>
          <w:szCs w:val="28"/>
          <w:highlight w:val="none"/>
        </w:rPr>
        <w:t>和防雷测试的测试报告，检测费含在投标总价内由中标人自行承担。</w:t>
      </w:r>
      <w:r>
        <w:rPr>
          <w:rFonts w:hint="eastAsia" w:cs="宋体"/>
          <w:color w:val="auto"/>
          <w:sz w:val="28"/>
          <w:szCs w:val="28"/>
          <w:highlight w:val="none"/>
        </w:rPr>
        <w:t>测试通过后</w:t>
      </w:r>
      <w:r>
        <w:rPr>
          <w:rFonts w:hint="eastAsia" w:cs="宋体"/>
          <w:color w:val="auto"/>
          <w:sz w:val="28"/>
          <w:szCs w:val="32"/>
          <w:highlight w:val="none"/>
        </w:rPr>
        <w:t>中标人</w:t>
      </w:r>
      <w:r>
        <w:rPr>
          <w:rFonts w:hint="eastAsia" w:cs="宋体"/>
          <w:color w:val="auto"/>
          <w:sz w:val="28"/>
          <w:szCs w:val="32"/>
          <w:highlight w:val="none"/>
          <w:lang w:val="zh-CN"/>
        </w:rPr>
        <w:t>向招标人提交项目验收技术资料以及终验申请单，招标人收到申请后</w:t>
      </w:r>
      <w:r>
        <w:rPr>
          <w:rFonts w:hint="eastAsia" w:cs="宋体"/>
          <w:color w:val="auto"/>
          <w:sz w:val="28"/>
          <w:szCs w:val="32"/>
          <w:highlight w:val="none"/>
        </w:rPr>
        <w:t>5</w:t>
      </w:r>
      <w:r>
        <w:rPr>
          <w:rFonts w:hint="eastAsia" w:cs="宋体"/>
          <w:color w:val="auto"/>
          <w:sz w:val="28"/>
          <w:szCs w:val="32"/>
          <w:highlight w:val="none"/>
          <w:lang w:val="zh-CN"/>
        </w:rPr>
        <w:t>个工作日内组织终验且验收无问题后签署终验单。</w:t>
      </w:r>
    </w:p>
    <w:p w14:paraId="235601BF">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7.本次采购需切实履行绿色采购。</w:t>
      </w:r>
    </w:p>
    <w:p w14:paraId="358DD1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7.1商品包装环保要求：应当按《关于印发〈商品包装政府采购需求标准（试行）〉、〈快递包装政府采购需求标准（试行）〉的通知》（财办库〔2020〕123号）文件执行。</w:t>
      </w:r>
    </w:p>
    <w:p w14:paraId="1CA289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227945A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（2）商品包装尽可能使用单一材质的包装材料，如因功能需求必需使用不同材质，不同材质间应便于分离；</w:t>
      </w:r>
    </w:p>
    <w:p w14:paraId="21710D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091A03B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460CA0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6D8489B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10A4113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013630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7.2快递包装环保要求：</w:t>
      </w:r>
    </w:p>
    <w:p w14:paraId="16EB675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5FE9180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0C4AACB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27D0386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A0FA3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450228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7EDA51E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1885235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46A8EC5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597E85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65D9B07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6B543898">
      <w:pPr>
        <w:spacing w:line="460" w:lineRule="exact"/>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190C1E3A">
      <w:pPr>
        <w:tabs>
          <w:tab w:val="left" w:pos="420"/>
        </w:tabs>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五、履约保证金</w:t>
      </w:r>
    </w:p>
    <w:p w14:paraId="00F0460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1CBC364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2.中标人全部履约合同义务，经招标人验收合格无质量、进度等问题的，本项目质保期满后一次性无息退还履约保证金，招标人若逾期退还履约保证金的，按照逾期部分的每日0.05%支付违约金；</w:t>
      </w:r>
    </w:p>
    <w:p w14:paraId="7B7B9F5B">
      <w:pPr>
        <w:spacing w:line="460" w:lineRule="exact"/>
        <w:ind w:firstLine="560" w:firstLineChars="200"/>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509D4FA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a.签订合同后，中标人不履行合同义务的，招标人有权全额扣除履约保证金，全额不予退还，同时招标人亦有权终止合同，中标人还须承担相应的法律赔偿责任。</w:t>
      </w:r>
    </w:p>
    <w:p w14:paraId="3E06410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b.中标人在履约过程中发生违约行为，给招标人造成损失的，招标人有权在中标人缴纳的履约保证金中予以扣款，以弥补招标人经济损失，不足的部分中标人另外补齐。</w:t>
      </w:r>
    </w:p>
    <w:p w14:paraId="10FA086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r>
        <w:rPr>
          <w:rFonts w:hint="eastAsia" w:ascii="宋体" w:hAnsi="宋体" w:cs="宋体"/>
          <w:color w:val="auto"/>
          <w:kern w:val="0"/>
          <w:sz w:val="28"/>
          <w:szCs w:val="28"/>
          <w:highlight w:val="none"/>
        </w:rPr>
        <w:t xml:space="preserve">  </w:t>
      </w:r>
    </w:p>
    <w:p w14:paraId="632052B8">
      <w:pPr>
        <w:tabs>
          <w:tab w:val="left" w:pos="5325"/>
        </w:tabs>
        <w:spacing w:line="460" w:lineRule="exact"/>
        <w:ind w:firstLine="562"/>
        <w:contextualSpacing/>
        <w:rPr>
          <w:rFonts w:hint="eastAsia" w:ascii="宋体" w:hAnsi="宋体" w:cs="宋体"/>
          <w:color w:val="auto"/>
          <w:sz w:val="28"/>
          <w:szCs w:val="28"/>
          <w:highlight w:val="none"/>
        </w:rPr>
      </w:pPr>
      <w:r>
        <w:rPr>
          <w:rFonts w:hint="eastAsia" w:ascii="宋体" w:hAnsi="宋体" w:cs="宋体"/>
          <w:b/>
          <w:bCs/>
          <w:color w:val="auto"/>
          <w:sz w:val="28"/>
          <w:szCs w:val="28"/>
          <w:highlight w:val="none"/>
        </w:rPr>
        <w:t>六、招标项目涉及到的现场勘察</w:t>
      </w:r>
      <w:r>
        <w:rPr>
          <w:rFonts w:hint="eastAsia" w:ascii="宋体" w:hAnsi="宋体" w:cs="宋体"/>
          <w:color w:val="auto"/>
          <w:sz w:val="28"/>
          <w:szCs w:val="28"/>
          <w:highlight w:val="none"/>
        </w:rPr>
        <w:t xml:space="preserve"> </w:t>
      </w:r>
    </w:p>
    <w:p w14:paraId="6A1242BE">
      <w:pPr>
        <w:tabs>
          <w:tab w:val="left" w:pos="5325"/>
        </w:tabs>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根据项目建设需求及复杂性，投标人可自行勘察现场，掌握有关现场的数据和资料。</w:t>
      </w:r>
    </w:p>
    <w:p w14:paraId="5997746C">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1.供应商可以在在投标文件递交之日前对有关现场和周围环境进行勘察，以获取编制响应文件和签署合同所需的信息。勘察现场所发生的费用由供应商自己承担。</w:t>
      </w:r>
    </w:p>
    <w:p w14:paraId="225A47AD">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2.招标人向投标人提供的有关现场的资料和数据，是招标人现有的并认为能使供应商可利用的资料。招标人对投标人由此而做出的推论、理解和结论概不负责。</w:t>
      </w:r>
    </w:p>
    <w:p w14:paraId="7C7C75A9">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3.经招标人允许，投标人可为勘察目的进入招标人的项目现场，但投标人不得因此使招标人承担有关的责任和蒙受损失。投标人应承担勘察现场的责任和风险。</w:t>
      </w:r>
    </w:p>
    <w:p w14:paraId="4DBACEFA">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4.在现场勘察时，熟悉施工及制作安装现场、现场周围交通道路等情况，以获得一切可能影响其投标的直接资料。投标人中标后，不得以不完全了解现场情况为理由而向招标人提出任何索赔的要求，对此招标人不承担任何责任并将不作任何答复与考虑。</w:t>
      </w:r>
    </w:p>
    <w:p w14:paraId="12A32CF5">
      <w:pPr>
        <w:spacing w:line="460" w:lineRule="exact"/>
        <w:ind w:firstLine="560"/>
        <w:contextualSpacing/>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5.现场实地勘察时需携带营业执照副本原件及复印件、法定代表人的委托书、被委托人身份证原件及复印件至南通职业大学勘察（联系人：徐老师，联系电话：13962980630），时间为公告发布之日起至投标文件</w:t>
      </w:r>
      <w:r>
        <w:rPr>
          <w:rFonts w:hint="eastAsia" w:ascii="宋体" w:hAnsi="宋体" w:cs="宋体"/>
          <w:color w:val="auto"/>
          <w:sz w:val="28"/>
          <w:szCs w:val="28"/>
          <w:highlight w:val="none"/>
          <w:lang w:val="en-US" w:eastAsia="zh-CN"/>
        </w:rPr>
        <w:t>递交截止</w:t>
      </w:r>
      <w:r>
        <w:rPr>
          <w:rFonts w:hint="eastAsia" w:ascii="宋体" w:hAnsi="宋体" w:cs="宋体"/>
          <w:color w:val="auto"/>
          <w:sz w:val="28"/>
          <w:szCs w:val="28"/>
          <w:highlight w:val="none"/>
        </w:rPr>
        <w:t>时间前，工作日的上午8：30--11：</w:t>
      </w:r>
      <w:r>
        <w:rPr>
          <w:rFonts w:ascii="宋体" w:hAnsi="宋体" w:cs="宋体"/>
          <w:color w:val="auto"/>
          <w:sz w:val="28"/>
          <w:szCs w:val="28"/>
          <w:highlight w:val="none"/>
        </w:rPr>
        <w:t>0</w:t>
      </w:r>
      <w:r>
        <w:rPr>
          <w:rFonts w:hint="eastAsia" w:ascii="宋体" w:hAnsi="宋体" w:cs="宋体"/>
          <w:color w:val="auto"/>
          <w:sz w:val="28"/>
          <w:szCs w:val="28"/>
          <w:highlight w:val="none"/>
        </w:rPr>
        <w:t>0、下午2：00--5：00。</w:t>
      </w:r>
    </w:p>
    <w:p w14:paraId="19006835">
      <w:pPr>
        <w:spacing w:line="460" w:lineRule="exact"/>
        <w:ind w:firstLine="560"/>
        <w:contextualSpacing/>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七、采购需求中必须满足的实质性要求</w:t>
      </w:r>
    </w:p>
    <w:p w14:paraId="3FAA6B62">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69D18C37">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中标后，</w:t>
      </w:r>
      <w:r>
        <w:rPr>
          <w:rFonts w:hint="eastAsia" w:ascii="宋体" w:hAnsi="宋体" w:eastAsia="宋体" w:cs="宋体"/>
          <w:i/>
          <w:iCs/>
          <w:color w:val="auto"/>
          <w:sz w:val="28"/>
          <w:szCs w:val="28"/>
          <w:highlight w:val="none"/>
          <w:u w:val="single"/>
          <w:lang w:eastAsia="zh-CN"/>
        </w:rPr>
        <w:t>中标人</w:t>
      </w:r>
      <w:r>
        <w:rPr>
          <w:rFonts w:hint="eastAsia" w:ascii="宋体" w:hAnsi="宋体" w:eastAsia="宋体" w:cs="宋体"/>
          <w:i/>
          <w:iCs/>
          <w:color w:val="auto"/>
          <w:sz w:val="28"/>
          <w:szCs w:val="28"/>
          <w:highlight w:val="none"/>
          <w:u w:val="single"/>
        </w:rPr>
        <w:t>不得随意变更合作单位。</w:t>
      </w:r>
    </w:p>
    <w:p w14:paraId="2A7B88AB">
      <w:pPr>
        <w:pStyle w:val="86"/>
        <w:widowControl/>
        <w:shd w:val="clear" w:color="auto" w:fill="FFFFFF"/>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八、合同文本（仅供参考）：</w:t>
      </w:r>
    </w:p>
    <w:p w14:paraId="6036CF9A">
      <w:pPr>
        <w:pStyle w:val="148"/>
        <w:spacing w:before="0" w:after="0" w:line="360" w:lineRule="auto"/>
        <w:ind w:firstLine="200"/>
        <w:jc w:val="center"/>
        <w:rPr>
          <w:rFonts w:hint="eastAsia" w:ascii="宋体" w:hAnsi="宋体" w:cs="宋体"/>
          <w:color w:val="auto"/>
          <w:sz w:val="32"/>
          <w:szCs w:val="32"/>
          <w:highlight w:val="none"/>
        </w:rPr>
      </w:pPr>
      <w:r>
        <w:rPr>
          <w:rFonts w:hint="eastAsia" w:ascii="宋体" w:hAnsi="宋体" w:cs="宋体"/>
          <w:color w:val="auto"/>
          <w:spacing w:val="22"/>
          <w:sz w:val="32"/>
          <w:szCs w:val="32"/>
          <w:highlight w:val="none"/>
        </w:rPr>
        <w:br w:type="page"/>
      </w:r>
      <w:r>
        <w:rPr>
          <w:rFonts w:hint="eastAsia" w:ascii="宋体" w:hAnsi="宋体" w:cs="宋体"/>
          <w:color w:val="auto"/>
          <w:sz w:val="32"/>
          <w:highlight w:val="none"/>
        </w:rPr>
        <w:t>合同主要条款</w:t>
      </w:r>
    </w:p>
    <w:p w14:paraId="31C72BBA">
      <w:pPr>
        <w:spacing w:before="156" w:after="156"/>
        <w:jc w:val="center"/>
        <w:rPr>
          <w:rFonts w:hint="eastAsia" w:ascii="宋体" w:hAnsi="宋体"/>
          <w:b/>
          <w:bCs/>
          <w:color w:val="auto"/>
          <w:sz w:val="30"/>
          <w:highlight w:val="none"/>
        </w:rPr>
      </w:pPr>
      <w:r>
        <w:rPr>
          <w:rFonts w:hint="eastAsia" w:ascii="宋体" w:hAnsi="宋体"/>
          <w:b/>
          <w:color w:val="auto"/>
          <w:sz w:val="30"/>
          <w:highlight w:val="none"/>
        </w:rPr>
        <w:t>南通职业大学青年路校区田径场增设高杆灯采购项目合同</w:t>
      </w:r>
    </w:p>
    <w:p w14:paraId="40E53DCF">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项目名称及编号：                       合同编号：</w:t>
      </w:r>
    </w:p>
    <w:p w14:paraId="358113BA">
      <w:pPr>
        <w:pStyle w:val="149"/>
        <w:spacing w:before="120" w:after="120" w:line="360" w:lineRule="auto"/>
        <w:rPr>
          <w:rFonts w:hint="eastAsia" w:hAnsi="宋体" w:cs="宋体"/>
          <w:color w:val="auto"/>
          <w:sz w:val="28"/>
          <w:szCs w:val="28"/>
          <w:highlight w:val="none"/>
        </w:rPr>
      </w:pPr>
    </w:p>
    <w:p w14:paraId="33DEA522">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甲方：南通职业大学                 </w:t>
      </w:r>
    </w:p>
    <w:p w14:paraId="7F71C5AA">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乙方：</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 </w:t>
      </w:r>
    </w:p>
    <w:p w14:paraId="4AB9136D">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项目组织单位：</w:t>
      </w:r>
      <w:r>
        <w:rPr>
          <w:rFonts w:hint="eastAsia" w:hAnsi="宋体" w:cs="宋体"/>
          <w:color w:val="auto"/>
          <w:sz w:val="28"/>
          <w:szCs w:val="28"/>
          <w:highlight w:val="none"/>
          <w:u w:val="single"/>
        </w:rPr>
        <w:t>南通职业大学</w:t>
      </w:r>
    </w:p>
    <w:p w14:paraId="392B226D">
      <w:pPr>
        <w:pStyle w:val="149"/>
        <w:spacing w:line="360" w:lineRule="auto"/>
        <w:ind w:firstLine="560"/>
        <w:rPr>
          <w:rFonts w:hint="eastAsia" w:hAnsi="宋体" w:cs="宋体"/>
          <w:b/>
          <w:color w:val="auto"/>
          <w:sz w:val="28"/>
          <w:szCs w:val="28"/>
          <w:highlight w:val="none"/>
        </w:rPr>
      </w:pPr>
      <w:r>
        <w:rPr>
          <w:rFonts w:hint="eastAsia" w:hAnsi="宋体" w:cs="宋体"/>
          <w:color w:val="auto"/>
          <w:sz w:val="28"/>
          <w:szCs w:val="28"/>
          <w:highlight w:val="none"/>
        </w:rPr>
        <w:t>根据《中华人民共和国政府采购法》、《中华人民共和国民法典》等法律、法规规定，按照南通职业大学</w:t>
      </w:r>
      <w:r>
        <w:rPr>
          <w:rFonts w:hint="eastAsia" w:hAnsi="宋体" w:cs="宋体"/>
          <w:color w:val="auto"/>
          <w:sz w:val="28"/>
          <w:szCs w:val="28"/>
          <w:highlight w:val="none"/>
          <w:u w:val="single"/>
        </w:rPr>
        <w:t xml:space="preserve">      （项目名称、编号）     </w:t>
      </w:r>
      <w:r>
        <w:rPr>
          <w:rFonts w:hint="eastAsia" w:hAnsi="宋体" w:cs="宋体"/>
          <w:color w:val="auto"/>
          <w:sz w:val="28"/>
          <w:szCs w:val="28"/>
          <w:highlight w:val="none"/>
        </w:rPr>
        <w:t>招标（采购）文件、乙方投标（响应）文件条款和中标（成交）人承诺，甲方向乙方购置相关货物，双方同意按下述条款和条件签订本合同，并共同遵守。</w:t>
      </w:r>
    </w:p>
    <w:p w14:paraId="46D483AB">
      <w:pPr>
        <w:pStyle w:val="149"/>
        <w:spacing w:before="120" w:after="120" w:line="360" w:lineRule="auto"/>
        <w:ind w:firstLine="562"/>
        <w:rPr>
          <w:rFonts w:hint="eastAsia" w:hAnsi="宋体" w:cs="宋体"/>
          <w:b/>
          <w:color w:val="auto"/>
          <w:sz w:val="28"/>
          <w:szCs w:val="28"/>
          <w:highlight w:val="none"/>
        </w:rPr>
      </w:pPr>
      <w:r>
        <w:rPr>
          <w:rFonts w:hint="eastAsia" w:hAnsi="宋体" w:cs="宋体"/>
          <w:b/>
          <w:color w:val="auto"/>
          <w:sz w:val="28"/>
          <w:szCs w:val="28"/>
          <w:highlight w:val="none"/>
        </w:rPr>
        <w:t>一、合同内容</w:t>
      </w:r>
    </w:p>
    <w:p w14:paraId="61CC0951">
      <w:pPr>
        <w:pStyle w:val="149"/>
        <w:spacing w:before="120" w:after="120"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1.1 乙方负责向甲方提供以下货物：</w:t>
      </w:r>
    </w:p>
    <w:tbl>
      <w:tblPr>
        <w:tblStyle w:val="36"/>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560"/>
        <w:gridCol w:w="1455"/>
        <w:gridCol w:w="855"/>
        <w:gridCol w:w="840"/>
        <w:gridCol w:w="1245"/>
        <w:gridCol w:w="1050"/>
        <w:gridCol w:w="735"/>
        <w:gridCol w:w="879"/>
        <w:gridCol w:w="964"/>
      </w:tblGrid>
      <w:tr w14:paraId="6D4D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dxa"/>
            <w:tcMar>
              <w:top w:w="0" w:type="dxa"/>
              <w:left w:w="0" w:type="dxa"/>
              <w:bottom w:w="0" w:type="dxa"/>
              <w:right w:w="0" w:type="dxa"/>
            </w:tcMar>
            <w:vAlign w:val="center"/>
          </w:tcPr>
          <w:p w14:paraId="6B8E4C3A">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1560" w:type="dxa"/>
            <w:tcMar>
              <w:top w:w="0" w:type="dxa"/>
              <w:left w:w="0" w:type="dxa"/>
              <w:bottom w:w="0" w:type="dxa"/>
              <w:right w:w="0" w:type="dxa"/>
            </w:tcMar>
            <w:vAlign w:val="center"/>
          </w:tcPr>
          <w:p w14:paraId="4D0F4B2D">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455" w:type="dxa"/>
            <w:tcMar>
              <w:top w:w="0" w:type="dxa"/>
              <w:left w:w="0" w:type="dxa"/>
              <w:bottom w:w="0" w:type="dxa"/>
              <w:right w:w="0" w:type="dxa"/>
            </w:tcMar>
            <w:vAlign w:val="center"/>
          </w:tcPr>
          <w:p w14:paraId="5EC3CB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产品规格、型号</w:t>
            </w:r>
          </w:p>
        </w:tc>
        <w:tc>
          <w:tcPr>
            <w:tcW w:w="855" w:type="dxa"/>
            <w:tcMar>
              <w:top w:w="0" w:type="dxa"/>
              <w:left w:w="0" w:type="dxa"/>
              <w:bottom w:w="0" w:type="dxa"/>
              <w:right w:w="0" w:type="dxa"/>
            </w:tcMar>
            <w:vAlign w:val="center"/>
          </w:tcPr>
          <w:p w14:paraId="186E31C5">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tc>
        <w:tc>
          <w:tcPr>
            <w:tcW w:w="840" w:type="dxa"/>
            <w:tcMar>
              <w:top w:w="0" w:type="dxa"/>
              <w:left w:w="0" w:type="dxa"/>
              <w:bottom w:w="0" w:type="dxa"/>
              <w:right w:w="0" w:type="dxa"/>
            </w:tcMar>
            <w:vAlign w:val="center"/>
          </w:tcPr>
          <w:p w14:paraId="5678122E">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1245" w:type="dxa"/>
            <w:tcMar>
              <w:top w:w="0" w:type="dxa"/>
              <w:left w:w="0" w:type="dxa"/>
              <w:bottom w:w="0" w:type="dxa"/>
              <w:right w:w="0" w:type="dxa"/>
            </w:tcMar>
            <w:vAlign w:val="center"/>
          </w:tcPr>
          <w:p w14:paraId="575E50B7">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1050" w:type="dxa"/>
            <w:tcMar>
              <w:top w:w="0" w:type="dxa"/>
              <w:left w:w="0" w:type="dxa"/>
              <w:bottom w:w="0" w:type="dxa"/>
              <w:right w:w="0" w:type="dxa"/>
            </w:tcMar>
            <w:vAlign w:val="center"/>
          </w:tcPr>
          <w:p w14:paraId="584B6C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735" w:type="dxa"/>
            <w:tcMar>
              <w:top w:w="0" w:type="dxa"/>
              <w:left w:w="0" w:type="dxa"/>
              <w:bottom w:w="0" w:type="dxa"/>
              <w:right w:w="0" w:type="dxa"/>
            </w:tcMar>
            <w:vAlign w:val="center"/>
          </w:tcPr>
          <w:p w14:paraId="6099B2A9">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36"/>
                <w:highlight w:val="none"/>
              </w:rPr>
              <w:t>产地</w:t>
            </w:r>
          </w:p>
        </w:tc>
        <w:tc>
          <w:tcPr>
            <w:tcW w:w="879" w:type="dxa"/>
            <w:tcMar>
              <w:top w:w="0" w:type="dxa"/>
              <w:left w:w="0" w:type="dxa"/>
              <w:bottom w:w="0" w:type="dxa"/>
              <w:right w:w="0" w:type="dxa"/>
            </w:tcMar>
            <w:vAlign w:val="center"/>
          </w:tcPr>
          <w:p w14:paraId="0367F476">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单价（元）</w:t>
            </w:r>
          </w:p>
        </w:tc>
        <w:tc>
          <w:tcPr>
            <w:tcW w:w="964" w:type="dxa"/>
            <w:tcMar>
              <w:top w:w="0" w:type="dxa"/>
              <w:left w:w="0" w:type="dxa"/>
              <w:bottom w:w="0" w:type="dxa"/>
              <w:right w:w="0" w:type="dxa"/>
            </w:tcMar>
            <w:vAlign w:val="center"/>
          </w:tcPr>
          <w:p w14:paraId="4619F808">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总价（元）</w:t>
            </w:r>
          </w:p>
        </w:tc>
      </w:tr>
      <w:tr w14:paraId="213F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81" w:type="dxa"/>
            <w:tcMar>
              <w:top w:w="0" w:type="dxa"/>
              <w:left w:w="0" w:type="dxa"/>
              <w:bottom w:w="0" w:type="dxa"/>
              <w:right w:w="0" w:type="dxa"/>
            </w:tcMar>
            <w:vAlign w:val="center"/>
          </w:tcPr>
          <w:p w14:paraId="44117EDA">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1</w:t>
            </w:r>
          </w:p>
        </w:tc>
        <w:tc>
          <w:tcPr>
            <w:tcW w:w="1560" w:type="dxa"/>
            <w:tcMar>
              <w:top w:w="0" w:type="dxa"/>
              <w:left w:w="0" w:type="dxa"/>
              <w:bottom w:w="0" w:type="dxa"/>
              <w:right w:w="0" w:type="dxa"/>
            </w:tcMar>
            <w:vAlign w:val="center"/>
          </w:tcPr>
          <w:p w14:paraId="6E3C44BD">
            <w:pPr>
              <w:pStyle w:val="35"/>
              <w:spacing w:line="380" w:lineRule="exact"/>
              <w:ind w:left="0" w:firstLine="560"/>
              <w:jc w:val="center"/>
              <w:rPr>
                <w:rFonts w:hint="eastAsia" w:ascii="宋体" w:hAnsi="宋体" w:cs="宋体"/>
                <w:color w:val="auto"/>
                <w:szCs w:val="28"/>
                <w:highlight w:val="none"/>
              </w:rPr>
            </w:pPr>
          </w:p>
        </w:tc>
        <w:tc>
          <w:tcPr>
            <w:tcW w:w="1455" w:type="dxa"/>
            <w:tcMar>
              <w:top w:w="0" w:type="dxa"/>
              <w:left w:w="0" w:type="dxa"/>
              <w:bottom w:w="0" w:type="dxa"/>
              <w:right w:w="0" w:type="dxa"/>
            </w:tcMar>
            <w:vAlign w:val="center"/>
          </w:tcPr>
          <w:p w14:paraId="1925F4CF">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602D5D46">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4760297C">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4F2458D5">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070B49A">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3ECD4DE3">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6531E46A">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4614A660">
            <w:pPr>
              <w:pStyle w:val="35"/>
              <w:spacing w:line="380" w:lineRule="exact"/>
              <w:ind w:left="0" w:firstLine="560"/>
              <w:jc w:val="center"/>
              <w:rPr>
                <w:rFonts w:hint="eastAsia" w:ascii="宋体" w:hAnsi="宋体" w:cs="宋体"/>
                <w:color w:val="auto"/>
                <w:szCs w:val="28"/>
                <w:highlight w:val="none"/>
              </w:rPr>
            </w:pPr>
          </w:p>
        </w:tc>
      </w:tr>
      <w:tr w14:paraId="26BD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81" w:type="dxa"/>
            <w:tcMar>
              <w:top w:w="0" w:type="dxa"/>
              <w:left w:w="0" w:type="dxa"/>
              <w:bottom w:w="0" w:type="dxa"/>
              <w:right w:w="0" w:type="dxa"/>
            </w:tcMar>
            <w:vAlign w:val="center"/>
          </w:tcPr>
          <w:p w14:paraId="1ED0339C">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2</w:t>
            </w:r>
          </w:p>
        </w:tc>
        <w:tc>
          <w:tcPr>
            <w:tcW w:w="1560" w:type="dxa"/>
            <w:tcMar>
              <w:top w:w="0" w:type="dxa"/>
              <w:left w:w="0" w:type="dxa"/>
              <w:bottom w:w="0" w:type="dxa"/>
              <w:right w:w="0" w:type="dxa"/>
            </w:tcMar>
            <w:vAlign w:val="center"/>
          </w:tcPr>
          <w:p w14:paraId="3458B0F4">
            <w:pPr>
              <w:spacing w:line="380" w:lineRule="exact"/>
              <w:jc w:val="center"/>
              <w:rPr>
                <w:rFonts w:hint="eastAsia" w:ascii="宋体" w:hAnsi="宋体" w:cs="宋体"/>
                <w:color w:val="auto"/>
                <w:sz w:val="28"/>
                <w:szCs w:val="28"/>
                <w:highlight w:val="none"/>
              </w:rPr>
            </w:pPr>
          </w:p>
        </w:tc>
        <w:tc>
          <w:tcPr>
            <w:tcW w:w="1455" w:type="dxa"/>
            <w:tcMar>
              <w:top w:w="0" w:type="dxa"/>
              <w:left w:w="0" w:type="dxa"/>
              <w:bottom w:w="0" w:type="dxa"/>
              <w:right w:w="0" w:type="dxa"/>
            </w:tcMar>
            <w:vAlign w:val="center"/>
          </w:tcPr>
          <w:p w14:paraId="49894CD8">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3355C9E5">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7D2F1E58">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13AC131A">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B658D1C">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11E33BA6">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557405ED">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5F143EE5">
            <w:pPr>
              <w:pStyle w:val="35"/>
              <w:spacing w:line="380" w:lineRule="exact"/>
              <w:ind w:left="0" w:firstLine="560"/>
              <w:jc w:val="center"/>
              <w:rPr>
                <w:rFonts w:hint="eastAsia" w:ascii="宋体" w:hAnsi="宋体" w:cs="宋体"/>
                <w:color w:val="auto"/>
                <w:szCs w:val="28"/>
                <w:highlight w:val="none"/>
              </w:rPr>
            </w:pPr>
          </w:p>
        </w:tc>
      </w:tr>
      <w:tr w14:paraId="3884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00" w:type="dxa"/>
            <w:gridSpan w:val="9"/>
            <w:tcMar>
              <w:top w:w="0" w:type="dxa"/>
              <w:left w:w="0" w:type="dxa"/>
              <w:bottom w:w="0" w:type="dxa"/>
              <w:right w:w="0" w:type="dxa"/>
            </w:tcMar>
            <w:vAlign w:val="center"/>
          </w:tcPr>
          <w:p w14:paraId="58FAB205">
            <w:pPr>
              <w:pStyle w:val="35"/>
              <w:spacing w:line="420" w:lineRule="exact"/>
              <w:ind w:left="0" w:firstLine="560"/>
              <w:jc w:val="center"/>
              <w:rPr>
                <w:rFonts w:hint="eastAsia" w:ascii="宋体" w:hAnsi="宋体" w:cs="宋体"/>
                <w:color w:val="auto"/>
                <w:szCs w:val="28"/>
                <w:highlight w:val="none"/>
              </w:rPr>
            </w:pPr>
            <w:r>
              <w:rPr>
                <w:rFonts w:hint="eastAsia" w:ascii="宋体" w:hAnsi="宋体" w:cs="宋体"/>
                <w:color w:val="auto"/>
                <w:szCs w:val="28"/>
                <w:highlight w:val="none"/>
              </w:rPr>
              <w:t>合计（元）</w:t>
            </w:r>
          </w:p>
        </w:tc>
        <w:tc>
          <w:tcPr>
            <w:tcW w:w="964" w:type="dxa"/>
            <w:tcMar>
              <w:top w:w="0" w:type="dxa"/>
              <w:left w:w="0" w:type="dxa"/>
              <w:bottom w:w="0" w:type="dxa"/>
              <w:right w:w="0" w:type="dxa"/>
            </w:tcMar>
            <w:vAlign w:val="center"/>
          </w:tcPr>
          <w:p w14:paraId="248C617B">
            <w:pPr>
              <w:pStyle w:val="35"/>
              <w:spacing w:line="420" w:lineRule="exact"/>
              <w:ind w:left="0" w:firstLine="560"/>
              <w:jc w:val="center"/>
              <w:rPr>
                <w:rFonts w:hint="eastAsia" w:ascii="宋体" w:hAnsi="宋体" w:cs="宋体"/>
                <w:color w:val="auto"/>
                <w:szCs w:val="28"/>
                <w:highlight w:val="none"/>
              </w:rPr>
            </w:pPr>
          </w:p>
        </w:tc>
      </w:tr>
    </w:tbl>
    <w:p w14:paraId="49B9544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 下列文件为本合同不可分割部分，与本合同具有同等法律效力：</w:t>
      </w:r>
    </w:p>
    <w:p w14:paraId="65E27E9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1.2.1 中标（成交）通知书；</w:t>
      </w:r>
    </w:p>
    <w:p w14:paraId="3D1EF7B7">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1.2.2 甲方的招标（采购）文件及其它补充文件；</w:t>
      </w:r>
    </w:p>
    <w:p w14:paraId="6811FC4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1.2.3 乙方的投标（响应）文件及其它补充文件；</w:t>
      </w:r>
    </w:p>
    <w:p w14:paraId="1508E121">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1.2.4 乙方在采购过程中所作的其它书面承诺、声明、澄清等。</w:t>
      </w:r>
    </w:p>
    <w:p w14:paraId="10B1699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二、合同金额与支付</w:t>
      </w:r>
    </w:p>
    <w:p w14:paraId="012C549F">
      <w:pPr>
        <w:pStyle w:val="149"/>
        <w:spacing w:line="360" w:lineRule="auto"/>
        <w:ind w:firstLine="560"/>
        <w:rPr>
          <w:rFonts w:hint="eastAsia" w:hAnsi="宋体" w:cs="宋体"/>
          <w:color w:val="auto"/>
          <w:sz w:val="28"/>
          <w:szCs w:val="28"/>
          <w:highlight w:val="none"/>
          <w:u w:val="single"/>
        </w:rPr>
      </w:pPr>
      <w:r>
        <w:rPr>
          <w:rFonts w:hint="eastAsia" w:hAnsi="宋体" w:cs="宋体"/>
          <w:color w:val="auto"/>
          <w:sz w:val="28"/>
          <w:szCs w:val="28"/>
          <w:highlight w:val="none"/>
        </w:rPr>
        <w:t>2.1 本合同总金额为（大写）：</w:t>
      </w:r>
      <w:r>
        <w:rPr>
          <w:rFonts w:hint="eastAsia" w:hAnsi="宋体" w:cs="宋体"/>
          <w:color w:val="auto"/>
          <w:sz w:val="28"/>
          <w:szCs w:val="28"/>
          <w:highlight w:val="none"/>
          <w:u w:val="single"/>
        </w:rPr>
        <w:t xml:space="preserve">                                          </w:t>
      </w:r>
    </w:p>
    <w:p w14:paraId="1CB702E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3F7E3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2.2 合同金额包含项目实施所有费用，包含但不限于货物价格、税费、招标范围内所有产品、安装中的相关费用（全部货物及所需附件购置费、配套设备、包装费、运输费、过路、破除、修复、土方开挖及回填、机械设备、人工费、保险费、安装调试费、各种税费、资料费、售后服务费及完成项目应有的全部费用。）、验收合格交付使用之前的一切费用，甲方不再另行支付其他费用。</w:t>
      </w:r>
    </w:p>
    <w:p w14:paraId="47D38A6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2.4支付方式：</w:t>
      </w:r>
    </w:p>
    <w:p w14:paraId="1971917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全部货物安装调试完成并经甲方验收合格后，甲方自收到乙方增值税专用发票</w:t>
      </w:r>
      <w:r>
        <w:rPr>
          <w:rFonts w:hint="eastAsia" w:hAnsi="宋体" w:cs="宋体"/>
          <w:color w:val="auto"/>
          <w:sz w:val="28"/>
          <w:szCs w:val="28"/>
          <w:highlight w:val="none"/>
          <w:lang w:val="en-US" w:eastAsia="zh-CN"/>
        </w:rPr>
        <w:t>30</w:t>
      </w:r>
      <w:r>
        <w:rPr>
          <w:rFonts w:hint="eastAsia" w:hAnsi="宋体" w:cs="宋体"/>
          <w:color w:val="auto"/>
          <w:sz w:val="28"/>
          <w:szCs w:val="28"/>
          <w:highlight w:val="none"/>
        </w:rPr>
        <w:t>个工作日内一次性付清全部合同价款。</w:t>
      </w:r>
    </w:p>
    <w:p w14:paraId="34E522CC">
      <w:pPr>
        <w:pStyle w:val="149"/>
        <w:spacing w:line="360" w:lineRule="auto"/>
        <w:ind w:firstLine="560"/>
        <w:rPr>
          <w:rFonts w:hint="eastAsia" w:hAnsi="宋体" w:cs="宋体"/>
          <w:bCs/>
          <w:color w:val="auto"/>
          <w:sz w:val="28"/>
          <w:szCs w:val="28"/>
          <w:highlight w:val="none"/>
          <w:u w:val="single"/>
        </w:rPr>
      </w:pPr>
      <w:r>
        <w:rPr>
          <w:rFonts w:hint="eastAsia" w:hAnsi="宋体" w:cs="宋体"/>
          <w:color w:val="auto"/>
          <w:sz w:val="28"/>
          <w:szCs w:val="28"/>
          <w:highlight w:val="none"/>
        </w:rPr>
        <w:t xml:space="preserve">注：因中标人发票错误、迟延等问题而导致招标人无法付款的，招标人不承担责任。  </w:t>
      </w:r>
      <w:r>
        <w:rPr>
          <w:rFonts w:hint="eastAsia" w:hAnsi="宋体" w:cs="宋体"/>
          <w:bCs/>
          <w:color w:val="auto"/>
          <w:sz w:val="28"/>
          <w:szCs w:val="28"/>
          <w:highlight w:val="none"/>
          <w:u w:val="single"/>
        </w:rPr>
        <w:t xml:space="preserve">                            </w:t>
      </w:r>
    </w:p>
    <w:p w14:paraId="5574ACE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三、履约保证金</w:t>
      </w:r>
    </w:p>
    <w:p w14:paraId="781AB82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341738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2.乙方全部履约合同义务，经甲方验收合格无质量、进度等问题的，甲方在本项目质保期满后一次性</w:t>
      </w:r>
      <w:r>
        <w:rPr>
          <w:rFonts w:hint="eastAsia" w:hAnsi="宋体" w:cs="宋体"/>
          <w:color w:val="auto"/>
          <w:sz w:val="28"/>
          <w:szCs w:val="28"/>
          <w:highlight w:val="none"/>
          <w:lang w:val="en-US" w:eastAsia="zh-CN"/>
        </w:rPr>
        <w:t>无息</w:t>
      </w:r>
      <w:r>
        <w:rPr>
          <w:rFonts w:hint="eastAsia" w:hAnsi="宋体" w:cs="宋体"/>
          <w:color w:val="auto"/>
          <w:sz w:val="28"/>
          <w:szCs w:val="28"/>
          <w:highlight w:val="none"/>
        </w:rPr>
        <w:t>退还履约保证金，甲方若逾期退还履约保证金的，按照逾期部分的每日0.05%支付违约金；</w:t>
      </w:r>
    </w:p>
    <w:p w14:paraId="79D34DB2">
      <w:pPr>
        <w:pStyle w:val="149"/>
        <w:spacing w:line="360" w:lineRule="auto"/>
        <w:ind w:firstLine="560"/>
        <w:rPr>
          <w:rFonts w:hint="eastAsia" w:hAnsi="宋体" w:cs="宋体"/>
          <w:color w:val="auto"/>
          <w:sz w:val="28"/>
          <w:szCs w:val="28"/>
          <w:highlight w:val="none"/>
        </w:rPr>
      </w:pPr>
      <w:bookmarkStart w:id="107" w:name="_Toc10818"/>
      <w:r>
        <w:rPr>
          <w:rFonts w:hint="eastAsia" w:hAnsi="宋体" w:cs="宋体"/>
          <w:color w:val="auto"/>
          <w:sz w:val="28"/>
          <w:szCs w:val="28"/>
          <w:highlight w:val="none"/>
        </w:rPr>
        <w:t>3.发生以下情况的，履约保证金不予退还或部分退还：</w:t>
      </w:r>
      <w:bookmarkEnd w:id="107"/>
    </w:p>
    <w:p w14:paraId="3A5891B6">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72DACA42">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4E8E295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p>
    <w:p w14:paraId="3ED47653">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四、转包或分包</w:t>
      </w:r>
    </w:p>
    <w:p w14:paraId="77CC1CD3">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4.1本合同范围的货物应由乙方直接供应，不得转让他人供应。</w:t>
      </w:r>
    </w:p>
    <w:p w14:paraId="6C7AC036">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 除非得到甲方的书面同意，乙方不得部分分包给他人供应。</w:t>
      </w:r>
    </w:p>
    <w:p w14:paraId="3C2CD7A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4.3如有转让和未经甲方同意的分包行为，甲方有权给予终止合同。</w:t>
      </w:r>
    </w:p>
    <w:p w14:paraId="1F5AA54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五、技术资料</w:t>
      </w:r>
    </w:p>
    <w:p w14:paraId="738416D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5.1乙方应按招标（采购）文件规定的时间向甲方提供有关使用货物的技术资料。</w:t>
      </w:r>
    </w:p>
    <w:p w14:paraId="2D6D4C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510A0AF">
      <w:pPr>
        <w:pStyle w:val="149"/>
        <w:spacing w:before="120" w:after="120" w:line="360" w:lineRule="auto"/>
        <w:ind w:left="412" w:hanging="412"/>
        <w:rPr>
          <w:rFonts w:hint="eastAsia" w:hAnsi="宋体" w:cs="宋体"/>
          <w:b/>
          <w:color w:val="auto"/>
          <w:sz w:val="28"/>
          <w:szCs w:val="28"/>
          <w:highlight w:val="none"/>
        </w:rPr>
      </w:pPr>
      <w:r>
        <w:rPr>
          <w:rFonts w:hint="eastAsia" w:hAnsi="宋体" w:cs="宋体"/>
          <w:b/>
          <w:color w:val="auto"/>
          <w:sz w:val="28"/>
          <w:szCs w:val="28"/>
          <w:highlight w:val="none"/>
        </w:rPr>
        <w:t>六、知识产权</w:t>
      </w:r>
    </w:p>
    <w:p w14:paraId="79F12BD8">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乙方应保证甲方在使用、接受本合同货物或其任何一部分时不受第三方提出侵犯其专利权、版权、商标权和工业设计权等知识产权的起诉。如发生侵权等争议，乙方负责处理并承担 由此引发的全部责任。</w:t>
      </w:r>
    </w:p>
    <w:p w14:paraId="342BE83E">
      <w:pPr>
        <w:pStyle w:val="149"/>
        <w:spacing w:before="120" w:after="120" w:line="360" w:lineRule="auto"/>
        <w:rPr>
          <w:rFonts w:hint="eastAsia" w:hAnsi="宋体" w:cs="宋体"/>
          <w:color w:val="auto"/>
          <w:sz w:val="28"/>
          <w:szCs w:val="28"/>
          <w:highlight w:val="none"/>
          <w:u w:val="single"/>
        </w:rPr>
      </w:pPr>
      <w:r>
        <w:rPr>
          <w:rFonts w:hint="eastAsia" w:hAnsi="宋体" w:cs="宋体"/>
          <w:b/>
          <w:color w:val="auto"/>
          <w:sz w:val="28"/>
          <w:szCs w:val="28"/>
          <w:highlight w:val="none"/>
        </w:rPr>
        <w:t>七、产权担保</w:t>
      </w:r>
    </w:p>
    <w:p w14:paraId="13796639">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7.1 乙方保证所交付的货物的所有权完全属于乙方且无任何抵押、查封等产权瑕疵。</w:t>
      </w:r>
    </w:p>
    <w:p w14:paraId="3353481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八、质量保修范围和保修期及售后服务</w:t>
      </w:r>
    </w:p>
    <w:p w14:paraId="1D005F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8.1 乙方应按招标文件规定的货物性能、技术要求、质量标准向甲方提供未经使用的全新产品。</w:t>
      </w:r>
    </w:p>
    <w:p w14:paraId="326A50CA">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8.2 在质保期内，乙方应对货物出现的质量及安全问题负责处理解决并承担一切费用。</w:t>
      </w:r>
    </w:p>
    <w:p w14:paraId="33AA355E">
      <w:pPr>
        <w:spacing w:line="360" w:lineRule="auto"/>
        <w:ind w:firstLine="560"/>
        <w:contextualSpacing/>
        <w:rPr>
          <w:rFonts w:hint="eastAsia" w:ascii="宋体" w:hAnsi="宋体" w:cs="Courier New"/>
          <w:color w:val="auto"/>
          <w:sz w:val="28"/>
          <w:szCs w:val="28"/>
          <w:highlight w:val="none"/>
        </w:rPr>
      </w:pPr>
      <w:r>
        <w:rPr>
          <w:rFonts w:hint="eastAsia" w:ascii="宋体" w:hAnsi="宋体"/>
          <w:color w:val="auto"/>
          <w:sz w:val="28"/>
          <w:szCs w:val="28"/>
          <w:highlight w:val="none"/>
        </w:rPr>
        <w:t>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w:t>
      </w:r>
    </w:p>
    <w:p w14:paraId="23CE24C7">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九、项目验收</w:t>
      </w:r>
    </w:p>
    <w:p w14:paraId="3665A0AA">
      <w:pPr>
        <w:spacing w:line="360" w:lineRule="auto"/>
        <w:ind w:firstLine="560"/>
        <w:contextualSpacing/>
        <w:rPr>
          <w:rFonts w:hint="eastAsia" w:ascii="宋体" w:hAnsi="宋体"/>
          <w:color w:val="auto"/>
          <w:sz w:val="28"/>
          <w:szCs w:val="28"/>
          <w:highlight w:val="none"/>
          <w:lang w:val="zh-CN"/>
        </w:rPr>
      </w:pPr>
      <w:bookmarkStart w:id="108" w:name="OLE_LINK1"/>
      <w:bookmarkStart w:id="109" w:name="OLE_LINK2"/>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1乙方</w:t>
      </w:r>
      <w:r>
        <w:rPr>
          <w:rFonts w:hint="eastAsia" w:ascii="宋体" w:hAnsi="宋体"/>
          <w:color w:val="auto"/>
          <w:sz w:val="28"/>
          <w:szCs w:val="28"/>
          <w:highlight w:val="none"/>
          <w:lang w:val="zh-CN"/>
        </w:rPr>
        <w:t>货物送达后，</w:t>
      </w:r>
      <w:r>
        <w:rPr>
          <w:rFonts w:hint="eastAsia" w:ascii="宋体" w:hAnsi="宋体"/>
          <w:color w:val="auto"/>
          <w:sz w:val="28"/>
          <w:szCs w:val="28"/>
          <w:highlight w:val="none"/>
        </w:rPr>
        <w:t>甲</w:t>
      </w:r>
      <w:r>
        <w:rPr>
          <w:rFonts w:hint="eastAsia" w:ascii="宋体" w:hAnsi="宋体"/>
          <w:color w:val="auto"/>
          <w:sz w:val="28"/>
          <w:szCs w:val="28"/>
          <w:highlight w:val="none"/>
          <w:lang w:val="zh-CN"/>
        </w:rPr>
        <w:t>方对其数量、品种、规格、运输保存方式等进行检查验收，如不合格应无条件退货或换货。</w:t>
      </w:r>
    </w:p>
    <w:p w14:paraId="73D1605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9.2乙方须确保所供产品材料的规格及对应品牌与投标文件保持一致，在合同履约过程中不得擅自更换。</w:t>
      </w:r>
    </w:p>
    <w:p w14:paraId="4269C77E">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9.3乙方提供的货物必须达到或优于招标文件“采购清单”技术需求中各项指标参数</w:t>
      </w:r>
    </w:p>
    <w:p w14:paraId="6F16F72D">
      <w:pPr>
        <w:spacing w:line="360" w:lineRule="auto"/>
        <w:ind w:firstLine="560"/>
        <w:contextualSpacing/>
        <w:rPr>
          <w:rFonts w:hint="eastAsia" w:ascii="宋体" w:hAnsi="宋体"/>
          <w:color w:val="auto"/>
          <w:sz w:val="28"/>
          <w:szCs w:val="28"/>
          <w:highlight w:val="none"/>
          <w:lang w:val="zh-CN"/>
        </w:rPr>
      </w:pPr>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4</w:t>
      </w:r>
      <w:r>
        <w:rPr>
          <w:rFonts w:hint="eastAsia" w:ascii="宋体" w:hAnsi="宋体" w:cs="宋体"/>
          <w:color w:val="auto"/>
          <w:sz w:val="28"/>
          <w:szCs w:val="28"/>
          <w:highlight w:val="none"/>
        </w:rPr>
        <w:t>全部货物安装调试</w:t>
      </w:r>
      <w:r>
        <w:rPr>
          <w:rFonts w:hint="eastAsia" w:cs="宋体"/>
          <w:color w:val="auto"/>
          <w:sz w:val="28"/>
          <w:szCs w:val="28"/>
          <w:highlight w:val="none"/>
        </w:rPr>
        <w:t>完毕后</w:t>
      </w:r>
      <w:r>
        <w:rPr>
          <w:rFonts w:hint="eastAsia" w:ascii="宋体" w:hAnsi="宋体"/>
          <w:color w:val="auto"/>
          <w:sz w:val="28"/>
          <w:szCs w:val="28"/>
          <w:highlight w:val="none"/>
          <w:lang w:val="zh-CN"/>
        </w:rPr>
        <w:t>，</w:t>
      </w:r>
      <w:r>
        <w:rPr>
          <w:rFonts w:hint="eastAsia" w:ascii="宋体" w:hAnsi="宋体"/>
          <w:color w:val="auto"/>
          <w:sz w:val="28"/>
          <w:szCs w:val="28"/>
          <w:highlight w:val="none"/>
        </w:rPr>
        <w:t>乙方</w:t>
      </w:r>
      <w:r>
        <w:rPr>
          <w:rFonts w:hint="eastAsia" w:ascii="宋体" w:hAnsi="宋体"/>
          <w:color w:val="auto"/>
          <w:sz w:val="28"/>
          <w:szCs w:val="28"/>
          <w:highlight w:val="none"/>
          <w:lang w:val="zh-CN"/>
        </w:rPr>
        <w:t>向</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提交项目验收技术资料以及终验申请单，</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收到申请后</w:t>
      </w:r>
      <w:r>
        <w:rPr>
          <w:rFonts w:hint="eastAsia" w:ascii="宋体" w:hAnsi="宋体"/>
          <w:color w:val="auto"/>
          <w:sz w:val="28"/>
          <w:szCs w:val="28"/>
          <w:highlight w:val="none"/>
        </w:rPr>
        <w:t>5</w:t>
      </w:r>
      <w:r>
        <w:rPr>
          <w:rFonts w:hint="eastAsia" w:ascii="宋体" w:hAnsi="宋体"/>
          <w:color w:val="auto"/>
          <w:sz w:val="28"/>
          <w:szCs w:val="28"/>
          <w:highlight w:val="none"/>
          <w:lang w:val="zh-CN"/>
        </w:rPr>
        <w:t>个工作日内组织终验且验收无问题后签署终验单。</w:t>
      </w:r>
    </w:p>
    <w:p w14:paraId="5F156159">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9.5质量和环保要求：按国家标准执行，无国家标准的，按行业标准执行；无国家和行业标准的，按甲方标准执行。</w:t>
      </w:r>
      <w:bookmarkEnd w:id="108"/>
      <w:bookmarkEnd w:id="109"/>
    </w:p>
    <w:p w14:paraId="524471AA">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十、安全责任</w:t>
      </w:r>
    </w:p>
    <w:p w14:paraId="26C97AE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10.1乙方须为进场人员购买意外伤害保险。</w:t>
      </w:r>
    </w:p>
    <w:p w14:paraId="1A7C91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10.2乙方</w:t>
      </w:r>
      <w:r>
        <w:rPr>
          <w:rFonts w:ascii="宋体" w:hAnsi="宋体"/>
          <w:color w:val="auto"/>
          <w:sz w:val="28"/>
          <w:szCs w:val="28"/>
          <w:highlight w:val="none"/>
        </w:rPr>
        <w:t>在本项目的</w:t>
      </w:r>
      <w:r>
        <w:rPr>
          <w:rFonts w:hint="eastAsia" w:ascii="宋体" w:hAnsi="宋体"/>
          <w:color w:val="auto"/>
          <w:sz w:val="28"/>
          <w:szCs w:val="28"/>
          <w:highlight w:val="none"/>
        </w:rPr>
        <w:t>交付</w:t>
      </w:r>
      <w:r>
        <w:rPr>
          <w:rFonts w:ascii="宋体" w:hAnsi="宋体"/>
          <w:color w:val="auto"/>
          <w:sz w:val="28"/>
          <w:szCs w:val="28"/>
          <w:highlight w:val="none"/>
        </w:rPr>
        <w:t>过程中，凡出现安全事故，</w:t>
      </w:r>
      <w:r>
        <w:rPr>
          <w:rFonts w:hint="eastAsia" w:ascii="宋体" w:hAnsi="宋体"/>
          <w:color w:val="auto"/>
          <w:sz w:val="28"/>
          <w:szCs w:val="28"/>
          <w:highlight w:val="none"/>
        </w:rPr>
        <w:t>乙方</w:t>
      </w:r>
      <w:r>
        <w:rPr>
          <w:rFonts w:ascii="宋体" w:hAnsi="宋体"/>
          <w:color w:val="auto"/>
          <w:sz w:val="28"/>
          <w:szCs w:val="28"/>
          <w:highlight w:val="none"/>
        </w:rPr>
        <w:t>承担全部法律责任和赔偿全部经济损失。</w:t>
      </w:r>
    </w:p>
    <w:p w14:paraId="37F489A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十一、货物的包装、发运及运输</w:t>
      </w:r>
    </w:p>
    <w:p w14:paraId="3B509D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EC10521">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11.2 使用说明书、质量检验证明书、随配附件和工具以及清单一并附于货物内。</w:t>
      </w:r>
    </w:p>
    <w:p w14:paraId="6DEE7ACF">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11.3 货物在交付甲方前发生的风险均由乙方负责。</w:t>
      </w:r>
    </w:p>
    <w:p w14:paraId="70EA3D6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十二、违约责任</w:t>
      </w:r>
    </w:p>
    <w:p w14:paraId="654268F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乙方逾期交付货物的，乙方应按逾期交货总额每日千分之六向甲方支付违约金，由甲方从待付货款中扣除。逾期超过约定日期10个工作日不能交货的，甲方可解除本合同。 </w:t>
      </w:r>
    </w:p>
    <w:p w14:paraId="3FC1AF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12.2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480922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十三、不可抗力事件处理</w:t>
      </w:r>
    </w:p>
    <w:p w14:paraId="537297A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13.1 在合同有效期内，任何一方因不可抗力事件导致不能履行合同，则合同履行期可延长，其延长期与不可抗力影响期相同。</w:t>
      </w:r>
    </w:p>
    <w:p w14:paraId="6E30230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13.2 不可抗力事件发生后，应立即通知对方。</w:t>
      </w:r>
    </w:p>
    <w:p w14:paraId="47BCA314">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13.3 不可抗力事件延续120天以上，双方应通过友好协商，确定是否继续履行合同。</w:t>
      </w:r>
    </w:p>
    <w:p w14:paraId="2AC90085">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十四、解决争议的方法</w:t>
      </w:r>
    </w:p>
    <w:p w14:paraId="7C25C860">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14.1甲乙双方因合同签订、履行而发生的一切争议，应通过友好协商解决。如协商不成由甲方住所地人民法院管辖。</w:t>
      </w:r>
    </w:p>
    <w:p w14:paraId="508517D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十五、合同生效及其它</w:t>
      </w:r>
    </w:p>
    <w:p w14:paraId="1CEF7A08">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15.1 合同经双方法定代表人或授权委托代表人签字并加盖单位公章后生效。</w:t>
      </w:r>
    </w:p>
    <w:p w14:paraId="2A2934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15.2 本合同正本一式肆份，具有同等法律效力，甲方执叁份、乙方执壹份。</w:t>
      </w:r>
    </w:p>
    <w:p w14:paraId="09DDBF5B">
      <w:pPr>
        <w:spacing w:line="460" w:lineRule="exact"/>
        <w:ind w:left="560" w:hanging="560"/>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1B02BAF6">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52CB2BFC">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57633A5D">
      <w:pPr>
        <w:spacing w:line="460" w:lineRule="exact"/>
        <w:ind w:firstLine="280"/>
        <w:contextualSpacing/>
        <w:rPr>
          <w:rFonts w:hint="eastAsia"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14C2D722">
      <w:pPr>
        <w:spacing w:line="460" w:lineRule="exact"/>
        <w:ind w:right="960" w:firstLine="280"/>
        <w:contextualSpacing/>
        <w:rPr>
          <w:rFonts w:hint="eastAsia"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11C3E28F">
      <w:pPr>
        <w:spacing w:line="460" w:lineRule="exact"/>
        <w:jc w:val="left"/>
        <w:rPr>
          <w:rFonts w:hint="eastAsia" w:ascii="宋体" w:hAnsi="宋体" w:cs="宋体"/>
          <w:bCs/>
          <w:color w:val="auto"/>
          <w:sz w:val="24"/>
          <w:highlight w:val="none"/>
        </w:rPr>
      </w:pPr>
    </w:p>
    <w:p w14:paraId="22D74C10">
      <w:pPr>
        <w:pStyle w:val="45"/>
        <w:rPr>
          <w:rFonts w:ascii="宋体" w:hAnsi="宋体" w:cs="宋体"/>
          <w:color w:val="auto"/>
          <w:highlight w:val="none"/>
        </w:rPr>
      </w:pPr>
      <w:r>
        <w:rPr>
          <w:rFonts w:ascii="宋体" w:hAnsi="宋体" w:cs="宋体"/>
          <w:bCs/>
          <w:color w:val="auto"/>
          <w:highlight w:val="none"/>
        </w:rPr>
        <w:br w:type="page"/>
      </w:r>
    </w:p>
    <w:p w14:paraId="388DB98F">
      <w:pPr>
        <w:spacing w:line="500" w:lineRule="exact"/>
        <w:contextualSpacing/>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第四部分  开标和评标</w:t>
      </w:r>
    </w:p>
    <w:p w14:paraId="3014822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p>
    <w:p w14:paraId="1DD319B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468F719A">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08060A26">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6AC008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6406A5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DFF63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98962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269250E9">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（一）招标人（代表）对投标人资格进行审查。</w:t>
      </w:r>
    </w:p>
    <w:p w14:paraId="5636B59D">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BE22001">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7CF28347">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未通过符合性审查的投标文件，将被判定为不满足招标文件实质性要求。 </w:t>
      </w:r>
    </w:p>
    <w:p w14:paraId="7EA32E7B">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：60分</w:t>
      </w:r>
    </w:p>
    <w:p w14:paraId="553B0FE8">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5350" w:type="pct"/>
        <w:tblInd w:w="-2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42"/>
        <w:gridCol w:w="4575"/>
        <w:gridCol w:w="796"/>
        <w:gridCol w:w="909"/>
        <w:gridCol w:w="1019"/>
      </w:tblGrid>
      <w:tr w14:paraId="64BB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375" w:type="pct"/>
            <w:vAlign w:val="center"/>
          </w:tcPr>
          <w:p w14:paraId="55DE0E6C">
            <w:pPr>
              <w:spacing w:line="360" w:lineRule="auto"/>
              <w:jc w:val="center"/>
              <w:rPr>
                <w:b/>
                <w:bCs/>
                <w:color w:val="auto"/>
                <w:sz w:val="24"/>
                <w:highlight w:val="none"/>
              </w:rPr>
            </w:pPr>
            <w:r>
              <w:rPr>
                <w:rFonts w:hint="eastAsia"/>
                <w:b/>
                <w:bCs/>
                <w:color w:val="auto"/>
                <w:sz w:val="24"/>
                <w:highlight w:val="none"/>
              </w:rPr>
              <w:t>序号</w:t>
            </w:r>
          </w:p>
        </w:tc>
        <w:tc>
          <w:tcPr>
            <w:tcW w:w="626" w:type="pct"/>
            <w:vAlign w:val="center"/>
          </w:tcPr>
          <w:p w14:paraId="42DC2897">
            <w:pPr>
              <w:spacing w:line="360" w:lineRule="auto"/>
              <w:jc w:val="center"/>
              <w:rPr>
                <w:b/>
                <w:bCs/>
                <w:color w:val="auto"/>
                <w:sz w:val="24"/>
                <w:highlight w:val="none"/>
              </w:rPr>
            </w:pPr>
            <w:r>
              <w:rPr>
                <w:rFonts w:hint="eastAsia"/>
                <w:b/>
                <w:bCs/>
                <w:color w:val="auto"/>
                <w:sz w:val="24"/>
                <w:highlight w:val="none"/>
              </w:rPr>
              <w:t>评审</w:t>
            </w:r>
          </w:p>
          <w:p w14:paraId="130DFD27">
            <w:pPr>
              <w:spacing w:line="360" w:lineRule="auto"/>
              <w:jc w:val="center"/>
              <w:rPr>
                <w:b/>
                <w:bCs/>
                <w:color w:val="auto"/>
                <w:sz w:val="24"/>
                <w:highlight w:val="none"/>
              </w:rPr>
            </w:pPr>
            <w:r>
              <w:rPr>
                <w:rFonts w:hint="eastAsia"/>
                <w:b/>
                <w:bCs/>
                <w:color w:val="auto"/>
                <w:sz w:val="24"/>
                <w:highlight w:val="none"/>
              </w:rPr>
              <w:t>内容</w:t>
            </w:r>
          </w:p>
        </w:tc>
        <w:tc>
          <w:tcPr>
            <w:tcW w:w="2507" w:type="pct"/>
            <w:vAlign w:val="center"/>
          </w:tcPr>
          <w:p w14:paraId="1AB581E9">
            <w:pPr>
              <w:spacing w:line="360" w:lineRule="auto"/>
              <w:jc w:val="center"/>
              <w:rPr>
                <w:b/>
                <w:bCs/>
                <w:color w:val="auto"/>
                <w:sz w:val="24"/>
                <w:highlight w:val="none"/>
              </w:rPr>
            </w:pPr>
            <w:r>
              <w:rPr>
                <w:rFonts w:hint="eastAsia"/>
                <w:b/>
                <w:bCs/>
                <w:color w:val="auto"/>
                <w:sz w:val="24"/>
                <w:highlight w:val="none"/>
              </w:rPr>
              <w:t>评审标准</w:t>
            </w:r>
          </w:p>
        </w:tc>
        <w:tc>
          <w:tcPr>
            <w:tcW w:w="436" w:type="pct"/>
            <w:vAlign w:val="center"/>
          </w:tcPr>
          <w:p w14:paraId="404578B9">
            <w:pPr>
              <w:spacing w:line="360" w:lineRule="auto"/>
              <w:jc w:val="center"/>
              <w:rPr>
                <w:b/>
                <w:bCs/>
                <w:color w:val="auto"/>
                <w:sz w:val="24"/>
                <w:highlight w:val="none"/>
              </w:rPr>
            </w:pPr>
            <w:r>
              <w:rPr>
                <w:rFonts w:hint="eastAsia"/>
                <w:b/>
                <w:bCs/>
                <w:color w:val="auto"/>
                <w:sz w:val="24"/>
                <w:highlight w:val="none"/>
              </w:rPr>
              <w:t>最高分</w:t>
            </w:r>
          </w:p>
        </w:tc>
        <w:tc>
          <w:tcPr>
            <w:tcW w:w="498" w:type="pct"/>
            <w:vAlign w:val="center"/>
          </w:tcPr>
          <w:p w14:paraId="44352A12">
            <w:pPr>
              <w:spacing w:line="360" w:lineRule="auto"/>
              <w:jc w:val="center"/>
              <w:rPr>
                <w:b/>
                <w:bCs/>
                <w:color w:val="auto"/>
                <w:sz w:val="24"/>
                <w:highlight w:val="none"/>
              </w:rPr>
            </w:pPr>
            <w:r>
              <w:rPr>
                <w:rFonts w:hint="eastAsia"/>
                <w:b/>
                <w:bCs/>
                <w:color w:val="auto"/>
                <w:sz w:val="24"/>
                <w:highlight w:val="none"/>
              </w:rPr>
              <w:t>最低分</w:t>
            </w:r>
          </w:p>
        </w:tc>
        <w:tc>
          <w:tcPr>
            <w:tcW w:w="558" w:type="pct"/>
            <w:vAlign w:val="center"/>
          </w:tcPr>
          <w:p w14:paraId="469BDEB6">
            <w:pPr>
              <w:spacing w:line="360" w:lineRule="auto"/>
              <w:jc w:val="center"/>
              <w:rPr>
                <w:b/>
                <w:bCs/>
                <w:color w:val="auto"/>
                <w:sz w:val="24"/>
                <w:highlight w:val="none"/>
              </w:rPr>
            </w:pPr>
            <w:r>
              <w:rPr>
                <w:rFonts w:hint="eastAsia"/>
                <w:b/>
                <w:bCs/>
                <w:color w:val="auto"/>
                <w:sz w:val="24"/>
                <w:highlight w:val="none"/>
              </w:rPr>
              <w:t>主/客观分</w:t>
            </w:r>
          </w:p>
        </w:tc>
      </w:tr>
      <w:tr w14:paraId="564F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14:paraId="14DC603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626" w:type="pct"/>
            <w:vAlign w:val="center"/>
          </w:tcPr>
          <w:p w14:paraId="656357B2">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技术参数响应</w:t>
            </w:r>
          </w:p>
        </w:tc>
        <w:tc>
          <w:tcPr>
            <w:tcW w:w="2507" w:type="pct"/>
            <w:vAlign w:val="center"/>
          </w:tcPr>
          <w:p w14:paraId="2F283955">
            <w:pPr>
              <w:pStyle w:val="86"/>
              <w:widowControl/>
              <w:shd w:val="clear" w:color="auto" w:fill="FFFFFF"/>
              <w:spacing w:line="460" w:lineRule="exact"/>
              <w:ind w:firstLine="562"/>
              <w:jc w:val="left"/>
              <w:outlineLvl w:val="3"/>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根据各投标人所投产品质量性能、技术参数和对招标文件第三部分项目需求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三、技术要求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中技术参数细项要求的逐项响应由评标小组进行评审：</w:t>
            </w:r>
          </w:p>
          <w:p w14:paraId="352C3A69">
            <w:pPr>
              <w:pStyle w:val="86"/>
              <w:widowControl/>
              <w:shd w:val="clear" w:color="auto" w:fill="FFFFFF"/>
              <w:spacing w:line="460" w:lineRule="exact"/>
              <w:ind w:firstLine="562"/>
              <w:jc w:val="left"/>
              <w:outlineLvl w:val="3"/>
              <w:rPr>
                <w:rFonts w:hint="eastAsia" w:ascii="宋体" w:hAnsi="宋体" w:cs="宋体"/>
                <w:color w:val="auto"/>
                <w:sz w:val="24"/>
                <w:highlight w:val="none"/>
              </w:rPr>
            </w:pPr>
            <w:r>
              <w:rPr>
                <w:rFonts w:hint="eastAsia" w:ascii="宋体" w:hAnsi="宋体" w:eastAsia="宋体" w:cs="宋体"/>
                <w:color w:val="auto"/>
                <w:sz w:val="24"/>
                <w:highlight w:val="none"/>
              </w:rPr>
              <w:t>（1）所投产品全部满</w:t>
            </w:r>
            <w:r>
              <w:rPr>
                <w:rFonts w:hint="eastAsia" w:ascii="宋体" w:hAnsi="宋体" w:cs="宋体"/>
                <w:color w:val="auto"/>
                <w:sz w:val="24"/>
                <w:highlight w:val="none"/>
              </w:rPr>
              <w:t>足或优于招标文件技术参数要求的得12分。</w:t>
            </w:r>
          </w:p>
          <w:p w14:paraId="7CC9A163">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（2）对招标技术参数响应进行评审，其中每一项负偏离扣1分，12分扣完为止。</w:t>
            </w:r>
          </w:p>
        </w:tc>
        <w:tc>
          <w:tcPr>
            <w:tcW w:w="436" w:type="pct"/>
            <w:vAlign w:val="center"/>
          </w:tcPr>
          <w:p w14:paraId="5E414B9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09FE17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3D8916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4ED7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75" w:type="pct"/>
            <w:vAlign w:val="center"/>
          </w:tcPr>
          <w:p w14:paraId="48232A0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626" w:type="pct"/>
            <w:vAlign w:val="center"/>
          </w:tcPr>
          <w:p w14:paraId="080FB0E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投标人业绩</w:t>
            </w:r>
          </w:p>
        </w:tc>
        <w:tc>
          <w:tcPr>
            <w:tcW w:w="2507" w:type="pct"/>
            <w:vAlign w:val="center"/>
          </w:tcPr>
          <w:p w14:paraId="5D01378C">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2022年1 月1 日以来（以合同签订时间为准）投标人具有田径场高杆灯或体育馆场馆照明或高杆路灯业绩的，每有一例业绩得 3 分，最高得12 分。</w:t>
            </w:r>
          </w:p>
          <w:p w14:paraId="12BCDC37">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注：每个业绩须同时提供项目中标通知书、合同、结算发票、项目验收合格材料复印件，不全不得分。</w:t>
            </w:r>
          </w:p>
        </w:tc>
        <w:tc>
          <w:tcPr>
            <w:tcW w:w="436" w:type="pct"/>
            <w:vAlign w:val="center"/>
          </w:tcPr>
          <w:p w14:paraId="7258E21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56E6DB2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17273F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24A1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75" w:type="pct"/>
            <w:vAlign w:val="center"/>
          </w:tcPr>
          <w:p w14:paraId="380F573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626" w:type="pct"/>
            <w:vAlign w:val="center"/>
          </w:tcPr>
          <w:p w14:paraId="3F92DA43">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相关认证</w:t>
            </w:r>
          </w:p>
        </w:tc>
        <w:tc>
          <w:tcPr>
            <w:tcW w:w="2507" w:type="pct"/>
            <w:vAlign w:val="center"/>
          </w:tcPr>
          <w:p w14:paraId="7FCC160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投标人具有经中国国家认证认可监督管理委员会认证机构颁发的：</w:t>
            </w:r>
          </w:p>
          <w:p w14:paraId="5375F4A4">
            <w:pPr>
              <w:spacing w:line="440" w:lineRule="exact"/>
              <w:rPr>
                <w:rFonts w:hint="eastAsia" w:ascii="宋体" w:hAnsi="宋体" w:cs="宋体"/>
                <w:color w:val="auto"/>
                <w:sz w:val="24"/>
                <w:highlight w:val="none"/>
              </w:rPr>
            </w:pPr>
            <w:r>
              <w:rPr>
                <w:rFonts w:hint="eastAsia" w:ascii="宋体" w:hAnsi="宋体" w:cs="宋体"/>
                <w:color w:val="auto"/>
                <w:sz w:val="24"/>
                <w:highlight w:val="none"/>
              </w:rPr>
              <w:t>（1）质量管理体系认证证书的，得1 分；</w:t>
            </w:r>
          </w:p>
          <w:p w14:paraId="6F371935">
            <w:pPr>
              <w:spacing w:line="440" w:lineRule="exact"/>
              <w:rPr>
                <w:rFonts w:hint="eastAsia" w:ascii="宋体" w:hAnsi="宋体" w:cs="宋体"/>
                <w:color w:val="auto"/>
                <w:sz w:val="24"/>
                <w:highlight w:val="none"/>
              </w:rPr>
            </w:pPr>
            <w:r>
              <w:rPr>
                <w:rFonts w:hint="eastAsia" w:ascii="宋体" w:hAnsi="宋体" w:cs="宋体"/>
                <w:color w:val="auto"/>
                <w:sz w:val="24"/>
                <w:highlight w:val="none"/>
              </w:rPr>
              <w:t>（2）环境管理体系认证证书的，得1 分；</w:t>
            </w:r>
          </w:p>
          <w:p w14:paraId="2FCEFA18">
            <w:pPr>
              <w:spacing w:line="440" w:lineRule="exact"/>
              <w:rPr>
                <w:rFonts w:hint="eastAsia" w:ascii="宋体" w:hAnsi="宋体" w:cs="宋体"/>
                <w:color w:val="auto"/>
                <w:sz w:val="24"/>
                <w:highlight w:val="none"/>
              </w:rPr>
            </w:pPr>
            <w:r>
              <w:rPr>
                <w:rFonts w:hint="eastAsia" w:ascii="宋体" w:hAnsi="宋体" w:cs="宋体"/>
                <w:color w:val="auto"/>
                <w:sz w:val="24"/>
                <w:highlight w:val="none"/>
              </w:rPr>
              <w:t>（3）职业健康安全管理体系认证证书的，得1 分；</w:t>
            </w:r>
          </w:p>
          <w:p w14:paraId="325D3DAA">
            <w:pPr>
              <w:spacing w:line="440" w:lineRule="exact"/>
              <w:rPr>
                <w:rFonts w:hint="eastAsia" w:ascii="宋体" w:hAnsi="宋体" w:cs="宋体"/>
                <w:color w:val="auto"/>
                <w:sz w:val="28"/>
                <w:szCs w:val="28"/>
                <w:highlight w:val="none"/>
              </w:rPr>
            </w:pPr>
            <w:r>
              <w:rPr>
                <w:rFonts w:hint="eastAsia" w:ascii="宋体" w:hAnsi="宋体" w:cs="宋体"/>
                <w:color w:val="auto"/>
                <w:sz w:val="24"/>
                <w:highlight w:val="none"/>
              </w:rPr>
              <w:t>注：提供相关证书复印件并加盖公章，否则不得分。</w:t>
            </w:r>
          </w:p>
        </w:tc>
        <w:tc>
          <w:tcPr>
            <w:tcW w:w="436" w:type="pct"/>
            <w:vAlign w:val="center"/>
          </w:tcPr>
          <w:p w14:paraId="3E137F8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0D0FE63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35FF77B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30FD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F7F65F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626" w:type="pct"/>
            <w:vAlign w:val="center"/>
          </w:tcPr>
          <w:p w14:paraId="3578DC0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供货安装（调试）方案</w:t>
            </w:r>
          </w:p>
        </w:tc>
        <w:tc>
          <w:tcPr>
            <w:tcW w:w="2507" w:type="pct"/>
            <w:vAlign w:val="center"/>
          </w:tcPr>
          <w:p w14:paraId="789CC93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评标委员会根据投标人提供的针对本项目的供货安装（调试）方案进行综合评分，内容包括但不限于供货计划安排、安装周期计划及安装技术实力等：</w:t>
            </w:r>
          </w:p>
          <w:p w14:paraId="31DFF4F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（1）方案完整详细，可行性、实用性、针对性强，得 5 分； </w:t>
            </w:r>
          </w:p>
          <w:p w14:paraId="77C53AD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（2）方案完整详细，具有可行性、实用性和针对性，得 3 分；</w:t>
            </w:r>
          </w:p>
          <w:p w14:paraId="646F09CB">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（3）方案可行性、实用性、针对性有待改善，得 1 分；</w:t>
            </w:r>
          </w:p>
          <w:p w14:paraId="12D799E0">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（4）方案不可行或者未提供相关内容得0分。</w:t>
            </w:r>
          </w:p>
        </w:tc>
        <w:tc>
          <w:tcPr>
            <w:tcW w:w="436" w:type="pct"/>
            <w:vAlign w:val="center"/>
          </w:tcPr>
          <w:p w14:paraId="7436D3C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6677C5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B1A09F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7186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006804A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26" w:type="pct"/>
            <w:vAlign w:val="center"/>
          </w:tcPr>
          <w:p w14:paraId="31862A5E">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组织人员安排</w:t>
            </w:r>
          </w:p>
        </w:tc>
        <w:tc>
          <w:tcPr>
            <w:tcW w:w="2507" w:type="pct"/>
            <w:vAlign w:val="center"/>
          </w:tcPr>
          <w:p w14:paraId="0314337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评标委员会根据投标人提供的工程组织人员安排进行综合评分，内容包括各专业安排，专业技术人员构成等方面：</w:t>
            </w:r>
          </w:p>
          <w:p w14:paraId="3908146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（1）对本项目特点和难点理解准确，工程组织安排人员安排方案完整详细，优于本项目采购需求，可行性、实用性、针对性强，得5 分；</w:t>
            </w:r>
          </w:p>
          <w:p w14:paraId="0602C28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（2）对本项目特点和难点理解基本准确，工程组织人员安排方案完整，适合本项目采购需求，具有可行性、实用性、针对性，得3 分；</w:t>
            </w:r>
          </w:p>
          <w:p w14:paraId="32ECA39C">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(3)对本项目特点和难点理解有待提升，工程组织人员安排方案有待完善，基本适合本项目采购需求，可行性、实用性、针对性有待改善，得 1 分；</w:t>
            </w:r>
          </w:p>
          <w:p w14:paraId="3B4D5BDB">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(4)未提供相关内容得 0 分。</w:t>
            </w:r>
          </w:p>
        </w:tc>
        <w:tc>
          <w:tcPr>
            <w:tcW w:w="436" w:type="pct"/>
            <w:vAlign w:val="center"/>
          </w:tcPr>
          <w:p w14:paraId="21C9C5A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54AFD95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931408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03CC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202B77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626" w:type="pct"/>
            <w:vAlign w:val="center"/>
          </w:tcPr>
          <w:p w14:paraId="4D45613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质量保证措施</w:t>
            </w:r>
          </w:p>
        </w:tc>
        <w:tc>
          <w:tcPr>
            <w:tcW w:w="2507" w:type="pct"/>
            <w:vAlign w:val="center"/>
          </w:tcPr>
          <w:p w14:paraId="79AF6706">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评标委员会根据投标人提供的工程质量保证措施进行综合评分，包括但不限于施工质量保证措施，管理体系，管理制度等：</w:t>
            </w:r>
          </w:p>
          <w:p w14:paraId="59104E89">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(1)施工质量保证措施完整详细，可行性、实用性、针对性强，得 5 分；</w:t>
            </w:r>
          </w:p>
          <w:p w14:paraId="61A1B343">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(2)施工质量保证措施完整，具有可行性、实用性、针对性，得 3 分；</w:t>
            </w:r>
          </w:p>
          <w:p w14:paraId="1366F4D9">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(3)施工质量保证措施有待提升，可行性、实用性、针对性有待改善，得 1 分；   (4)措施不可行或者未提供相关内容得0 分。</w:t>
            </w:r>
          </w:p>
        </w:tc>
        <w:tc>
          <w:tcPr>
            <w:tcW w:w="436" w:type="pct"/>
            <w:vAlign w:val="center"/>
          </w:tcPr>
          <w:p w14:paraId="6FCBE4B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C1185E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74A2D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4D8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47B4E12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626" w:type="pct"/>
            <w:vAlign w:val="center"/>
          </w:tcPr>
          <w:p w14:paraId="012F3DF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进度保证措施</w:t>
            </w:r>
          </w:p>
        </w:tc>
        <w:tc>
          <w:tcPr>
            <w:tcW w:w="2507" w:type="pct"/>
            <w:vAlign w:val="center"/>
          </w:tcPr>
          <w:p w14:paraId="0C68CC34">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评标委员会根据投标人提供的工程进度保证措施进行综合评分，包括但不限于设计周期安排、各专业安排、衔接关系、计划图表编制、保障措施等：</w:t>
            </w:r>
          </w:p>
          <w:p w14:paraId="2B6EA575">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(1)施工进度保证措施完整详细，可行性、实用性、针对性强，得 5 分；</w:t>
            </w:r>
          </w:p>
          <w:p w14:paraId="4ECE522E">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(2)施工进度保证措施完整，具有可行性、实用性、针对性，得 3 分；</w:t>
            </w:r>
          </w:p>
          <w:p w14:paraId="5C339AA5">
            <w:pPr>
              <w:tabs>
                <w:tab w:val="left" w:pos="945"/>
                <w:tab w:val="left" w:pos="1155"/>
              </w:tabs>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(3)施工进度保证措施有待提升，可行性、实用性、针对性有待改善，得 1 分；  (4)措施不可行或者未提供相关内容得0 分。</w:t>
            </w:r>
          </w:p>
        </w:tc>
        <w:tc>
          <w:tcPr>
            <w:tcW w:w="436" w:type="pct"/>
            <w:vAlign w:val="center"/>
          </w:tcPr>
          <w:p w14:paraId="42C08BB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6FBC311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21B4EC4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4750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DF7752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626" w:type="pct"/>
            <w:vAlign w:val="center"/>
          </w:tcPr>
          <w:p w14:paraId="195554C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安全管理措施</w:t>
            </w:r>
          </w:p>
        </w:tc>
        <w:tc>
          <w:tcPr>
            <w:tcW w:w="2507" w:type="pct"/>
            <w:vAlign w:val="center"/>
          </w:tcPr>
          <w:p w14:paraId="79A1E50D">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评标委员会根据投标人提供的本项目工程施工安全保障、监督管理措施、技术支持、施工过程配合、控制工程失误等安全管理措施进行综合评分：</w:t>
            </w:r>
          </w:p>
          <w:p w14:paraId="52DD1B9B">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(1)对本项目特点和难点理解准确，安全管理措施完整详细，可行性、实用性、针对性强，得 5 分；</w:t>
            </w:r>
          </w:p>
          <w:p w14:paraId="0778FB21">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(2)对本项目特点和难点理解基本准确，安全管理措施完整，具有可行性、实用性、针对性，得 3 分；</w:t>
            </w:r>
          </w:p>
          <w:p w14:paraId="4746D118">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(3)对本项目特点和难点理解有待提升，安全管理措施可行性、实用性、针对性有待改善，得 1 分；</w:t>
            </w:r>
          </w:p>
          <w:p w14:paraId="02D050BA">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(4)措施不可行或者未提供相关内容得0 分。</w:t>
            </w:r>
          </w:p>
        </w:tc>
        <w:tc>
          <w:tcPr>
            <w:tcW w:w="436" w:type="pct"/>
            <w:vAlign w:val="center"/>
          </w:tcPr>
          <w:p w14:paraId="0CB59C3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2E3740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18BDE03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174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2343C1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626" w:type="pct"/>
            <w:vAlign w:val="center"/>
          </w:tcPr>
          <w:p w14:paraId="58F2600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售后服务方案</w:t>
            </w:r>
          </w:p>
        </w:tc>
        <w:tc>
          <w:tcPr>
            <w:tcW w:w="2507" w:type="pct"/>
            <w:vAlign w:val="center"/>
          </w:tcPr>
          <w:p w14:paraId="45872FF7">
            <w:pPr>
              <w:adjustRightInd w:val="0"/>
              <w:snapToGrid w:val="0"/>
              <w:spacing w:line="0" w:lineRule="atLeast"/>
              <w:rPr>
                <w:rFonts w:hint="eastAsia" w:cs="仿宋_GB2312"/>
                <w:color w:val="auto"/>
                <w:sz w:val="24"/>
                <w:highlight w:val="none"/>
              </w:rPr>
            </w:pPr>
            <w:r>
              <w:rPr>
                <w:rFonts w:hint="eastAsia" w:ascii="宋体" w:hAnsi="宋体" w:cs="宋体"/>
                <w:color w:val="auto"/>
                <w:sz w:val="24"/>
                <w:highlight w:val="none"/>
              </w:rPr>
              <w:t>评标委员会</w:t>
            </w:r>
            <w:r>
              <w:rPr>
                <w:rFonts w:hint="eastAsia" w:cs="仿宋_GB2312"/>
                <w:color w:val="auto"/>
                <w:sz w:val="24"/>
                <w:highlight w:val="none"/>
              </w:rPr>
              <w:t>根据投标人提供的售后服务方案进行综合评审，方案内容应详实、科学合理，售后服务响应时间，售后服务人员配备充足、本地化易损件储备能满足项目后期的维保需要，质保期内如采购人有培训或赛事要求，需安排专业技术人员做好保障工作等</w:t>
            </w:r>
          </w:p>
          <w:p w14:paraId="22335997">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（1）售后服务措施详尽、维修响应时间及时、备件供应保障充足、人员售后配置详细、远程报修服务方案全面、实时维修统计详尽，能保障采购人获得高质量售后服务的，得 5分； </w:t>
            </w:r>
          </w:p>
          <w:p w14:paraId="2700CBBA">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（2）售后服务措施完整、维修响应时间及时、具有备件供应保障措施、配置售后人员、具有远程报修服务的，得 3 分； </w:t>
            </w:r>
          </w:p>
          <w:p w14:paraId="64945830">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（3）售后服务措施、维修响应时间、备件供应保障、配置售后人员、远程报修服务措施不全或存在不足的，得 1分； </w:t>
            </w:r>
          </w:p>
          <w:p w14:paraId="6793654E">
            <w:pPr>
              <w:tabs>
                <w:tab w:val="left" w:pos="945"/>
                <w:tab w:val="left" w:pos="1155"/>
              </w:tabs>
              <w:spacing w:line="440" w:lineRule="exact"/>
              <w:rPr>
                <w:rFonts w:hint="eastAsia" w:ascii="宋体" w:hAnsi="宋体" w:cs="宋体"/>
                <w:color w:val="auto"/>
                <w:sz w:val="24"/>
                <w:highlight w:val="none"/>
              </w:rPr>
            </w:pPr>
            <w:r>
              <w:rPr>
                <w:rFonts w:hint="eastAsia" w:cs="仿宋_GB2312"/>
                <w:color w:val="auto"/>
                <w:sz w:val="24"/>
                <w:highlight w:val="none"/>
              </w:rPr>
              <w:t>（4）方案不能满足项目要求或未提供的不得分。</w:t>
            </w:r>
          </w:p>
        </w:tc>
        <w:tc>
          <w:tcPr>
            <w:tcW w:w="436" w:type="pct"/>
            <w:vAlign w:val="center"/>
          </w:tcPr>
          <w:p w14:paraId="1CA25F1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1C25E11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4385DD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653D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0FD6B3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626" w:type="pct"/>
            <w:vAlign w:val="center"/>
          </w:tcPr>
          <w:p w14:paraId="4507EE6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质保期</w:t>
            </w:r>
          </w:p>
        </w:tc>
        <w:tc>
          <w:tcPr>
            <w:tcW w:w="2507" w:type="pct"/>
            <w:vAlign w:val="center"/>
          </w:tcPr>
          <w:p w14:paraId="16466559">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本项目免费质保期为五年，</w:t>
            </w:r>
            <w:r>
              <w:rPr>
                <w:rFonts w:hint="eastAsia" w:ascii="Times New Roman" w:hAnsi="Times New Roman" w:eastAsia="宋体" w:cs="仿宋_GB2312"/>
                <w:color w:val="auto"/>
                <w:sz w:val="24"/>
                <w:highlight w:val="none"/>
                <w:lang w:eastAsia="zh-CN"/>
              </w:rPr>
              <w:t>再此基础上</w:t>
            </w:r>
            <w:r>
              <w:rPr>
                <w:rFonts w:hint="eastAsia" w:ascii="Times New Roman" w:hAnsi="Times New Roman" w:eastAsia="宋体" w:cs="仿宋_GB2312"/>
                <w:color w:val="auto"/>
                <w:sz w:val="24"/>
                <w:highlight w:val="none"/>
              </w:rPr>
              <w:t>质保期每增加一年得1分，本项最高得3分。</w:t>
            </w:r>
          </w:p>
          <w:p w14:paraId="30BDE602">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投标时由投标人提供承诺函加盖投标公章(格式自拟)，承诺事项至少包括</w:t>
            </w:r>
            <w:r>
              <w:rPr>
                <w:rFonts w:hint="default" w:ascii="Calibri" w:hAnsi="Calibri" w:cs="Calibri"/>
                <w:color w:val="auto"/>
                <w:sz w:val="24"/>
                <w:highlight w:val="none"/>
                <w:lang w:val="en-US" w:eastAsia="zh-CN"/>
              </w:rPr>
              <w:t>①</w:t>
            </w:r>
            <w:r>
              <w:rPr>
                <w:rFonts w:hint="eastAsia" w:ascii="Times New Roman" w:hAnsi="Times New Roman" w:eastAsia="宋体" w:cs="仿宋_GB2312"/>
                <w:color w:val="auto"/>
                <w:sz w:val="24"/>
                <w:highlight w:val="none"/>
              </w:rPr>
              <w:t>质保年限，</w:t>
            </w:r>
            <w:r>
              <w:rPr>
                <w:rFonts w:hint="default" w:ascii="Calibri" w:hAnsi="Calibri" w:eastAsia="宋体" w:cs="Calibri"/>
                <w:color w:val="auto"/>
                <w:sz w:val="24"/>
                <w:highlight w:val="none"/>
              </w:rPr>
              <w:t>②</w:t>
            </w:r>
            <w:r>
              <w:rPr>
                <w:rFonts w:hint="eastAsia" w:ascii="Times New Roman" w:hAnsi="Times New Roman" w:eastAsia="宋体" w:cs="仿宋_GB2312"/>
                <w:color w:val="auto"/>
                <w:sz w:val="24"/>
                <w:highlight w:val="none"/>
              </w:rPr>
              <w:t>中标后合同签订前提供"灯具厂家和灯杆厂家针对本项目满足承诺年限的原厂盖章质保承诺函。未提供或提供不满足要求均不得分。</w:t>
            </w:r>
          </w:p>
          <w:p w14:paraId="16DBD9AF">
            <w:pPr>
              <w:adjustRightInd w:val="0"/>
              <w:snapToGrid w:val="0"/>
              <w:spacing w:line="0" w:lineRule="atLeast"/>
              <w:ind w:firstLine="480" w:firstLineChars="200"/>
              <w:rPr>
                <w:rFonts w:hint="default" w:eastAsia="宋体" w:cs="仿宋_GB2312"/>
                <w:color w:val="auto"/>
                <w:sz w:val="24"/>
                <w:highlight w:val="none"/>
                <w:lang w:val="en-US" w:eastAsia="zh-CN"/>
              </w:rPr>
            </w:pPr>
            <w:r>
              <w:rPr>
                <w:rFonts w:hint="eastAsia" w:ascii="Times New Roman" w:hAnsi="Times New Roman" w:eastAsia="宋体" w:cs="仿宋_GB2312"/>
                <w:color w:val="auto"/>
                <w:sz w:val="24"/>
                <w:highlight w:val="none"/>
              </w:rPr>
              <w:t>中标后，在签订合同前出具灯具厂家和灯杆厂家针对本项目的原厂质保承诺函原件(加盖原厂家和投标人公章)，作为合同附件。</w:t>
            </w:r>
          </w:p>
        </w:tc>
        <w:tc>
          <w:tcPr>
            <w:tcW w:w="436" w:type="pct"/>
            <w:vAlign w:val="center"/>
          </w:tcPr>
          <w:p w14:paraId="29FCE86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666BA58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ABA39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bl>
    <w:p w14:paraId="61A8B342">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bidi="ar"/>
        </w:rPr>
        <w:t>40分</w:t>
      </w:r>
    </w:p>
    <w:p w14:paraId="1FF1D9B9">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1C3A5385">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投标报价得分=（评标基准价/投标报价）×40</w:t>
      </w:r>
    </w:p>
    <w:p w14:paraId="04A2C978">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7417C4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ED0CC4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招标人委托评标委员会直接确定排名第一的中标候选人为中标人。</w:t>
      </w:r>
    </w:p>
    <w:p w14:paraId="3B3991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中标人无故弃标，或者因其自身原因不再具备成交资格等，招标人可以按照评审委员会评审结果，按综合得分从高向低排序，由其他成交候选人递补，或重新组织采购。</w:t>
      </w:r>
    </w:p>
    <w:p w14:paraId="2A913B7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（六）招标人代表宣布评标结果。</w:t>
      </w:r>
    </w:p>
    <w:p w14:paraId="20A41AE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52A7F5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自确定中标人之日起2个工作日内，在南通职业大学网站公告中标结果，公告期限为1个工作日。</w:t>
      </w:r>
    </w:p>
    <w:p w14:paraId="10900E1B">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0179EE1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3DAF9863">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1475D20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07062C9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当排名第一的中标候选人无正当理由放弃中标，被查实存在影响中标结果的违法行为等情形，招标人有权按照采购相关法律法规的规定对其采取惩戒措施，包含但不限于列入采购失信人黑名单等措施。</w:t>
      </w:r>
    </w:p>
    <w:p w14:paraId="12EA11A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38B3D0E4">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65618E85">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6AA5806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A3B9B1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0BBA0A5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2.供应商认为招标文件、采购过程和采购结果使自己的权益受到损害的，可以在知道或应知其权益受到损害之日起七个工作日内，以书面形式向代理机构或招标人提出质疑。上述应知其权益受到损害之日，是指：</w:t>
      </w:r>
    </w:p>
    <w:p w14:paraId="7B2A7F0B">
      <w:pPr>
        <w:pStyle w:val="5"/>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2858BCFD">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6F56F04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754CC0B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1C8AF0B3">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940B502">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626CC71F">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招标人答复的质疑，请向招标人提出，由招标人负责答复。投标人对其他事项的质疑，请向招标代理机构提出，由招标人或招标代理机构负责答复。</w:t>
      </w:r>
    </w:p>
    <w:p w14:paraId="021FCF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962501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招标人及招标代理机构质疑接收人及联系方式，见招标文件第一部分。</w:t>
      </w:r>
    </w:p>
    <w:p w14:paraId="6BA661A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68FC83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3A462020">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F4B4ED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71C07B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961A6A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242B86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54A9CEB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116C27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7D2B0B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7682F9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F6936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78812D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0EBE87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3E58295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5736250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5337492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0AFDF4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BA6EB9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5DA8F9F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68B3B9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167A2A8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7BD93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6ECF3F0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1FB2DB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9A6D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5.因质疑情况复杂，组织论证或审查时间较长的，招标人、代理机构以书面形式通知质疑人，可适当延长质疑回复处理时间。</w:t>
      </w:r>
    </w:p>
    <w:p w14:paraId="5E5EF8B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①质疑成立的处理。招标人或代理机构终止招标，并建议有关部门给相关当事人予以处理。</w:t>
      </w:r>
    </w:p>
    <w:p w14:paraId="7C792A1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4F51E1B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34C3C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EA70A77">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9496D18">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4）质疑人虽提供了相关佐证材料，但不能证明其质疑成立的，招标人或代理机构请质疑人补充相关佐证材料，仍不能证明其质疑成立的，作违约处理。</w:t>
      </w:r>
    </w:p>
    <w:p w14:paraId="30EB00EB">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5）质疑人不能提供相关佐证材料的，招标人、代理机构已指出，质疑人仍然坚持提出质疑的，作违约处理。</w:t>
      </w:r>
    </w:p>
    <w:p w14:paraId="428F10F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6）对明显有违事实的、经相关专家或评标小组认定无依据的、经其他投标人举证无依据的质疑，作违约处理，视情在招标人官网媒体予以披露。</w:t>
      </w:r>
    </w:p>
    <w:p w14:paraId="058B76AE">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5254B099">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1607D10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44EB8FA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1BF3C348">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六、质疑人对招标人或代理机构的答复不满意或者招标人、代理机构未在规定的时间内作出答复的，可以在答复期满后15个工作日内向相关监督管理部门投诉。</w:t>
      </w:r>
    </w:p>
    <w:p w14:paraId="7197560E">
      <w:pPr>
        <w:adjustRightInd w:val="0"/>
        <w:snapToGrid w:val="0"/>
        <w:spacing w:line="420" w:lineRule="exact"/>
        <w:ind w:firstLine="562" w:firstLineChars="200"/>
        <w:rPr>
          <w:rFonts w:hint="eastAsia" w:ascii="宋体" w:hAnsi="宋体" w:cs="宋体"/>
          <w:b/>
          <w:bCs/>
          <w:color w:val="auto"/>
          <w:sz w:val="28"/>
          <w:szCs w:val="28"/>
          <w:highlight w:val="none"/>
        </w:rPr>
      </w:pPr>
    </w:p>
    <w:p w14:paraId="55CD3A11">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3D397611">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  投标文件组成</w:t>
      </w:r>
    </w:p>
    <w:p w14:paraId="6073467C">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投标文件由资格审查文件、商务技术文件、价格文件、电子响应文件四部分组成。</w:t>
      </w:r>
    </w:p>
    <w:p w14:paraId="4163FADC">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339B8E68">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71B3065E">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C08352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3.法定代表人授权委托书原件，投标代表本人身份证复印件（格式见附件3）；</w:t>
      </w:r>
    </w:p>
    <w:p w14:paraId="61EB7C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lang w:val="zh-CN"/>
        </w:rPr>
        <w:t>4.</w:t>
      </w:r>
      <w:r>
        <w:rPr>
          <w:rFonts w:hint="eastAsia" w:ascii="宋体" w:hAnsi="宋体" w:cs="宋体"/>
          <w:color w:val="auto"/>
          <w:kern w:val="0"/>
          <w:sz w:val="28"/>
          <w:szCs w:val="28"/>
          <w:highlight w:val="none"/>
        </w:rPr>
        <w:t>有效的营业执照副本复印件。</w:t>
      </w:r>
    </w:p>
    <w:p w14:paraId="2218B1CF">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5.现场勘察承诺书（格式见附件4）</w:t>
      </w:r>
    </w:p>
    <w:p w14:paraId="286A2812">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6.符合性审查材料（本项目项目需求部分，</w:t>
      </w:r>
      <w:r>
        <w:rPr>
          <w:rFonts w:hint="eastAsia" w:ascii="宋体" w:hAnsi="宋体" w:cs="宋体"/>
          <w:b/>
          <w:bCs/>
          <w:color w:val="auto"/>
          <w:sz w:val="28"/>
          <w:szCs w:val="28"/>
          <w:highlight w:val="none"/>
        </w:rPr>
        <w:t>七、采购需求中必须满足的实质性要求）：</w:t>
      </w:r>
    </w:p>
    <w:p w14:paraId="5D3420D0">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19475E47">
      <w:pPr>
        <w:spacing w:line="460" w:lineRule="exact"/>
        <w:ind w:firstLine="560"/>
        <w:contextualSpacing/>
        <w:jc w:val="left"/>
        <w:rPr>
          <w:rFonts w:hint="eastAsia" w:ascii="宋体" w:hAnsi="宋体" w:cs="宋体"/>
          <w:b/>
          <w:bCs/>
          <w:color w:val="auto"/>
          <w:kern w:val="0"/>
          <w:sz w:val="28"/>
          <w:szCs w:val="28"/>
          <w:highlight w:val="none"/>
          <w:lang w:val="zh-CN"/>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p>
    <w:p w14:paraId="28194D0D">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6DADB24D">
      <w:pPr>
        <w:adjustRightInd w:val="0"/>
        <w:snapToGrid w:val="0"/>
        <w:spacing w:line="460" w:lineRule="exact"/>
        <w:ind w:firstLine="560" w:firstLineChars="200"/>
        <w:rPr>
          <w:rFonts w:hint="eastAsia"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rPr>
        <w:t>5</w:t>
      </w:r>
      <w:r>
        <w:rPr>
          <w:rFonts w:hint="eastAsia" w:ascii="宋体" w:hAnsi="宋体" w:cs="宋体"/>
          <w:bCs/>
          <w:color w:val="auto"/>
          <w:kern w:val="0"/>
          <w:sz w:val="28"/>
          <w:szCs w:val="28"/>
          <w:highlight w:val="none"/>
          <w:lang w:val="zh-CN"/>
        </w:rPr>
        <w:t>）；</w:t>
      </w:r>
    </w:p>
    <w:p w14:paraId="3B9E383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2.</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rPr>
        <w:t>6</w:t>
      </w:r>
      <w:r>
        <w:rPr>
          <w:rFonts w:hint="eastAsia" w:ascii="宋体" w:hAnsi="宋体" w:cs="宋体"/>
          <w:bCs/>
          <w:color w:val="auto"/>
          <w:kern w:val="0"/>
          <w:sz w:val="28"/>
          <w:szCs w:val="28"/>
          <w:highlight w:val="none"/>
          <w:lang w:val="zh-CN"/>
        </w:rPr>
        <w:t>）；</w:t>
      </w:r>
    </w:p>
    <w:p w14:paraId="3FDFAD1C">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3.</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0300F32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4.</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567DBD51">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D4C09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rPr>
        <w:t>7</w:t>
      </w:r>
      <w:r>
        <w:rPr>
          <w:rFonts w:hint="eastAsia" w:ascii="宋体" w:hAnsi="宋体" w:cs="宋体"/>
          <w:color w:val="auto"/>
          <w:kern w:val="0"/>
          <w:sz w:val="28"/>
          <w:szCs w:val="28"/>
          <w:highlight w:val="none"/>
          <w:lang w:val="zh-CN"/>
        </w:rPr>
        <w:t>）；</w:t>
      </w:r>
    </w:p>
    <w:p w14:paraId="6CEC59F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2.分项报价表（格式见附件8）；</w:t>
      </w:r>
    </w:p>
    <w:p w14:paraId="4244F4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3.投标人信用承诺书（格式见附件9）。</w:t>
      </w:r>
    </w:p>
    <w:p w14:paraId="6A588E9B">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四、电子响应文件（一份、单独密封提供）</w:t>
      </w:r>
    </w:p>
    <w:p w14:paraId="6263C0D9">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电子响应文件的内容为“资格审查文件、商务技术文件、价格文件”的打印盖章（或电子签章）后的响应文件的扫描件（资格审查文件、商务技术文件、价格文件需分别逐页连续扫描为三个独立的PDF文件）。</w:t>
      </w:r>
    </w:p>
    <w:p w14:paraId="27EA3E4B">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60648794">
      <w:pPr>
        <w:spacing w:line="460" w:lineRule="exact"/>
        <w:jc w:val="center"/>
        <w:rPr>
          <w:rFonts w:hint="eastAsia" w:ascii="宋体" w:hAnsi="宋体" w:cs="宋体"/>
          <w:b/>
          <w:color w:val="auto"/>
          <w:sz w:val="30"/>
          <w:szCs w:val="30"/>
          <w:highlight w:val="none"/>
        </w:rPr>
      </w:pPr>
    </w:p>
    <w:p w14:paraId="0BB22BC9">
      <w:pPr>
        <w:spacing w:line="460" w:lineRule="exact"/>
        <w:jc w:val="center"/>
        <w:rPr>
          <w:rFonts w:hint="eastAsia" w:ascii="宋体" w:hAnsi="宋体" w:cs="宋体"/>
          <w:b/>
          <w:color w:val="auto"/>
          <w:sz w:val="32"/>
          <w:szCs w:val="32"/>
          <w:highlight w:val="none"/>
        </w:rPr>
      </w:pPr>
    </w:p>
    <w:p w14:paraId="4D466A87">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217192D7">
      <w:pPr>
        <w:spacing w:line="460" w:lineRule="exact"/>
        <w:rPr>
          <w:rFonts w:hint="eastAsia" w:ascii="宋体" w:hAnsi="宋体" w:cs="宋体"/>
          <w:b/>
          <w:bCs/>
          <w:color w:val="auto"/>
          <w:sz w:val="48"/>
          <w:szCs w:val="48"/>
          <w:highlight w:val="none"/>
        </w:rPr>
      </w:pPr>
      <w:r>
        <w:rPr>
          <w:rFonts w:hint="eastAsia" w:ascii="宋体" w:hAnsi="宋体" w:cs="宋体"/>
          <w:b/>
          <w:bCs/>
          <w:color w:val="auto"/>
          <w:sz w:val="28"/>
          <w:szCs w:val="22"/>
          <w:highlight w:val="none"/>
        </w:rPr>
        <w:t xml:space="preserve">                       </w:t>
      </w:r>
      <w:r>
        <w:rPr>
          <w:rFonts w:hint="eastAsia" w:ascii="宋体" w:hAnsi="宋体" w:cs="宋体"/>
          <w:b/>
          <w:bCs/>
          <w:color w:val="auto"/>
          <w:sz w:val="48"/>
          <w:szCs w:val="48"/>
          <w:highlight w:val="none"/>
        </w:rPr>
        <w:t xml:space="preserve">   </w:t>
      </w:r>
    </w:p>
    <w:p w14:paraId="1D1AF4C2">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 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 __________</w:t>
      </w:r>
      <w:r>
        <w:rPr>
          <w:rFonts w:hint="eastAsia" w:ascii="宋体" w:hAnsi="宋体" w:cs="宋体"/>
          <w:bCs/>
          <w:color w:val="auto"/>
          <w:sz w:val="28"/>
          <w:szCs w:val="22"/>
          <w:highlight w:val="none"/>
        </w:rPr>
        <w:t>（项目编号）投标活动。现做出如下承诺：</w:t>
      </w:r>
    </w:p>
    <w:p w14:paraId="2E2C883A">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7D72D3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917FD4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85C7F5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3F8EBBD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61C93BF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00F2FAE">
      <w:pPr>
        <w:spacing w:line="460" w:lineRule="exact"/>
        <w:ind w:firstLine="560" w:firstLineChars="200"/>
        <w:rPr>
          <w:rFonts w:hint="eastAsia" w:ascii="宋体" w:hAnsi="宋体" w:cs="宋体"/>
          <w:color w:val="auto"/>
          <w:sz w:val="28"/>
          <w:szCs w:val="28"/>
          <w:highlight w:val="none"/>
        </w:rPr>
      </w:pPr>
    </w:p>
    <w:p w14:paraId="61A4E6B9">
      <w:pPr>
        <w:spacing w:line="460" w:lineRule="exact"/>
        <w:ind w:firstLine="560" w:firstLineChars="200"/>
        <w:rPr>
          <w:rFonts w:hint="eastAsia" w:ascii="宋体" w:hAnsi="宋体" w:cs="宋体"/>
          <w:color w:val="auto"/>
          <w:sz w:val="28"/>
          <w:szCs w:val="28"/>
          <w:highlight w:val="none"/>
        </w:rPr>
      </w:pPr>
    </w:p>
    <w:p w14:paraId="0E34301D">
      <w:pPr>
        <w:spacing w:line="460" w:lineRule="exact"/>
        <w:ind w:firstLine="560" w:firstLineChars="200"/>
        <w:rPr>
          <w:rFonts w:hint="eastAsia" w:ascii="宋体" w:hAnsi="宋体" w:cs="宋体"/>
          <w:bCs/>
          <w:color w:val="auto"/>
          <w:sz w:val="28"/>
          <w:szCs w:val="22"/>
          <w:highlight w:val="none"/>
        </w:rPr>
      </w:pPr>
    </w:p>
    <w:p w14:paraId="03266EAD">
      <w:pPr>
        <w:spacing w:line="460" w:lineRule="exact"/>
        <w:ind w:firstLine="560" w:firstLineChars="200"/>
        <w:rPr>
          <w:rFonts w:hint="eastAsia" w:ascii="宋体" w:hAnsi="宋体" w:cs="宋体"/>
          <w:bCs/>
          <w:color w:val="auto"/>
          <w:sz w:val="28"/>
          <w:szCs w:val="22"/>
          <w:highlight w:val="none"/>
        </w:rPr>
      </w:pPr>
    </w:p>
    <w:p w14:paraId="7470A7C7">
      <w:pPr>
        <w:spacing w:line="460" w:lineRule="exact"/>
        <w:ind w:firstLine="560" w:firstLineChars="200"/>
        <w:rPr>
          <w:rFonts w:hint="eastAsia" w:ascii="宋体" w:hAnsi="宋体" w:cs="宋体"/>
          <w:bCs/>
          <w:color w:val="auto"/>
          <w:sz w:val="28"/>
          <w:szCs w:val="22"/>
          <w:highlight w:val="none"/>
        </w:rPr>
      </w:pPr>
    </w:p>
    <w:p w14:paraId="20E181B2">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承诺人名称（公章）：</w:t>
      </w:r>
    </w:p>
    <w:p w14:paraId="0639529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w:t>
      </w:r>
    </w:p>
    <w:p w14:paraId="60217AC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月</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日</w:t>
      </w:r>
    </w:p>
    <w:p w14:paraId="7F6F6EDE">
      <w:pPr>
        <w:spacing w:line="460" w:lineRule="exact"/>
        <w:jc w:val="right"/>
        <w:rPr>
          <w:rFonts w:hint="eastAsia" w:ascii="宋体" w:hAnsi="宋体" w:cs="宋体"/>
          <w:bCs/>
          <w:color w:val="auto"/>
          <w:sz w:val="28"/>
          <w:szCs w:val="22"/>
          <w:highlight w:val="none"/>
        </w:rPr>
      </w:pPr>
    </w:p>
    <w:p w14:paraId="70FD274B">
      <w:pPr>
        <w:rPr>
          <w:rFonts w:hint="eastAsia" w:ascii="宋体" w:hAnsi="宋体" w:cs="宋体"/>
          <w:color w:val="auto"/>
          <w:szCs w:val="21"/>
          <w:highlight w:val="none"/>
        </w:rPr>
      </w:pPr>
    </w:p>
    <w:p w14:paraId="3AD950C6">
      <w:pPr>
        <w:snapToGrid w:val="0"/>
        <w:spacing w:line="400" w:lineRule="exact"/>
        <w:contextualSpacing/>
        <w:rPr>
          <w:rFonts w:hint="eastAsia" w:ascii="宋体" w:hAnsi="宋体" w:cs="宋体"/>
          <w:b/>
          <w:color w:val="auto"/>
          <w:kern w:val="0"/>
          <w:sz w:val="28"/>
          <w:szCs w:val="28"/>
          <w:highlight w:val="none"/>
          <w:lang w:val="zh-CN"/>
        </w:rPr>
      </w:pPr>
    </w:p>
    <w:p w14:paraId="3DFC7E64">
      <w:pPr>
        <w:snapToGrid w:val="0"/>
        <w:spacing w:line="400" w:lineRule="exact"/>
        <w:contextualSpacing/>
        <w:rPr>
          <w:rFonts w:hint="eastAsia" w:ascii="宋体" w:hAnsi="宋体" w:cs="宋体"/>
          <w:b/>
          <w:color w:val="auto"/>
          <w:kern w:val="0"/>
          <w:sz w:val="28"/>
          <w:szCs w:val="28"/>
          <w:highlight w:val="none"/>
          <w:lang w:val="zh-CN"/>
        </w:rPr>
      </w:pPr>
    </w:p>
    <w:p w14:paraId="1A89A097">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2CE287AA">
      <w:pPr>
        <w:spacing w:line="460" w:lineRule="exact"/>
        <w:jc w:val="center"/>
        <w:rPr>
          <w:rFonts w:hint="eastAsia" w:ascii="宋体" w:hAnsi="宋体" w:cs="宋体"/>
          <w:b/>
          <w:bCs/>
          <w:color w:val="auto"/>
          <w:sz w:val="32"/>
          <w:szCs w:val="32"/>
          <w:highlight w:val="none"/>
        </w:rPr>
      </w:pPr>
    </w:p>
    <w:p w14:paraId="097B513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AE65C67">
      <w:pPr>
        <w:spacing w:line="460" w:lineRule="exact"/>
        <w:rPr>
          <w:rFonts w:hint="eastAsia" w:ascii="宋体" w:hAnsi="宋体" w:cs="宋体"/>
          <w:color w:val="auto"/>
          <w:sz w:val="24"/>
          <w:highlight w:val="none"/>
        </w:rPr>
      </w:pPr>
    </w:p>
    <w:p w14:paraId="5273BD9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3D3C884B">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645818F">
      <w:pPr>
        <w:spacing w:line="460" w:lineRule="exact"/>
        <w:ind w:firstLine="480"/>
        <w:rPr>
          <w:rFonts w:hint="eastAsia" w:ascii="宋体" w:hAnsi="宋体" w:cs="宋体"/>
          <w:color w:val="auto"/>
          <w:sz w:val="28"/>
          <w:szCs w:val="28"/>
          <w:highlight w:val="none"/>
        </w:rPr>
      </w:pPr>
    </w:p>
    <w:p w14:paraId="43881C65">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57B6398A">
      <w:pPr>
        <w:spacing w:line="460" w:lineRule="exact"/>
        <w:ind w:firstLine="560" w:firstLineChars="200"/>
        <w:rPr>
          <w:rFonts w:hint="eastAsia" w:ascii="宋体" w:hAnsi="宋体" w:cs="宋体"/>
          <w:color w:val="auto"/>
          <w:sz w:val="28"/>
          <w:szCs w:val="28"/>
          <w:highlight w:val="none"/>
        </w:rPr>
      </w:pPr>
    </w:p>
    <w:p w14:paraId="04CA3DBA">
      <w:pPr>
        <w:spacing w:line="460" w:lineRule="exact"/>
        <w:rPr>
          <w:rFonts w:hint="eastAsia" w:ascii="宋体" w:hAnsi="宋体" w:cs="宋体"/>
          <w:color w:val="auto"/>
          <w:highlight w:val="none"/>
        </w:rPr>
      </w:pPr>
    </w:p>
    <w:p w14:paraId="5DAEACD6">
      <w:pPr>
        <w:snapToGrid w:val="0"/>
        <w:spacing w:line="460" w:lineRule="exact"/>
        <w:ind w:firstLine="540" w:firstLineChars="192"/>
        <w:contextualSpacing/>
        <w:rPr>
          <w:rFonts w:hint="eastAsia" w:ascii="宋体" w:hAnsi="宋体" w:cs="宋体"/>
          <w:b/>
          <w:color w:val="auto"/>
          <w:kern w:val="0"/>
          <w:sz w:val="28"/>
          <w:szCs w:val="28"/>
          <w:highlight w:val="none"/>
        </w:rPr>
      </w:pPr>
    </w:p>
    <w:p w14:paraId="1129644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BF9167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DE0AEA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99E0A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D4CADF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1BB2FF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2B7F3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0BBC661">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EB664E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64AFBA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5969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C8F76B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26CA7CD0">
      <w:pPr>
        <w:pStyle w:val="19"/>
        <w:rPr>
          <w:rFonts w:hint="eastAsia" w:ascii="宋体" w:hAnsi="宋体" w:eastAsia="宋体" w:cs="宋体"/>
          <w:b/>
          <w:color w:val="auto"/>
          <w:szCs w:val="28"/>
          <w:highlight w:val="none"/>
          <w:lang w:val="zh-CN"/>
        </w:rPr>
      </w:pPr>
    </w:p>
    <w:p w14:paraId="4122F6BA">
      <w:pPr>
        <w:pStyle w:val="20"/>
        <w:rPr>
          <w:rFonts w:hint="eastAsia" w:ascii="宋体" w:hAnsi="宋体" w:cs="宋体"/>
          <w:color w:val="auto"/>
          <w:highlight w:val="none"/>
          <w:lang w:val="zh-CN"/>
        </w:rPr>
      </w:pPr>
    </w:p>
    <w:p w14:paraId="75601C20">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32400AC">
      <w:pPr>
        <w:snapToGrid w:val="0"/>
        <w:spacing w:line="460" w:lineRule="exact"/>
        <w:contextualSpacing/>
        <w:rPr>
          <w:rFonts w:hint="eastAsia" w:ascii="宋体" w:hAnsi="宋体" w:cs="宋体"/>
          <w:b/>
          <w:color w:val="auto"/>
          <w:kern w:val="0"/>
          <w:sz w:val="28"/>
          <w:szCs w:val="28"/>
          <w:highlight w:val="none"/>
          <w:lang w:val="zh-CN"/>
        </w:rPr>
      </w:pPr>
    </w:p>
    <w:p w14:paraId="173A8281">
      <w:pPr>
        <w:snapToGrid w:val="0"/>
        <w:spacing w:line="460" w:lineRule="exact"/>
        <w:contextualSpacing/>
        <w:rPr>
          <w:rFonts w:hint="eastAsia" w:ascii="宋体" w:hAnsi="宋体" w:cs="宋体"/>
          <w:color w:val="auto"/>
          <w:kern w:val="0"/>
          <w:sz w:val="32"/>
          <w:szCs w:val="32"/>
          <w:highlight w:val="none"/>
          <w:lang w:val="zh-CN"/>
        </w:rPr>
      </w:pPr>
    </w:p>
    <w:p w14:paraId="3AAD554D">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6AE2B90">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02C9FCD2">
      <w:pPr>
        <w:spacing w:line="460" w:lineRule="exact"/>
        <w:jc w:val="center"/>
        <w:rPr>
          <w:rFonts w:hint="eastAsia" w:ascii="宋体" w:hAnsi="宋体" w:cs="宋体"/>
          <w:color w:val="auto"/>
          <w:sz w:val="32"/>
          <w:szCs w:val="32"/>
          <w:highlight w:val="none"/>
        </w:rPr>
      </w:pPr>
    </w:p>
    <w:p w14:paraId="19F4BF09">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D517F55">
      <w:pPr>
        <w:spacing w:line="460" w:lineRule="exact"/>
        <w:ind w:firstLine="560" w:firstLineChars="200"/>
        <w:rPr>
          <w:rFonts w:hint="eastAsia" w:ascii="宋体" w:hAnsi="宋体" w:cs="宋体"/>
          <w:color w:val="auto"/>
          <w:sz w:val="28"/>
          <w:szCs w:val="28"/>
          <w:highlight w:val="none"/>
        </w:rPr>
      </w:pPr>
    </w:p>
    <w:p w14:paraId="1A8EC02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16ECE6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42F0C8F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2A598DB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489E2F8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7791E831">
      <w:pPr>
        <w:spacing w:line="460" w:lineRule="exact"/>
        <w:ind w:firstLine="560" w:firstLineChars="200"/>
        <w:jc w:val="right"/>
        <w:rPr>
          <w:rFonts w:hint="eastAsia" w:ascii="宋体" w:hAnsi="宋体" w:cs="宋体"/>
          <w:color w:val="auto"/>
          <w:sz w:val="28"/>
          <w:szCs w:val="28"/>
          <w:highlight w:val="none"/>
        </w:rPr>
      </w:pPr>
    </w:p>
    <w:p w14:paraId="338588B4">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4DA2042">
      <w:pPr>
        <w:snapToGrid w:val="0"/>
        <w:spacing w:line="460" w:lineRule="exact"/>
        <w:ind w:firstLine="562" w:firstLineChars="200"/>
        <w:contextualSpacing/>
        <w:rPr>
          <w:rFonts w:hint="eastAsia" w:ascii="宋体" w:hAnsi="宋体" w:cs="宋体"/>
          <w:b/>
          <w:color w:val="auto"/>
          <w:kern w:val="0"/>
          <w:sz w:val="28"/>
          <w:szCs w:val="28"/>
          <w:highlight w:val="none"/>
        </w:rPr>
      </w:pPr>
    </w:p>
    <w:p w14:paraId="5F1446A9">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w:t>
      </w:r>
      <w:r>
        <w:rPr>
          <w:rFonts w:hint="eastAsia" w:ascii="宋体" w:hAnsi="宋体" w:cs="宋体"/>
          <w:b/>
          <w:color w:val="auto"/>
          <w:sz w:val="28"/>
          <w:szCs w:val="28"/>
          <w:highlight w:val="none"/>
        </w:rPr>
        <w:t>（正、反面）</w:t>
      </w:r>
      <w:r>
        <w:rPr>
          <w:rFonts w:hint="eastAsia" w:ascii="宋体" w:hAnsi="宋体" w:cs="宋体"/>
          <w:b/>
          <w:color w:val="auto"/>
          <w:kern w:val="0"/>
          <w:sz w:val="28"/>
          <w:szCs w:val="28"/>
          <w:highlight w:val="none"/>
        </w:rPr>
        <w:t>复印件。</w:t>
      </w:r>
    </w:p>
    <w:p w14:paraId="27E7B490">
      <w:pPr>
        <w:snapToGrid w:val="0"/>
        <w:spacing w:line="400" w:lineRule="exact"/>
        <w:ind w:firstLine="540" w:firstLineChars="192"/>
        <w:contextualSpacing/>
        <w:rPr>
          <w:rFonts w:hint="eastAsia" w:ascii="宋体" w:hAnsi="宋体" w:cs="宋体"/>
          <w:b/>
          <w:color w:val="auto"/>
          <w:kern w:val="0"/>
          <w:sz w:val="28"/>
          <w:szCs w:val="28"/>
          <w:highlight w:val="none"/>
        </w:rPr>
      </w:pPr>
    </w:p>
    <w:p w14:paraId="7F06B2C1">
      <w:pPr>
        <w:snapToGrid w:val="0"/>
        <w:spacing w:line="400" w:lineRule="exact"/>
        <w:ind w:firstLine="540" w:firstLineChars="192"/>
        <w:contextualSpacing/>
        <w:rPr>
          <w:rFonts w:hint="eastAsia" w:ascii="宋体" w:hAnsi="宋体" w:cs="宋体"/>
          <w:b/>
          <w:color w:val="auto"/>
          <w:kern w:val="0"/>
          <w:sz w:val="28"/>
          <w:szCs w:val="28"/>
          <w:highlight w:val="none"/>
        </w:rPr>
      </w:pPr>
    </w:p>
    <w:p w14:paraId="3F048A07">
      <w:pPr>
        <w:snapToGrid w:val="0"/>
        <w:spacing w:line="400" w:lineRule="exact"/>
        <w:ind w:firstLine="540" w:firstLineChars="192"/>
        <w:contextualSpacing/>
        <w:rPr>
          <w:rFonts w:hint="eastAsia" w:ascii="宋体" w:hAnsi="宋体" w:cs="宋体"/>
          <w:b/>
          <w:color w:val="auto"/>
          <w:kern w:val="0"/>
          <w:sz w:val="28"/>
          <w:szCs w:val="28"/>
          <w:highlight w:val="none"/>
        </w:rPr>
      </w:pPr>
    </w:p>
    <w:p w14:paraId="2C300862">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9BE6946">
      <w:pPr>
        <w:snapToGrid w:val="0"/>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附件4</w:t>
      </w:r>
    </w:p>
    <w:p w14:paraId="28D97BD2">
      <w:pPr>
        <w:pStyle w:val="21"/>
        <w:ind w:left="1470"/>
        <w:rPr>
          <w:rFonts w:hint="eastAsia" w:cs="宋体"/>
          <w:color w:val="auto"/>
          <w:highlight w:val="none"/>
        </w:rPr>
      </w:pPr>
    </w:p>
    <w:p w14:paraId="3A6FF584">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现场勘察承诺书</w:t>
      </w:r>
    </w:p>
    <w:p w14:paraId="742A94B4">
      <w:pPr>
        <w:pStyle w:val="93"/>
        <w:adjustRightInd w:val="0"/>
        <w:snapToGrid w:val="0"/>
        <w:spacing w:line="360" w:lineRule="auto"/>
        <w:ind w:firstLine="0" w:firstLineChars="0"/>
        <w:contextualSpacing/>
        <w:rPr>
          <w:rFonts w:hint="eastAsia" w:ascii="宋体" w:eastAsia="宋体" w:cs="宋体"/>
          <w:color w:val="auto"/>
          <w:sz w:val="24"/>
          <w:szCs w:val="24"/>
          <w:highlight w:val="none"/>
        </w:rPr>
      </w:pPr>
    </w:p>
    <w:p w14:paraId="2097AFBC">
      <w:pPr>
        <w:pStyle w:val="93"/>
        <w:adjustRightInd w:val="0"/>
        <w:snapToGrid w:val="0"/>
        <w:spacing w:line="360" w:lineRule="auto"/>
        <w:ind w:firstLine="480" w:firstLineChars="200"/>
        <w:contextualSpacing/>
        <w:rPr>
          <w:rFonts w:hint="eastAsia" w:ascii="宋体" w:eastAsia="宋体" w:cs="宋体"/>
          <w:color w:val="auto"/>
          <w:sz w:val="24"/>
          <w:szCs w:val="24"/>
          <w:highlight w:val="none"/>
        </w:rPr>
      </w:pPr>
      <w:r>
        <w:rPr>
          <w:rFonts w:hint="eastAsia" w:ascii="宋体" w:eastAsia="宋体" w:cs="宋体"/>
          <w:color w:val="auto"/>
          <w:sz w:val="24"/>
          <w:szCs w:val="24"/>
          <w:highlight w:val="none"/>
        </w:rPr>
        <w:t>我单位参加</w:t>
      </w:r>
      <w:r>
        <w:rPr>
          <w:rFonts w:hint="eastAsia" w:ascii="宋体" w:eastAsia="宋体" w:cs="宋体"/>
          <w:color w:val="auto"/>
          <w:sz w:val="24"/>
          <w:szCs w:val="24"/>
          <w:highlight w:val="none"/>
          <w:u w:val="single"/>
        </w:rPr>
        <w:t xml:space="preserve">             项目</w:t>
      </w:r>
      <w:r>
        <w:rPr>
          <w:rFonts w:hint="eastAsia" w:ascii="宋体" w:eastAsia="宋体" w:cs="宋体"/>
          <w:color w:val="auto"/>
          <w:sz w:val="24"/>
          <w:szCs w:val="24"/>
          <w:highlight w:val="none"/>
        </w:rPr>
        <w:t>的投标，招标文件已明确告知建议现场踏勘而非强制性要求，我方经自主决定于开标截止时间前对该项目进行了现场勘察（若未进行现场踏勘，视为我方通过招标人提供的资料、现场周边调研等方式完成勘察），现就现场勘察情况作如下承诺：</w:t>
      </w:r>
    </w:p>
    <w:p w14:paraId="763D79F6">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1.我方承诺经现场勘察（或通过其他方式了解），我方均确认已充分掌握项目实施所需的全部现场信息（包含但不限于施工、安装现场环境，现场周围交通道路等所有情况），并自行承担因信息理解偏差导致的一切风险。</w:t>
      </w:r>
    </w:p>
    <w:p w14:paraId="2F7CDB30">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2.我方承诺自行承担本次现场勘察所发生的所有费用并承担勘察现场的相关责任和风险。若未进行实地踏勘，我方承诺已通过招标人提供的资料及合法渠道获取的信息完成对项目现场的评估，一旦中标我方不对现场条件提出额外要求。</w:t>
      </w:r>
    </w:p>
    <w:p w14:paraId="63F18DF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忽视或误解施工、安装场地情况</w:t>
      </w:r>
      <w:r>
        <w:rPr>
          <w:rFonts w:hint="eastAsia" w:ascii="宋体" w:hAnsi="宋体" w:cs="宋体"/>
          <w:color w:val="auto"/>
          <w:sz w:val="24"/>
          <w:highlight w:val="none"/>
        </w:rPr>
        <w:t>为理由而向招标人提出任何索赔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44E0FCAD">
      <w:pPr>
        <w:snapToGrid w:val="0"/>
        <w:spacing w:line="360" w:lineRule="auto"/>
        <w:jc w:val="right"/>
        <w:rPr>
          <w:rFonts w:hint="eastAsia" w:ascii="宋体" w:hAnsi="宋体" w:cs="宋体"/>
          <w:color w:val="auto"/>
          <w:sz w:val="24"/>
          <w:highlight w:val="none"/>
        </w:rPr>
      </w:pPr>
    </w:p>
    <w:p w14:paraId="064A438E">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6A0E55BB">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42FBDB26">
      <w:pPr>
        <w:snapToGrid w:val="0"/>
        <w:spacing w:line="360" w:lineRule="auto"/>
        <w:jc w:val="center"/>
        <w:rPr>
          <w:rFonts w:hint="eastAsia" w:ascii="宋体" w:hAnsi="宋体" w:cs="宋体"/>
          <w:color w:val="auto"/>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color w:val="auto"/>
          <w:sz w:val="24"/>
          <w:highlight w:val="none"/>
        </w:rPr>
        <w:t xml:space="preserve">                                  年  月  日  </w:t>
      </w:r>
    </w:p>
    <w:p w14:paraId="53131014">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附件5</w:t>
      </w:r>
    </w:p>
    <w:p w14:paraId="1D5CAFDA">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6"/>
        <w:tblW w:w="9336"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5550"/>
        <w:gridCol w:w="1485"/>
        <w:gridCol w:w="1551"/>
      </w:tblGrid>
      <w:tr w14:paraId="57A1D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vAlign w:val="center"/>
          </w:tcPr>
          <w:p w14:paraId="07D2F6D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5550" w:type="dxa"/>
            <w:vAlign w:val="center"/>
          </w:tcPr>
          <w:p w14:paraId="43547C3C">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1485" w:type="dxa"/>
            <w:vAlign w:val="center"/>
          </w:tcPr>
          <w:p w14:paraId="1B2ED361">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1551" w:type="dxa"/>
            <w:vAlign w:val="center"/>
          </w:tcPr>
          <w:p w14:paraId="6E6FF1F3">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5CB6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vAlign w:val="center"/>
          </w:tcPr>
          <w:p w14:paraId="779809C8">
            <w:pPr>
              <w:jc w:val="center"/>
              <w:rPr>
                <w:rFonts w:hint="eastAsia" w:ascii="宋体" w:hAnsi="宋体" w:cs="宋体"/>
                <w:color w:val="auto"/>
                <w:sz w:val="28"/>
                <w:szCs w:val="28"/>
                <w:highlight w:val="none"/>
              </w:rPr>
            </w:pPr>
          </w:p>
        </w:tc>
        <w:tc>
          <w:tcPr>
            <w:tcW w:w="5550" w:type="dxa"/>
            <w:vAlign w:val="center"/>
          </w:tcPr>
          <w:p w14:paraId="1EBC2CB4">
            <w:pPr>
              <w:rPr>
                <w:rFonts w:hint="eastAsia" w:ascii="宋体" w:hAnsi="宋体" w:cs="宋体"/>
                <w:color w:val="auto"/>
                <w:sz w:val="28"/>
                <w:szCs w:val="28"/>
                <w:highlight w:val="none"/>
              </w:rPr>
            </w:pPr>
          </w:p>
        </w:tc>
        <w:tc>
          <w:tcPr>
            <w:tcW w:w="1485" w:type="dxa"/>
            <w:vAlign w:val="center"/>
          </w:tcPr>
          <w:p w14:paraId="340BB05C">
            <w:pPr>
              <w:jc w:val="center"/>
              <w:rPr>
                <w:rFonts w:hint="eastAsia" w:ascii="宋体" w:hAnsi="宋体" w:cs="宋体"/>
                <w:color w:val="auto"/>
                <w:sz w:val="28"/>
                <w:szCs w:val="28"/>
                <w:highlight w:val="none"/>
              </w:rPr>
            </w:pPr>
          </w:p>
        </w:tc>
        <w:tc>
          <w:tcPr>
            <w:tcW w:w="1551" w:type="dxa"/>
            <w:vAlign w:val="center"/>
          </w:tcPr>
          <w:p w14:paraId="3F799163">
            <w:pPr>
              <w:jc w:val="center"/>
              <w:rPr>
                <w:rFonts w:hint="eastAsia" w:ascii="宋体" w:hAnsi="宋体" w:cs="宋体"/>
                <w:color w:val="auto"/>
                <w:sz w:val="28"/>
                <w:szCs w:val="28"/>
                <w:highlight w:val="none"/>
              </w:rPr>
            </w:pPr>
          </w:p>
        </w:tc>
      </w:tr>
      <w:tr w14:paraId="07211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tcPr>
          <w:p w14:paraId="571E4C36">
            <w:pPr>
              <w:spacing w:line="480" w:lineRule="exact"/>
              <w:jc w:val="center"/>
              <w:rPr>
                <w:rFonts w:hint="eastAsia" w:ascii="宋体" w:hAnsi="宋体" w:cs="宋体"/>
                <w:color w:val="auto"/>
                <w:sz w:val="28"/>
                <w:szCs w:val="28"/>
                <w:highlight w:val="none"/>
              </w:rPr>
            </w:pPr>
          </w:p>
        </w:tc>
        <w:tc>
          <w:tcPr>
            <w:tcW w:w="5550" w:type="dxa"/>
          </w:tcPr>
          <w:p w14:paraId="405E9ED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1485" w:type="dxa"/>
          </w:tcPr>
          <w:p w14:paraId="0900752D">
            <w:pPr>
              <w:spacing w:line="480" w:lineRule="exact"/>
              <w:jc w:val="center"/>
              <w:rPr>
                <w:rFonts w:hint="eastAsia" w:ascii="宋体" w:hAnsi="宋体" w:cs="宋体"/>
                <w:color w:val="auto"/>
                <w:sz w:val="28"/>
                <w:szCs w:val="28"/>
                <w:highlight w:val="none"/>
              </w:rPr>
            </w:pPr>
          </w:p>
        </w:tc>
        <w:tc>
          <w:tcPr>
            <w:tcW w:w="1551" w:type="dxa"/>
          </w:tcPr>
          <w:p w14:paraId="719BF55E">
            <w:pPr>
              <w:spacing w:line="480" w:lineRule="exact"/>
              <w:jc w:val="center"/>
              <w:rPr>
                <w:rFonts w:hint="eastAsia" w:ascii="宋体" w:hAnsi="宋体" w:cs="宋体"/>
                <w:color w:val="auto"/>
                <w:sz w:val="28"/>
                <w:szCs w:val="28"/>
                <w:highlight w:val="none"/>
              </w:rPr>
            </w:pPr>
          </w:p>
        </w:tc>
      </w:tr>
    </w:tbl>
    <w:p w14:paraId="1B530BD4">
      <w:pPr>
        <w:spacing w:line="480" w:lineRule="exact"/>
        <w:jc w:val="center"/>
        <w:rPr>
          <w:rFonts w:hint="eastAsia" w:ascii="宋体" w:hAnsi="宋体" w:cs="宋体"/>
          <w:b/>
          <w:color w:val="auto"/>
          <w:sz w:val="28"/>
          <w:szCs w:val="28"/>
          <w:highlight w:val="none"/>
        </w:rPr>
      </w:pPr>
    </w:p>
    <w:p w14:paraId="5BF9789D">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附件4-1  证明材料1，证明材料2，……</w:t>
      </w:r>
    </w:p>
    <w:p w14:paraId="0C950C82">
      <w:pPr>
        <w:spacing w:line="480" w:lineRule="exact"/>
        <w:rPr>
          <w:rFonts w:hint="eastAsia" w:ascii="宋体" w:hAnsi="宋体" w:cs="宋体"/>
          <w:color w:val="auto"/>
          <w:sz w:val="28"/>
          <w:szCs w:val="28"/>
          <w:highlight w:val="none"/>
        </w:rPr>
      </w:pPr>
    </w:p>
    <w:p w14:paraId="4D0D992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DB9B41B">
      <w:pPr>
        <w:spacing w:line="480" w:lineRule="exact"/>
        <w:outlineLvl w:val="2"/>
        <w:rPr>
          <w:rFonts w:hint="eastAsia" w:ascii="宋体" w:hAnsi="宋体" w:cs="宋体"/>
          <w:color w:val="auto"/>
          <w:sz w:val="28"/>
          <w:szCs w:val="28"/>
          <w:highlight w:val="none"/>
        </w:rPr>
      </w:pPr>
      <w:bookmarkStart w:id="110" w:name="_Toc16702"/>
      <w:r>
        <w:rPr>
          <w:rFonts w:hint="eastAsia" w:ascii="宋体" w:hAnsi="宋体" w:cs="宋体"/>
          <w:color w:val="auto"/>
          <w:sz w:val="28"/>
          <w:szCs w:val="28"/>
          <w:highlight w:val="none"/>
        </w:rPr>
        <w:t>1.投标人需对技术要求逐条做出明确响应。</w:t>
      </w:r>
      <w:bookmarkEnd w:id="110"/>
    </w:p>
    <w:p w14:paraId="783F2D19">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AB20840">
      <w:pPr>
        <w:spacing w:line="480" w:lineRule="exact"/>
        <w:outlineLvl w:val="3"/>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附件6</w:t>
      </w:r>
    </w:p>
    <w:p w14:paraId="0AF355F2">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39F31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3434DE7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6B471B8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21F7C88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39D4F621">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6689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E11B8C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8EAD6ED">
            <w:pPr>
              <w:spacing w:line="480" w:lineRule="exact"/>
              <w:jc w:val="center"/>
              <w:rPr>
                <w:rFonts w:hint="eastAsia" w:ascii="宋体" w:hAnsi="宋体" w:cs="宋体"/>
                <w:color w:val="auto"/>
                <w:sz w:val="28"/>
                <w:szCs w:val="28"/>
                <w:highlight w:val="none"/>
              </w:rPr>
            </w:pPr>
          </w:p>
        </w:tc>
        <w:tc>
          <w:tcPr>
            <w:tcW w:w="2999" w:type="dxa"/>
          </w:tcPr>
          <w:p w14:paraId="74442F1E">
            <w:pPr>
              <w:spacing w:line="480" w:lineRule="exact"/>
              <w:jc w:val="center"/>
              <w:rPr>
                <w:rFonts w:hint="eastAsia" w:ascii="宋体" w:hAnsi="宋体" w:cs="宋体"/>
                <w:color w:val="auto"/>
                <w:sz w:val="28"/>
                <w:szCs w:val="28"/>
                <w:highlight w:val="none"/>
              </w:rPr>
            </w:pPr>
          </w:p>
        </w:tc>
        <w:tc>
          <w:tcPr>
            <w:tcW w:w="2320" w:type="dxa"/>
          </w:tcPr>
          <w:p w14:paraId="76D076C0">
            <w:pPr>
              <w:spacing w:line="480" w:lineRule="exact"/>
              <w:jc w:val="center"/>
              <w:rPr>
                <w:rFonts w:hint="eastAsia" w:ascii="宋体" w:hAnsi="宋体" w:cs="宋体"/>
                <w:color w:val="auto"/>
                <w:sz w:val="28"/>
                <w:szCs w:val="28"/>
                <w:highlight w:val="none"/>
              </w:rPr>
            </w:pPr>
          </w:p>
        </w:tc>
      </w:tr>
      <w:tr w14:paraId="773FD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47B3B03">
            <w:pPr>
              <w:spacing w:line="480" w:lineRule="exact"/>
              <w:jc w:val="center"/>
              <w:rPr>
                <w:rFonts w:hint="eastAsia" w:ascii="宋体" w:hAnsi="宋体" w:cs="宋体"/>
                <w:color w:val="auto"/>
                <w:sz w:val="28"/>
                <w:szCs w:val="28"/>
                <w:highlight w:val="none"/>
              </w:rPr>
            </w:pPr>
          </w:p>
        </w:tc>
        <w:tc>
          <w:tcPr>
            <w:tcW w:w="3063" w:type="dxa"/>
          </w:tcPr>
          <w:p w14:paraId="6693BFC0">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4D300489">
            <w:pPr>
              <w:spacing w:line="480" w:lineRule="exact"/>
              <w:jc w:val="center"/>
              <w:rPr>
                <w:rFonts w:hint="eastAsia" w:ascii="宋体" w:hAnsi="宋体" w:cs="宋体"/>
                <w:color w:val="auto"/>
                <w:sz w:val="28"/>
                <w:szCs w:val="28"/>
                <w:highlight w:val="none"/>
              </w:rPr>
            </w:pPr>
          </w:p>
        </w:tc>
        <w:tc>
          <w:tcPr>
            <w:tcW w:w="2320" w:type="dxa"/>
          </w:tcPr>
          <w:p w14:paraId="462AE92A">
            <w:pPr>
              <w:spacing w:line="480" w:lineRule="exact"/>
              <w:jc w:val="center"/>
              <w:rPr>
                <w:rFonts w:hint="eastAsia" w:ascii="宋体" w:hAnsi="宋体" w:cs="宋体"/>
                <w:color w:val="auto"/>
                <w:sz w:val="28"/>
                <w:szCs w:val="28"/>
                <w:highlight w:val="none"/>
              </w:rPr>
            </w:pPr>
          </w:p>
        </w:tc>
      </w:tr>
    </w:tbl>
    <w:p w14:paraId="665865D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附件5-1  证明材料1，证明材料2，……</w:t>
      </w:r>
    </w:p>
    <w:p w14:paraId="68470CB7">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08BFCA1C">
      <w:pPr>
        <w:spacing w:line="480" w:lineRule="exact"/>
        <w:outlineLvl w:val="2"/>
        <w:rPr>
          <w:rFonts w:hint="eastAsia" w:ascii="宋体" w:hAnsi="宋体" w:cs="宋体"/>
          <w:color w:val="auto"/>
          <w:sz w:val="28"/>
          <w:szCs w:val="28"/>
          <w:highlight w:val="none"/>
        </w:rPr>
      </w:pPr>
      <w:bookmarkStart w:id="111" w:name="_Toc12886"/>
      <w:r>
        <w:rPr>
          <w:rFonts w:hint="eastAsia" w:ascii="宋体" w:hAnsi="宋体" w:cs="宋体"/>
          <w:color w:val="auto"/>
          <w:sz w:val="28"/>
          <w:szCs w:val="28"/>
          <w:highlight w:val="none"/>
        </w:rPr>
        <w:t>1.投标人需对商务要求逐条做出明确响应。</w:t>
      </w:r>
      <w:bookmarkEnd w:id="111"/>
    </w:p>
    <w:p w14:paraId="40B950C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05D2D33">
      <w:pPr>
        <w:spacing w:line="480" w:lineRule="exact"/>
        <w:rPr>
          <w:rFonts w:hint="eastAsia" w:ascii="宋体" w:hAnsi="宋体" w:cs="宋体"/>
          <w:b/>
          <w:color w:val="auto"/>
          <w:sz w:val="28"/>
          <w:szCs w:val="28"/>
          <w:highlight w:val="none"/>
        </w:rPr>
      </w:pPr>
    </w:p>
    <w:p w14:paraId="319BD2DF">
      <w:pPr>
        <w:snapToGrid w:val="0"/>
        <w:spacing w:line="400" w:lineRule="exact"/>
        <w:ind w:firstLine="540" w:firstLineChars="192"/>
        <w:contextualSpacing/>
        <w:rPr>
          <w:rFonts w:hint="eastAsia" w:ascii="宋体" w:hAnsi="宋体" w:cs="宋体"/>
          <w:b/>
          <w:color w:val="auto"/>
          <w:kern w:val="0"/>
          <w:sz w:val="28"/>
          <w:szCs w:val="28"/>
          <w:highlight w:val="none"/>
        </w:rPr>
      </w:pPr>
    </w:p>
    <w:p w14:paraId="41F58A94">
      <w:pPr>
        <w:snapToGrid w:val="0"/>
        <w:spacing w:line="400" w:lineRule="exact"/>
        <w:ind w:firstLine="540" w:firstLineChars="192"/>
        <w:contextualSpacing/>
        <w:rPr>
          <w:rFonts w:hint="eastAsia" w:ascii="宋体" w:hAnsi="宋体" w:cs="宋体"/>
          <w:b/>
          <w:color w:val="auto"/>
          <w:kern w:val="0"/>
          <w:sz w:val="28"/>
          <w:szCs w:val="28"/>
          <w:highlight w:val="none"/>
        </w:rPr>
      </w:pPr>
    </w:p>
    <w:p w14:paraId="03D23A3E">
      <w:pPr>
        <w:snapToGrid w:val="0"/>
        <w:spacing w:line="400" w:lineRule="exact"/>
        <w:ind w:firstLine="540" w:firstLineChars="192"/>
        <w:contextualSpacing/>
        <w:rPr>
          <w:rFonts w:hint="eastAsia" w:ascii="宋体" w:hAnsi="宋体" w:cs="宋体"/>
          <w:b/>
          <w:color w:val="auto"/>
          <w:kern w:val="0"/>
          <w:sz w:val="28"/>
          <w:szCs w:val="28"/>
          <w:highlight w:val="none"/>
        </w:rPr>
      </w:pPr>
    </w:p>
    <w:p w14:paraId="33111445">
      <w:pPr>
        <w:snapToGrid w:val="0"/>
        <w:spacing w:line="400" w:lineRule="exact"/>
        <w:ind w:firstLine="540" w:firstLineChars="192"/>
        <w:contextualSpacing/>
        <w:rPr>
          <w:rFonts w:hint="eastAsia" w:ascii="宋体" w:hAnsi="宋体" w:cs="宋体"/>
          <w:b/>
          <w:color w:val="auto"/>
          <w:kern w:val="0"/>
          <w:sz w:val="28"/>
          <w:szCs w:val="28"/>
          <w:highlight w:val="none"/>
        </w:rPr>
      </w:pPr>
    </w:p>
    <w:p w14:paraId="31437A4D">
      <w:pPr>
        <w:snapToGrid w:val="0"/>
        <w:spacing w:line="400" w:lineRule="exact"/>
        <w:ind w:firstLine="540" w:firstLineChars="192"/>
        <w:contextualSpacing/>
        <w:rPr>
          <w:rFonts w:hint="eastAsia" w:ascii="宋体" w:hAnsi="宋体" w:cs="宋体"/>
          <w:b/>
          <w:color w:val="auto"/>
          <w:kern w:val="0"/>
          <w:sz w:val="28"/>
          <w:szCs w:val="28"/>
          <w:highlight w:val="none"/>
        </w:rPr>
      </w:pPr>
    </w:p>
    <w:p w14:paraId="04B7B0A5">
      <w:pPr>
        <w:snapToGrid w:val="0"/>
        <w:spacing w:line="400" w:lineRule="exact"/>
        <w:ind w:firstLine="540" w:firstLineChars="192"/>
        <w:contextualSpacing/>
        <w:rPr>
          <w:rFonts w:hint="eastAsia" w:ascii="宋体" w:hAnsi="宋体" w:cs="宋体"/>
          <w:b/>
          <w:color w:val="auto"/>
          <w:kern w:val="0"/>
          <w:sz w:val="28"/>
          <w:szCs w:val="28"/>
          <w:highlight w:val="none"/>
        </w:rPr>
      </w:pPr>
    </w:p>
    <w:p w14:paraId="16006729">
      <w:pPr>
        <w:snapToGrid w:val="0"/>
        <w:spacing w:line="400" w:lineRule="exact"/>
        <w:ind w:firstLine="540" w:firstLineChars="192"/>
        <w:contextualSpacing/>
        <w:rPr>
          <w:rFonts w:hint="eastAsia" w:ascii="宋体" w:hAnsi="宋体" w:cs="宋体"/>
          <w:b/>
          <w:color w:val="auto"/>
          <w:kern w:val="0"/>
          <w:sz w:val="28"/>
          <w:szCs w:val="28"/>
          <w:highlight w:val="none"/>
        </w:rPr>
      </w:pPr>
    </w:p>
    <w:p w14:paraId="288252BB">
      <w:pPr>
        <w:snapToGrid w:val="0"/>
        <w:spacing w:line="400" w:lineRule="exact"/>
        <w:ind w:firstLine="540" w:firstLineChars="192"/>
        <w:contextualSpacing/>
        <w:rPr>
          <w:rFonts w:hint="eastAsia" w:ascii="宋体" w:hAnsi="宋体" w:cs="宋体"/>
          <w:b/>
          <w:color w:val="auto"/>
          <w:kern w:val="0"/>
          <w:sz w:val="28"/>
          <w:szCs w:val="28"/>
          <w:highlight w:val="none"/>
        </w:rPr>
      </w:pPr>
    </w:p>
    <w:p w14:paraId="2AACAAAC">
      <w:pPr>
        <w:snapToGrid w:val="0"/>
        <w:spacing w:line="400" w:lineRule="exact"/>
        <w:ind w:firstLine="540" w:firstLineChars="192"/>
        <w:contextualSpacing/>
        <w:rPr>
          <w:rFonts w:hint="eastAsia" w:ascii="宋体" w:hAnsi="宋体" w:cs="宋体"/>
          <w:b/>
          <w:color w:val="auto"/>
          <w:kern w:val="0"/>
          <w:sz w:val="28"/>
          <w:szCs w:val="28"/>
          <w:highlight w:val="none"/>
        </w:rPr>
      </w:pPr>
    </w:p>
    <w:p w14:paraId="3D1C610D">
      <w:pPr>
        <w:snapToGrid w:val="0"/>
        <w:spacing w:line="400" w:lineRule="exact"/>
        <w:contextualSpacing/>
        <w:rPr>
          <w:rFonts w:hint="eastAsia"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04C3FE07">
      <w:pPr>
        <w:snapToGrid w:val="0"/>
        <w:spacing w:line="400" w:lineRule="exact"/>
        <w:contextualSpacing/>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附件7</w:t>
      </w:r>
    </w:p>
    <w:p w14:paraId="6DF4FEE6">
      <w:pPr>
        <w:widowControl/>
        <w:spacing w:before="100" w:beforeAutospacing="1" w:after="100" w:afterAutospacing="1" w:line="360" w:lineRule="auto"/>
        <w:jc w:val="center"/>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6AE3ABC6">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投标人全称（加盖公章）：</w:t>
      </w:r>
    </w:p>
    <w:p w14:paraId="3B41AC43">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617A5E61">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3F9B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E83997D">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1723" w:type="pct"/>
          </w:tcPr>
          <w:p w14:paraId="09A4199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投标总报价</w:t>
            </w:r>
          </w:p>
        </w:tc>
        <w:tc>
          <w:tcPr>
            <w:tcW w:w="1723" w:type="pct"/>
          </w:tcPr>
          <w:p w14:paraId="777787A1">
            <w:pPr>
              <w:spacing w:line="360" w:lineRule="auto"/>
              <w:jc w:val="center"/>
              <w:rPr>
                <w:rFonts w:hint="eastAsia" w:ascii="宋体" w:hAnsi="宋体" w:cs="宋体"/>
                <w:color w:val="auto"/>
                <w:kern w:val="0"/>
                <w:sz w:val="28"/>
                <w:szCs w:val="28"/>
                <w:highlight w:val="none"/>
              </w:rPr>
            </w:pPr>
            <w:r>
              <w:rPr>
                <w:rFonts w:hint="eastAsia" w:ascii="宋体" w:hAnsi="宋体" w:cs="宋体"/>
                <w:b/>
                <w:color w:val="auto"/>
                <w:sz w:val="28"/>
                <w:szCs w:val="28"/>
                <w:highlight w:val="none"/>
              </w:rPr>
              <w:t>备注</w:t>
            </w:r>
          </w:p>
        </w:tc>
      </w:tr>
      <w:tr w14:paraId="1C7A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3DF681E9">
            <w:pPr>
              <w:spacing w:line="360" w:lineRule="auto"/>
              <w:jc w:val="left"/>
              <w:rPr>
                <w:rFonts w:hint="eastAsia" w:ascii="宋体" w:hAnsi="宋体" w:cs="宋体"/>
                <w:color w:val="auto"/>
                <w:sz w:val="28"/>
                <w:szCs w:val="28"/>
                <w:highlight w:val="none"/>
              </w:rPr>
            </w:pPr>
          </w:p>
        </w:tc>
        <w:tc>
          <w:tcPr>
            <w:tcW w:w="1723" w:type="pct"/>
            <w:vAlign w:val="center"/>
          </w:tcPr>
          <w:p w14:paraId="34E2A8E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大写：     人民币</w:t>
            </w:r>
          </w:p>
          <w:p w14:paraId="767676EA">
            <w:pPr>
              <w:spacing w:line="360" w:lineRule="auto"/>
              <w:rPr>
                <w:rFonts w:hint="eastAsia" w:ascii="宋体" w:hAnsi="宋体" w:cs="宋体"/>
                <w:color w:val="auto"/>
                <w:sz w:val="28"/>
                <w:szCs w:val="28"/>
                <w:highlight w:val="none"/>
                <w:u w:val="single"/>
              </w:rPr>
            </w:pPr>
            <w:r>
              <w:rPr>
                <w:rFonts w:hint="eastAsia" w:ascii="宋体" w:hAnsi="宋体" w:cs="宋体"/>
                <w:color w:val="auto"/>
                <w:kern w:val="0"/>
                <w:sz w:val="28"/>
                <w:szCs w:val="28"/>
                <w:highlight w:val="none"/>
              </w:rPr>
              <w:t>小写：     元（人民币）</w:t>
            </w:r>
          </w:p>
        </w:tc>
        <w:tc>
          <w:tcPr>
            <w:tcW w:w="1723" w:type="pct"/>
            <w:vAlign w:val="center"/>
          </w:tcPr>
          <w:p w14:paraId="39BCD669">
            <w:pPr>
              <w:spacing w:line="360" w:lineRule="auto"/>
              <w:rPr>
                <w:rFonts w:hint="eastAsia" w:ascii="宋体" w:hAnsi="宋体" w:cs="宋体"/>
                <w:color w:val="auto"/>
                <w:kern w:val="0"/>
                <w:sz w:val="28"/>
                <w:szCs w:val="28"/>
                <w:highlight w:val="none"/>
              </w:rPr>
            </w:pPr>
          </w:p>
        </w:tc>
      </w:tr>
    </w:tbl>
    <w:p w14:paraId="1A06527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7F966489">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479BDCA5">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416C8FF7">
      <w:pPr>
        <w:tabs>
          <w:tab w:val="left" w:pos="340"/>
        </w:tabs>
        <w:kinsoku w:val="0"/>
        <w:topLinePunct/>
        <w:snapToGrid w:val="0"/>
        <w:spacing w:line="360" w:lineRule="auto"/>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总价报价，投标人应充分考虑服务实施期间各类市场价格和政策性价格调整因素，确定价格风险计入总报价，总价今后不作调整。包含本项目需求的全部货物及所需附件购置费、配套设备、包装费、运输费、过路、破除、修复、土方开挖及回填、机械设备、人工费、保险费、安装调试费、各种税费、设计费、测试费、资料费、售后服务费及完成项目应有的全部费用。</w:t>
      </w:r>
    </w:p>
    <w:p w14:paraId="7CDBD16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（3）投标报价在合同执行期间是固定不变和不可变更的，不因市场变化因素而变动，投标人在计算报价时应考虑风险因素。</w:t>
      </w:r>
    </w:p>
    <w:p w14:paraId="17FCE14B">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5B5BA661">
      <w:pPr>
        <w:snapToGrid w:val="0"/>
        <w:spacing w:line="360" w:lineRule="auto"/>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附件8</w:t>
      </w:r>
    </w:p>
    <w:p w14:paraId="660AB08D">
      <w:pPr>
        <w:snapToGrid w:val="0"/>
        <w:spacing w:line="360" w:lineRule="auto"/>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分项报价明细表</w:t>
      </w:r>
    </w:p>
    <w:tbl>
      <w:tblPr>
        <w:tblStyle w:val="36"/>
        <w:tblpPr w:leftFromText="180" w:rightFromText="180" w:vertAnchor="text" w:horzAnchor="page" w:tblpX="1260" w:tblpY="371"/>
        <w:tblOverlap w:val="never"/>
        <w:tblW w:w="56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298"/>
        <w:gridCol w:w="705"/>
        <w:gridCol w:w="689"/>
        <w:gridCol w:w="989"/>
        <w:gridCol w:w="1470"/>
        <w:gridCol w:w="984"/>
        <w:gridCol w:w="724"/>
        <w:gridCol w:w="1173"/>
        <w:gridCol w:w="943"/>
      </w:tblGrid>
      <w:tr w14:paraId="2351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8" w:hRule="atLeast"/>
        </w:trPr>
        <w:tc>
          <w:tcPr>
            <w:tcW w:w="309" w:type="pct"/>
            <w:vAlign w:val="center"/>
          </w:tcPr>
          <w:p w14:paraId="4323FED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678" w:type="pct"/>
            <w:vAlign w:val="center"/>
          </w:tcPr>
          <w:p w14:paraId="56F47457">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名  称</w:t>
            </w:r>
          </w:p>
        </w:tc>
        <w:tc>
          <w:tcPr>
            <w:tcW w:w="368" w:type="pct"/>
            <w:vAlign w:val="center"/>
          </w:tcPr>
          <w:p w14:paraId="7B201F9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360" w:type="pct"/>
            <w:vAlign w:val="center"/>
          </w:tcPr>
          <w:p w14:paraId="1A68087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516" w:type="pct"/>
            <w:vAlign w:val="center"/>
          </w:tcPr>
          <w:p w14:paraId="2418C02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p w14:paraId="6491521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（如有）</w:t>
            </w:r>
          </w:p>
        </w:tc>
        <w:tc>
          <w:tcPr>
            <w:tcW w:w="768" w:type="pct"/>
            <w:vAlign w:val="center"/>
          </w:tcPr>
          <w:p w14:paraId="36082596">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规格型号</w:t>
            </w:r>
          </w:p>
        </w:tc>
        <w:tc>
          <w:tcPr>
            <w:tcW w:w="514" w:type="pct"/>
            <w:vAlign w:val="center"/>
          </w:tcPr>
          <w:p w14:paraId="7196B96A">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378" w:type="pct"/>
            <w:vAlign w:val="center"/>
          </w:tcPr>
          <w:p w14:paraId="3E54141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产地</w:t>
            </w:r>
          </w:p>
        </w:tc>
        <w:tc>
          <w:tcPr>
            <w:tcW w:w="613" w:type="pct"/>
            <w:vAlign w:val="center"/>
          </w:tcPr>
          <w:p w14:paraId="3A94791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投标单价（元）</w:t>
            </w:r>
          </w:p>
        </w:tc>
        <w:tc>
          <w:tcPr>
            <w:tcW w:w="492" w:type="pct"/>
            <w:vAlign w:val="center"/>
          </w:tcPr>
          <w:p w14:paraId="6CF58DE4">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投标合价（元）</w:t>
            </w:r>
          </w:p>
        </w:tc>
      </w:tr>
      <w:tr w14:paraId="35B4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309" w:type="pct"/>
            <w:vAlign w:val="center"/>
          </w:tcPr>
          <w:p w14:paraId="7F69D2D9">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678" w:type="pct"/>
            <w:vAlign w:val="center"/>
          </w:tcPr>
          <w:p w14:paraId="19CABC3B">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灯具</w:t>
            </w:r>
          </w:p>
        </w:tc>
        <w:tc>
          <w:tcPr>
            <w:tcW w:w="368" w:type="pct"/>
            <w:vAlign w:val="center"/>
          </w:tcPr>
          <w:p w14:paraId="11A3DE6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5697ED62">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套</w:t>
            </w:r>
          </w:p>
        </w:tc>
        <w:tc>
          <w:tcPr>
            <w:tcW w:w="516" w:type="pct"/>
            <w:vAlign w:val="center"/>
          </w:tcPr>
          <w:p w14:paraId="1D7AABE2">
            <w:pPr>
              <w:spacing w:line="360" w:lineRule="exact"/>
              <w:jc w:val="center"/>
              <w:rPr>
                <w:rFonts w:hint="eastAsia" w:ascii="宋体" w:hAnsi="宋体" w:cs="宋体"/>
                <w:color w:val="auto"/>
                <w:sz w:val="28"/>
                <w:szCs w:val="28"/>
                <w:highlight w:val="none"/>
              </w:rPr>
            </w:pPr>
          </w:p>
        </w:tc>
        <w:tc>
          <w:tcPr>
            <w:tcW w:w="768" w:type="pct"/>
            <w:vAlign w:val="center"/>
          </w:tcPr>
          <w:p w14:paraId="0620CA6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需明确规格型号及每套配置数量</w:t>
            </w:r>
            <w:r>
              <w:rPr>
                <w:rFonts w:hint="eastAsia" w:ascii="宋体" w:hAnsi="宋体" w:cs="宋体"/>
                <w:color w:val="auto"/>
                <w:sz w:val="28"/>
                <w:szCs w:val="28"/>
                <w:highlight w:val="none"/>
                <w:lang w:eastAsia="zh-CN"/>
              </w:rPr>
              <w:t>）</w:t>
            </w:r>
          </w:p>
        </w:tc>
        <w:tc>
          <w:tcPr>
            <w:tcW w:w="514" w:type="pct"/>
            <w:vAlign w:val="center"/>
          </w:tcPr>
          <w:p w14:paraId="3302A2D2">
            <w:pPr>
              <w:spacing w:line="360" w:lineRule="exact"/>
              <w:jc w:val="center"/>
              <w:rPr>
                <w:rFonts w:hint="eastAsia" w:ascii="宋体" w:hAnsi="宋体" w:cs="宋体"/>
                <w:color w:val="auto"/>
                <w:sz w:val="28"/>
                <w:szCs w:val="28"/>
                <w:highlight w:val="none"/>
              </w:rPr>
            </w:pPr>
          </w:p>
        </w:tc>
        <w:tc>
          <w:tcPr>
            <w:tcW w:w="378" w:type="pct"/>
            <w:vAlign w:val="center"/>
          </w:tcPr>
          <w:p w14:paraId="072D295C">
            <w:pPr>
              <w:spacing w:line="360" w:lineRule="exact"/>
              <w:jc w:val="center"/>
              <w:rPr>
                <w:rFonts w:hint="eastAsia" w:ascii="宋体" w:hAnsi="宋体" w:cs="宋体"/>
                <w:color w:val="auto"/>
                <w:sz w:val="28"/>
                <w:szCs w:val="28"/>
                <w:highlight w:val="none"/>
              </w:rPr>
            </w:pPr>
          </w:p>
        </w:tc>
        <w:tc>
          <w:tcPr>
            <w:tcW w:w="613" w:type="pct"/>
            <w:vAlign w:val="center"/>
          </w:tcPr>
          <w:p w14:paraId="6A986471">
            <w:pPr>
              <w:spacing w:line="360" w:lineRule="exact"/>
              <w:jc w:val="center"/>
              <w:rPr>
                <w:rFonts w:hint="eastAsia" w:ascii="宋体" w:hAnsi="宋体" w:cs="宋体"/>
                <w:color w:val="auto"/>
                <w:sz w:val="28"/>
                <w:szCs w:val="28"/>
                <w:highlight w:val="none"/>
              </w:rPr>
            </w:pPr>
          </w:p>
        </w:tc>
        <w:tc>
          <w:tcPr>
            <w:tcW w:w="492" w:type="pct"/>
            <w:vAlign w:val="center"/>
          </w:tcPr>
          <w:p w14:paraId="735241D4">
            <w:pPr>
              <w:spacing w:line="360" w:lineRule="exact"/>
              <w:jc w:val="center"/>
              <w:rPr>
                <w:rFonts w:hint="eastAsia" w:ascii="宋体" w:hAnsi="宋体" w:cs="宋体"/>
                <w:color w:val="auto"/>
                <w:sz w:val="28"/>
                <w:szCs w:val="28"/>
                <w:highlight w:val="none"/>
              </w:rPr>
            </w:pPr>
          </w:p>
        </w:tc>
      </w:tr>
      <w:tr w14:paraId="4EDE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60577C0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w:t>
            </w:r>
          </w:p>
        </w:tc>
        <w:tc>
          <w:tcPr>
            <w:tcW w:w="678" w:type="pct"/>
            <w:vAlign w:val="center"/>
          </w:tcPr>
          <w:p w14:paraId="173F3FE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高杆灯塔</w:t>
            </w:r>
          </w:p>
        </w:tc>
        <w:tc>
          <w:tcPr>
            <w:tcW w:w="368" w:type="pct"/>
            <w:vAlign w:val="center"/>
          </w:tcPr>
          <w:p w14:paraId="7082CBA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64CB4D2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根</w:t>
            </w:r>
          </w:p>
        </w:tc>
        <w:tc>
          <w:tcPr>
            <w:tcW w:w="516" w:type="pct"/>
            <w:vAlign w:val="center"/>
          </w:tcPr>
          <w:p w14:paraId="665BFE07">
            <w:pPr>
              <w:spacing w:line="360" w:lineRule="exact"/>
              <w:jc w:val="center"/>
              <w:rPr>
                <w:rFonts w:hint="eastAsia" w:ascii="宋体" w:hAnsi="宋体" w:cs="宋体"/>
                <w:color w:val="auto"/>
                <w:sz w:val="28"/>
                <w:szCs w:val="28"/>
                <w:highlight w:val="none"/>
              </w:rPr>
            </w:pPr>
          </w:p>
        </w:tc>
        <w:tc>
          <w:tcPr>
            <w:tcW w:w="768" w:type="pct"/>
            <w:vAlign w:val="center"/>
          </w:tcPr>
          <w:p w14:paraId="722D2E1A">
            <w:pPr>
              <w:spacing w:line="360" w:lineRule="exact"/>
              <w:jc w:val="center"/>
              <w:rPr>
                <w:rFonts w:hint="eastAsia" w:ascii="宋体" w:hAnsi="宋体" w:cs="宋体"/>
                <w:color w:val="auto"/>
                <w:sz w:val="28"/>
                <w:szCs w:val="28"/>
                <w:highlight w:val="none"/>
              </w:rPr>
            </w:pPr>
          </w:p>
        </w:tc>
        <w:tc>
          <w:tcPr>
            <w:tcW w:w="514" w:type="pct"/>
            <w:vAlign w:val="center"/>
          </w:tcPr>
          <w:p w14:paraId="4A4E9A4C">
            <w:pPr>
              <w:spacing w:line="360" w:lineRule="exact"/>
              <w:jc w:val="center"/>
              <w:rPr>
                <w:rFonts w:hint="eastAsia" w:ascii="宋体" w:hAnsi="宋体" w:cs="宋体"/>
                <w:color w:val="auto"/>
                <w:sz w:val="28"/>
                <w:szCs w:val="28"/>
                <w:highlight w:val="none"/>
              </w:rPr>
            </w:pPr>
          </w:p>
        </w:tc>
        <w:tc>
          <w:tcPr>
            <w:tcW w:w="378" w:type="pct"/>
            <w:vAlign w:val="center"/>
          </w:tcPr>
          <w:p w14:paraId="44824361">
            <w:pPr>
              <w:spacing w:line="360" w:lineRule="exact"/>
              <w:jc w:val="center"/>
              <w:rPr>
                <w:rFonts w:hint="eastAsia" w:ascii="宋体" w:hAnsi="宋体" w:cs="宋体"/>
                <w:color w:val="auto"/>
                <w:sz w:val="28"/>
                <w:szCs w:val="28"/>
                <w:highlight w:val="none"/>
              </w:rPr>
            </w:pPr>
          </w:p>
        </w:tc>
        <w:tc>
          <w:tcPr>
            <w:tcW w:w="613" w:type="pct"/>
            <w:vAlign w:val="center"/>
          </w:tcPr>
          <w:p w14:paraId="545FBE0C">
            <w:pPr>
              <w:spacing w:line="360" w:lineRule="exact"/>
              <w:jc w:val="center"/>
              <w:rPr>
                <w:rFonts w:hint="eastAsia" w:ascii="宋体" w:hAnsi="宋体" w:cs="宋体"/>
                <w:color w:val="auto"/>
                <w:sz w:val="28"/>
                <w:szCs w:val="28"/>
                <w:highlight w:val="none"/>
              </w:rPr>
            </w:pPr>
          </w:p>
        </w:tc>
        <w:tc>
          <w:tcPr>
            <w:tcW w:w="492" w:type="pct"/>
            <w:vAlign w:val="center"/>
          </w:tcPr>
          <w:p w14:paraId="780ABC15">
            <w:pPr>
              <w:spacing w:line="360" w:lineRule="exact"/>
              <w:jc w:val="center"/>
              <w:rPr>
                <w:rFonts w:hint="eastAsia" w:ascii="宋体" w:hAnsi="宋体" w:cs="宋体"/>
                <w:color w:val="auto"/>
                <w:sz w:val="28"/>
                <w:szCs w:val="28"/>
                <w:highlight w:val="none"/>
              </w:rPr>
            </w:pPr>
          </w:p>
        </w:tc>
      </w:tr>
      <w:tr w14:paraId="6251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42B418E3">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3</w:t>
            </w:r>
          </w:p>
        </w:tc>
        <w:tc>
          <w:tcPr>
            <w:tcW w:w="678" w:type="pct"/>
            <w:vAlign w:val="center"/>
          </w:tcPr>
          <w:p w14:paraId="122B9B5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主电缆</w:t>
            </w:r>
          </w:p>
        </w:tc>
        <w:tc>
          <w:tcPr>
            <w:tcW w:w="368" w:type="pct"/>
            <w:vAlign w:val="center"/>
          </w:tcPr>
          <w:p w14:paraId="2DF2975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150</w:t>
            </w:r>
          </w:p>
        </w:tc>
        <w:tc>
          <w:tcPr>
            <w:tcW w:w="360" w:type="pct"/>
            <w:vAlign w:val="center"/>
          </w:tcPr>
          <w:p w14:paraId="4EA4DCCA">
            <w:pPr>
              <w:widowControl/>
              <w:jc w:val="center"/>
              <w:textAlignment w:val="center"/>
              <w:rPr>
                <w:rFonts w:hint="eastAsia" w:ascii="宋体" w:hAnsi="宋体" w:cs="宋体"/>
                <w:color w:val="auto"/>
                <w:sz w:val="28"/>
                <w:szCs w:val="28"/>
                <w:highlight w:val="none"/>
              </w:rPr>
            </w:pPr>
            <w:r>
              <w:rPr>
                <w:rFonts w:ascii="宋体" w:hAnsi="宋体" w:cs="宋体"/>
                <w:color w:val="auto"/>
                <w:sz w:val="24"/>
                <w:highlight w:val="none"/>
              </w:rPr>
              <w:t>米</w:t>
            </w:r>
          </w:p>
        </w:tc>
        <w:tc>
          <w:tcPr>
            <w:tcW w:w="516" w:type="pct"/>
            <w:vAlign w:val="center"/>
          </w:tcPr>
          <w:p w14:paraId="25B718B6">
            <w:pPr>
              <w:spacing w:line="360" w:lineRule="exact"/>
              <w:jc w:val="center"/>
              <w:rPr>
                <w:rFonts w:hint="eastAsia" w:ascii="宋体" w:hAnsi="宋体" w:cs="宋体"/>
                <w:color w:val="auto"/>
                <w:sz w:val="28"/>
                <w:szCs w:val="28"/>
                <w:highlight w:val="none"/>
              </w:rPr>
            </w:pPr>
          </w:p>
        </w:tc>
        <w:tc>
          <w:tcPr>
            <w:tcW w:w="768" w:type="pct"/>
            <w:vAlign w:val="center"/>
          </w:tcPr>
          <w:p w14:paraId="7C3BC419">
            <w:pPr>
              <w:spacing w:line="360" w:lineRule="exact"/>
              <w:jc w:val="center"/>
              <w:rPr>
                <w:rFonts w:hint="eastAsia" w:ascii="宋体" w:hAnsi="宋体" w:cs="宋体"/>
                <w:color w:val="auto"/>
                <w:sz w:val="28"/>
                <w:szCs w:val="28"/>
                <w:highlight w:val="none"/>
              </w:rPr>
            </w:pPr>
          </w:p>
        </w:tc>
        <w:tc>
          <w:tcPr>
            <w:tcW w:w="514" w:type="pct"/>
            <w:vAlign w:val="center"/>
          </w:tcPr>
          <w:p w14:paraId="1BDEE5F3">
            <w:pPr>
              <w:spacing w:line="360" w:lineRule="exact"/>
              <w:jc w:val="center"/>
              <w:rPr>
                <w:rFonts w:hint="eastAsia" w:ascii="宋体" w:hAnsi="宋体" w:cs="宋体"/>
                <w:color w:val="auto"/>
                <w:sz w:val="28"/>
                <w:szCs w:val="28"/>
                <w:highlight w:val="none"/>
              </w:rPr>
            </w:pPr>
          </w:p>
        </w:tc>
        <w:tc>
          <w:tcPr>
            <w:tcW w:w="378" w:type="pct"/>
            <w:vAlign w:val="center"/>
          </w:tcPr>
          <w:p w14:paraId="51286049">
            <w:pPr>
              <w:spacing w:line="360" w:lineRule="exact"/>
              <w:jc w:val="center"/>
              <w:rPr>
                <w:rFonts w:hint="eastAsia" w:ascii="宋体" w:hAnsi="宋体" w:cs="宋体"/>
                <w:color w:val="auto"/>
                <w:sz w:val="28"/>
                <w:szCs w:val="28"/>
                <w:highlight w:val="none"/>
              </w:rPr>
            </w:pPr>
          </w:p>
        </w:tc>
        <w:tc>
          <w:tcPr>
            <w:tcW w:w="613" w:type="pct"/>
            <w:vAlign w:val="center"/>
          </w:tcPr>
          <w:p w14:paraId="1502B587">
            <w:pPr>
              <w:spacing w:line="360" w:lineRule="exact"/>
              <w:jc w:val="center"/>
              <w:rPr>
                <w:rFonts w:hint="eastAsia" w:ascii="宋体" w:hAnsi="宋体" w:cs="宋体"/>
                <w:color w:val="auto"/>
                <w:sz w:val="28"/>
                <w:szCs w:val="28"/>
                <w:highlight w:val="none"/>
              </w:rPr>
            </w:pPr>
          </w:p>
        </w:tc>
        <w:tc>
          <w:tcPr>
            <w:tcW w:w="492" w:type="pct"/>
            <w:vAlign w:val="center"/>
          </w:tcPr>
          <w:p w14:paraId="23FAA9D4">
            <w:pPr>
              <w:spacing w:line="360" w:lineRule="exact"/>
              <w:jc w:val="center"/>
              <w:rPr>
                <w:rFonts w:hint="eastAsia" w:ascii="宋体" w:hAnsi="宋体" w:cs="宋体"/>
                <w:color w:val="auto"/>
                <w:sz w:val="28"/>
                <w:szCs w:val="28"/>
                <w:highlight w:val="none"/>
              </w:rPr>
            </w:pPr>
          </w:p>
        </w:tc>
      </w:tr>
      <w:tr w14:paraId="0E4C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79911D9B">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w:t>
            </w:r>
          </w:p>
        </w:tc>
        <w:tc>
          <w:tcPr>
            <w:tcW w:w="678" w:type="pct"/>
            <w:vAlign w:val="center"/>
          </w:tcPr>
          <w:p w14:paraId="4F29C1C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辅电缆</w:t>
            </w:r>
          </w:p>
        </w:tc>
        <w:tc>
          <w:tcPr>
            <w:tcW w:w="368" w:type="pct"/>
            <w:vAlign w:val="center"/>
          </w:tcPr>
          <w:p w14:paraId="0FFC2D3D">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5860423E">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7FDA307E">
            <w:pPr>
              <w:spacing w:line="360" w:lineRule="exact"/>
              <w:jc w:val="center"/>
              <w:rPr>
                <w:rFonts w:hint="eastAsia" w:ascii="宋体" w:hAnsi="宋体" w:cs="宋体"/>
                <w:color w:val="auto"/>
                <w:sz w:val="28"/>
                <w:szCs w:val="28"/>
                <w:highlight w:val="none"/>
              </w:rPr>
            </w:pPr>
          </w:p>
        </w:tc>
        <w:tc>
          <w:tcPr>
            <w:tcW w:w="768" w:type="pct"/>
            <w:vAlign w:val="center"/>
          </w:tcPr>
          <w:p w14:paraId="70834828">
            <w:pPr>
              <w:spacing w:line="360" w:lineRule="exact"/>
              <w:jc w:val="center"/>
              <w:rPr>
                <w:rFonts w:hint="eastAsia" w:ascii="宋体" w:hAnsi="宋体" w:cs="宋体"/>
                <w:color w:val="auto"/>
                <w:sz w:val="28"/>
                <w:szCs w:val="28"/>
                <w:highlight w:val="none"/>
              </w:rPr>
            </w:pPr>
          </w:p>
        </w:tc>
        <w:tc>
          <w:tcPr>
            <w:tcW w:w="514" w:type="pct"/>
            <w:vAlign w:val="center"/>
          </w:tcPr>
          <w:p w14:paraId="7774266E">
            <w:pPr>
              <w:spacing w:line="360" w:lineRule="exact"/>
              <w:jc w:val="center"/>
              <w:rPr>
                <w:rFonts w:hint="eastAsia" w:ascii="宋体" w:hAnsi="宋体" w:cs="宋体"/>
                <w:color w:val="auto"/>
                <w:sz w:val="28"/>
                <w:szCs w:val="28"/>
                <w:highlight w:val="none"/>
              </w:rPr>
            </w:pPr>
          </w:p>
        </w:tc>
        <w:tc>
          <w:tcPr>
            <w:tcW w:w="378" w:type="pct"/>
            <w:vAlign w:val="center"/>
          </w:tcPr>
          <w:p w14:paraId="3DF34C90">
            <w:pPr>
              <w:spacing w:line="360" w:lineRule="exact"/>
              <w:jc w:val="center"/>
              <w:rPr>
                <w:rFonts w:hint="eastAsia" w:ascii="宋体" w:hAnsi="宋体" w:cs="宋体"/>
                <w:color w:val="auto"/>
                <w:sz w:val="28"/>
                <w:szCs w:val="28"/>
                <w:highlight w:val="none"/>
              </w:rPr>
            </w:pPr>
          </w:p>
        </w:tc>
        <w:tc>
          <w:tcPr>
            <w:tcW w:w="613" w:type="pct"/>
            <w:vAlign w:val="center"/>
          </w:tcPr>
          <w:p w14:paraId="39CCFADE">
            <w:pPr>
              <w:spacing w:line="360" w:lineRule="exact"/>
              <w:jc w:val="center"/>
              <w:rPr>
                <w:rFonts w:hint="eastAsia" w:ascii="宋体" w:hAnsi="宋体" w:cs="宋体"/>
                <w:color w:val="auto"/>
                <w:sz w:val="28"/>
                <w:szCs w:val="28"/>
                <w:highlight w:val="none"/>
              </w:rPr>
            </w:pPr>
          </w:p>
        </w:tc>
        <w:tc>
          <w:tcPr>
            <w:tcW w:w="492" w:type="pct"/>
            <w:vAlign w:val="center"/>
          </w:tcPr>
          <w:p w14:paraId="07C0E63A">
            <w:pPr>
              <w:spacing w:line="360" w:lineRule="exact"/>
              <w:jc w:val="center"/>
              <w:rPr>
                <w:rFonts w:hint="eastAsia" w:ascii="宋体" w:hAnsi="宋体" w:cs="宋体"/>
                <w:color w:val="auto"/>
                <w:sz w:val="28"/>
                <w:szCs w:val="28"/>
                <w:highlight w:val="none"/>
              </w:rPr>
            </w:pPr>
          </w:p>
        </w:tc>
      </w:tr>
      <w:tr w14:paraId="4183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3871FD00">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w:t>
            </w:r>
          </w:p>
        </w:tc>
        <w:tc>
          <w:tcPr>
            <w:tcW w:w="678" w:type="pct"/>
            <w:vAlign w:val="center"/>
          </w:tcPr>
          <w:p w14:paraId="0803AA4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接灯电缆</w:t>
            </w:r>
          </w:p>
        </w:tc>
        <w:tc>
          <w:tcPr>
            <w:tcW w:w="368" w:type="pct"/>
            <w:vAlign w:val="center"/>
          </w:tcPr>
          <w:p w14:paraId="0FA7AE33">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2ED2968C">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5FE63F4A">
            <w:pPr>
              <w:spacing w:line="360" w:lineRule="exact"/>
              <w:jc w:val="center"/>
              <w:rPr>
                <w:rFonts w:hint="eastAsia" w:ascii="宋体" w:hAnsi="宋体" w:cs="宋体"/>
                <w:color w:val="auto"/>
                <w:sz w:val="28"/>
                <w:szCs w:val="28"/>
                <w:highlight w:val="none"/>
              </w:rPr>
            </w:pPr>
          </w:p>
        </w:tc>
        <w:tc>
          <w:tcPr>
            <w:tcW w:w="768" w:type="pct"/>
            <w:vAlign w:val="center"/>
          </w:tcPr>
          <w:p w14:paraId="1F16F032">
            <w:pPr>
              <w:spacing w:line="360" w:lineRule="exact"/>
              <w:jc w:val="center"/>
              <w:rPr>
                <w:rFonts w:hint="eastAsia" w:ascii="宋体" w:hAnsi="宋体" w:cs="宋体"/>
                <w:color w:val="auto"/>
                <w:sz w:val="28"/>
                <w:szCs w:val="28"/>
                <w:highlight w:val="none"/>
              </w:rPr>
            </w:pPr>
          </w:p>
        </w:tc>
        <w:tc>
          <w:tcPr>
            <w:tcW w:w="514" w:type="pct"/>
            <w:vAlign w:val="center"/>
          </w:tcPr>
          <w:p w14:paraId="4E0980BC">
            <w:pPr>
              <w:spacing w:line="360" w:lineRule="exact"/>
              <w:jc w:val="center"/>
              <w:rPr>
                <w:rFonts w:hint="eastAsia" w:ascii="宋体" w:hAnsi="宋体" w:cs="宋体"/>
                <w:color w:val="auto"/>
                <w:sz w:val="28"/>
                <w:szCs w:val="28"/>
                <w:highlight w:val="none"/>
              </w:rPr>
            </w:pPr>
          </w:p>
        </w:tc>
        <w:tc>
          <w:tcPr>
            <w:tcW w:w="378" w:type="pct"/>
            <w:vAlign w:val="center"/>
          </w:tcPr>
          <w:p w14:paraId="5D9C8C94">
            <w:pPr>
              <w:spacing w:line="360" w:lineRule="exact"/>
              <w:jc w:val="center"/>
              <w:rPr>
                <w:rFonts w:hint="eastAsia" w:ascii="宋体" w:hAnsi="宋体" w:cs="宋体"/>
                <w:color w:val="auto"/>
                <w:sz w:val="28"/>
                <w:szCs w:val="28"/>
                <w:highlight w:val="none"/>
              </w:rPr>
            </w:pPr>
          </w:p>
        </w:tc>
        <w:tc>
          <w:tcPr>
            <w:tcW w:w="613" w:type="pct"/>
            <w:vAlign w:val="center"/>
          </w:tcPr>
          <w:p w14:paraId="59C9F343">
            <w:pPr>
              <w:spacing w:line="360" w:lineRule="exact"/>
              <w:jc w:val="center"/>
              <w:rPr>
                <w:rFonts w:hint="eastAsia" w:ascii="宋体" w:hAnsi="宋体" w:cs="宋体"/>
                <w:color w:val="auto"/>
                <w:sz w:val="28"/>
                <w:szCs w:val="28"/>
                <w:highlight w:val="none"/>
              </w:rPr>
            </w:pPr>
          </w:p>
        </w:tc>
        <w:tc>
          <w:tcPr>
            <w:tcW w:w="492" w:type="pct"/>
            <w:vAlign w:val="center"/>
          </w:tcPr>
          <w:p w14:paraId="338647F4">
            <w:pPr>
              <w:spacing w:line="360" w:lineRule="exact"/>
              <w:jc w:val="center"/>
              <w:rPr>
                <w:rFonts w:hint="eastAsia" w:ascii="宋体" w:hAnsi="宋体" w:cs="宋体"/>
                <w:color w:val="auto"/>
                <w:sz w:val="28"/>
                <w:szCs w:val="28"/>
                <w:highlight w:val="none"/>
              </w:rPr>
            </w:pPr>
          </w:p>
        </w:tc>
      </w:tr>
      <w:tr w14:paraId="3978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EFE400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6</w:t>
            </w:r>
          </w:p>
        </w:tc>
        <w:tc>
          <w:tcPr>
            <w:tcW w:w="678" w:type="pct"/>
            <w:vAlign w:val="center"/>
          </w:tcPr>
          <w:p w14:paraId="5AEA515C">
            <w:pPr>
              <w:widowControl/>
              <w:jc w:val="center"/>
              <w:textAlignment w:val="center"/>
              <w:rPr>
                <w:rFonts w:hint="default" w:ascii="宋体" w:hAnsi="宋体" w:eastAsia="宋体" w:cs="宋体"/>
                <w:color w:val="auto"/>
                <w:sz w:val="28"/>
                <w:szCs w:val="28"/>
                <w:highlight w:val="none"/>
                <w:lang w:val="en-US" w:eastAsia="zh-CN"/>
              </w:rPr>
            </w:pPr>
            <w:r>
              <w:rPr>
                <w:rFonts w:hint="eastAsia" w:ascii="宋体" w:hAnsi="宋体" w:cs="宋体"/>
                <w:color w:val="auto"/>
                <w:kern w:val="0"/>
                <w:sz w:val="22"/>
                <w:szCs w:val="22"/>
                <w:highlight w:val="none"/>
                <w:lang w:val="en-US" w:eastAsia="zh-CN" w:bidi="ar"/>
              </w:rPr>
              <w:t>户外配电箱</w:t>
            </w:r>
          </w:p>
        </w:tc>
        <w:tc>
          <w:tcPr>
            <w:tcW w:w="368" w:type="pct"/>
            <w:vAlign w:val="center"/>
          </w:tcPr>
          <w:p w14:paraId="6A401EF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8F012AA">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组</w:t>
            </w:r>
          </w:p>
        </w:tc>
        <w:tc>
          <w:tcPr>
            <w:tcW w:w="516" w:type="pct"/>
            <w:vAlign w:val="center"/>
          </w:tcPr>
          <w:p w14:paraId="6D08DB0C">
            <w:pPr>
              <w:spacing w:line="360" w:lineRule="exact"/>
              <w:jc w:val="center"/>
              <w:rPr>
                <w:rFonts w:hint="eastAsia" w:ascii="宋体" w:hAnsi="宋体" w:cs="宋体"/>
                <w:color w:val="auto"/>
                <w:sz w:val="28"/>
                <w:szCs w:val="28"/>
                <w:highlight w:val="none"/>
              </w:rPr>
            </w:pPr>
          </w:p>
        </w:tc>
        <w:tc>
          <w:tcPr>
            <w:tcW w:w="768" w:type="pct"/>
            <w:vAlign w:val="center"/>
          </w:tcPr>
          <w:p w14:paraId="07C84CA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w:t>
            </w:r>
            <w:r>
              <w:rPr>
                <w:rFonts w:hint="eastAsia" w:ascii="宋体" w:hAnsi="宋体" w:cs="宋体"/>
                <w:color w:val="auto"/>
                <w:sz w:val="24"/>
                <w:highlight w:val="none"/>
                <w:lang w:val="en-US" w:eastAsia="zh-CN"/>
              </w:rPr>
              <w:t>箱内所有控制模块</w:t>
            </w:r>
            <w:r>
              <w:rPr>
                <w:rFonts w:hint="eastAsia" w:ascii="宋体" w:hAnsi="宋体" w:cs="宋体"/>
                <w:color w:val="auto"/>
                <w:sz w:val="24"/>
                <w:highlight w:val="none"/>
              </w:rPr>
              <w:t>规格型号及数量</w:t>
            </w:r>
            <w:r>
              <w:rPr>
                <w:rFonts w:hint="eastAsia" w:ascii="宋体" w:hAnsi="宋体" w:cs="宋体"/>
                <w:color w:val="auto"/>
                <w:sz w:val="28"/>
                <w:szCs w:val="28"/>
                <w:highlight w:val="none"/>
                <w:lang w:eastAsia="zh-CN"/>
              </w:rPr>
              <w:t>）</w:t>
            </w:r>
          </w:p>
        </w:tc>
        <w:tc>
          <w:tcPr>
            <w:tcW w:w="514" w:type="pct"/>
            <w:vAlign w:val="center"/>
          </w:tcPr>
          <w:p w14:paraId="2A316EB9">
            <w:pPr>
              <w:spacing w:line="360" w:lineRule="exact"/>
              <w:jc w:val="center"/>
              <w:rPr>
                <w:rFonts w:hint="eastAsia" w:ascii="宋体" w:hAnsi="宋体" w:cs="宋体"/>
                <w:color w:val="auto"/>
                <w:sz w:val="28"/>
                <w:szCs w:val="28"/>
                <w:highlight w:val="none"/>
              </w:rPr>
            </w:pPr>
          </w:p>
        </w:tc>
        <w:tc>
          <w:tcPr>
            <w:tcW w:w="378" w:type="pct"/>
            <w:vAlign w:val="center"/>
          </w:tcPr>
          <w:p w14:paraId="457170B2">
            <w:pPr>
              <w:spacing w:line="360" w:lineRule="exact"/>
              <w:jc w:val="center"/>
              <w:rPr>
                <w:rFonts w:hint="eastAsia" w:ascii="宋体" w:hAnsi="宋体" w:cs="宋体"/>
                <w:color w:val="auto"/>
                <w:sz w:val="28"/>
                <w:szCs w:val="28"/>
                <w:highlight w:val="none"/>
              </w:rPr>
            </w:pPr>
          </w:p>
        </w:tc>
        <w:tc>
          <w:tcPr>
            <w:tcW w:w="613" w:type="pct"/>
            <w:vAlign w:val="center"/>
          </w:tcPr>
          <w:p w14:paraId="2BFD2D10">
            <w:pPr>
              <w:spacing w:line="360" w:lineRule="exact"/>
              <w:jc w:val="center"/>
              <w:rPr>
                <w:rFonts w:hint="eastAsia" w:ascii="宋体" w:hAnsi="宋体" w:cs="宋体"/>
                <w:color w:val="auto"/>
                <w:sz w:val="28"/>
                <w:szCs w:val="28"/>
                <w:highlight w:val="none"/>
              </w:rPr>
            </w:pPr>
          </w:p>
        </w:tc>
        <w:tc>
          <w:tcPr>
            <w:tcW w:w="492" w:type="pct"/>
            <w:vAlign w:val="center"/>
          </w:tcPr>
          <w:p w14:paraId="2AB694D5">
            <w:pPr>
              <w:spacing w:line="360" w:lineRule="exact"/>
              <w:jc w:val="center"/>
              <w:rPr>
                <w:rFonts w:hint="eastAsia" w:ascii="宋体" w:hAnsi="宋体" w:cs="宋体"/>
                <w:color w:val="auto"/>
                <w:sz w:val="28"/>
                <w:szCs w:val="28"/>
                <w:highlight w:val="none"/>
              </w:rPr>
            </w:pPr>
          </w:p>
        </w:tc>
      </w:tr>
      <w:tr w14:paraId="6D43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779A9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7</w:t>
            </w:r>
          </w:p>
        </w:tc>
        <w:tc>
          <w:tcPr>
            <w:tcW w:w="678" w:type="pct"/>
            <w:vAlign w:val="center"/>
          </w:tcPr>
          <w:p w14:paraId="5071B485">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安装及其他辅材等</w:t>
            </w:r>
          </w:p>
        </w:tc>
        <w:tc>
          <w:tcPr>
            <w:tcW w:w="368" w:type="pct"/>
            <w:vAlign w:val="center"/>
          </w:tcPr>
          <w:p w14:paraId="3527383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CA4976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项</w:t>
            </w:r>
          </w:p>
        </w:tc>
        <w:tc>
          <w:tcPr>
            <w:tcW w:w="516" w:type="pct"/>
            <w:vAlign w:val="center"/>
          </w:tcPr>
          <w:p w14:paraId="115058AE">
            <w:pPr>
              <w:spacing w:line="360" w:lineRule="exact"/>
              <w:jc w:val="center"/>
              <w:rPr>
                <w:rFonts w:hint="eastAsia" w:ascii="宋体" w:hAnsi="宋体" w:cs="宋体"/>
                <w:color w:val="auto"/>
                <w:sz w:val="28"/>
                <w:szCs w:val="28"/>
                <w:highlight w:val="none"/>
              </w:rPr>
            </w:pPr>
          </w:p>
        </w:tc>
        <w:tc>
          <w:tcPr>
            <w:tcW w:w="768" w:type="pct"/>
            <w:vAlign w:val="center"/>
          </w:tcPr>
          <w:p w14:paraId="5266C907">
            <w:pPr>
              <w:spacing w:line="360" w:lineRule="exact"/>
              <w:jc w:val="center"/>
              <w:rPr>
                <w:rFonts w:hint="eastAsia" w:ascii="宋体" w:hAnsi="宋体" w:cs="宋体"/>
                <w:color w:val="auto"/>
                <w:sz w:val="28"/>
                <w:szCs w:val="28"/>
                <w:highlight w:val="none"/>
              </w:rPr>
            </w:pPr>
          </w:p>
        </w:tc>
        <w:tc>
          <w:tcPr>
            <w:tcW w:w="514" w:type="pct"/>
            <w:vAlign w:val="center"/>
          </w:tcPr>
          <w:p w14:paraId="4C3AE5C3">
            <w:pPr>
              <w:spacing w:line="360" w:lineRule="exact"/>
              <w:jc w:val="center"/>
              <w:rPr>
                <w:rFonts w:hint="eastAsia" w:ascii="宋体" w:hAnsi="宋体" w:cs="宋体"/>
                <w:color w:val="auto"/>
                <w:sz w:val="28"/>
                <w:szCs w:val="28"/>
                <w:highlight w:val="none"/>
              </w:rPr>
            </w:pPr>
          </w:p>
        </w:tc>
        <w:tc>
          <w:tcPr>
            <w:tcW w:w="378" w:type="pct"/>
            <w:vAlign w:val="center"/>
          </w:tcPr>
          <w:p w14:paraId="0A8D49FA">
            <w:pPr>
              <w:spacing w:line="360" w:lineRule="exact"/>
              <w:jc w:val="center"/>
              <w:rPr>
                <w:rFonts w:hint="eastAsia" w:ascii="宋体" w:hAnsi="宋体" w:cs="宋体"/>
                <w:color w:val="auto"/>
                <w:sz w:val="28"/>
                <w:szCs w:val="28"/>
                <w:highlight w:val="none"/>
              </w:rPr>
            </w:pPr>
          </w:p>
        </w:tc>
        <w:tc>
          <w:tcPr>
            <w:tcW w:w="613" w:type="pct"/>
            <w:vAlign w:val="center"/>
          </w:tcPr>
          <w:p w14:paraId="695BB104">
            <w:pPr>
              <w:spacing w:line="360" w:lineRule="exact"/>
              <w:jc w:val="center"/>
              <w:rPr>
                <w:rFonts w:hint="eastAsia" w:ascii="宋体" w:hAnsi="宋体" w:cs="宋体"/>
                <w:color w:val="auto"/>
                <w:sz w:val="28"/>
                <w:szCs w:val="28"/>
                <w:highlight w:val="none"/>
              </w:rPr>
            </w:pPr>
          </w:p>
        </w:tc>
        <w:tc>
          <w:tcPr>
            <w:tcW w:w="492" w:type="pct"/>
            <w:vAlign w:val="center"/>
          </w:tcPr>
          <w:p w14:paraId="7DA2E54E">
            <w:pPr>
              <w:spacing w:line="360" w:lineRule="exact"/>
              <w:jc w:val="center"/>
              <w:rPr>
                <w:rFonts w:hint="eastAsia" w:ascii="宋体" w:hAnsi="宋体" w:cs="宋体"/>
                <w:color w:val="auto"/>
                <w:sz w:val="28"/>
                <w:szCs w:val="28"/>
                <w:highlight w:val="none"/>
              </w:rPr>
            </w:pPr>
          </w:p>
        </w:tc>
      </w:tr>
      <w:tr w14:paraId="5C3E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6A3CB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8</w:t>
            </w:r>
          </w:p>
        </w:tc>
        <w:tc>
          <w:tcPr>
            <w:tcW w:w="678" w:type="pct"/>
            <w:vAlign w:val="center"/>
          </w:tcPr>
          <w:p w14:paraId="4FA9594E">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投标人认为的其他必</w:t>
            </w:r>
            <w:r>
              <w:rPr>
                <w:rFonts w:hint="eastAsia" w:ascii="宋体" w:hAnsi="宋体" w:cs="宋体"/>
                <w:color w:val="auto"/>
                <w:kern w:val="0"/>
                <w:sz w:val="22"/>
                <w:szCs w:val="22"/>
                <w:highlight w:val="none"/>
                <w:lang w:eastAsia="zh-CN" w:bidi="ar"/>
              </w:rPr>
              <w:t>要</w:t>
            </w:r>
            <w:r>
              <w:rPr>
                <w:rFonts w:hint="eastAsia" w:ascii="宋体" w:hAnsi="宋体" w:cs="宋体"/>
                <w:color w:val="auto"/>
                <w:kern w:val="0"/>
                <w:sz w:val="22"/>
                <w:szCs w:val="22"/>
                <w:highlight w:val="none"/>
                <w:lang w:bidi="ar"/>
              </w:rPr>
              <w:t>费用</w:t>
            </w:r>
          </w:p>
        </w:tc>
        <w:tc>
          <w:tcPr>
            <w:tcW w:w="368" w:type="pct"/>
            <w:vAlign w:val="center"/>
          </w:tcPr>
          <w:p w14:paraId="2ED3F11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1</w:t>
            </w:r>
          </w:p>
        </w:tc>
        <w:tc>
          <w:tcPr>
            <w:tcW w:w="360" w:type="pct"/>
            <w:vAlign w:val="center"/>
          </w:tcPr>
          <w:p w14:paraId="13D4941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c>
          <w:tcPr>
            <w:tcW w:w="516" w:type="pct"/>
            <w:vAlign w:val="center"/>
          </w:tcPr>
          <w:p w14:paraId="5D42DC13">
            <w:pPr>
              <w:spacing w:line="360" w:lineRule="exact"/>
              <w:jc w:val="center"/>
              <w:rPr>
                <w:rFonts w:hint="eastAsia" w:ascii="宋体" w:hAnsi="宋体" w:cs="宋体"/>
                <w:color w:val="auto"/>
                <w:sz w:val="28"/>
                <w:szCs w:val="28"/>
                <w:highlight w:val="none"/>
              </w:rPr>
            </w:pPr>
          </w:p>
        </w:tc>
        <w:tc>
          <w:tcPr>
            <w:tcW w:w="768" w:type="pct"/>
            <w:vAlign w:val="center"/>
          </w:tcPr>
          <w:p w14:paraId="69019FF0">
            <w:pPr>
              <w:spacing w:line="360" w:lineRule="exact"/>
              <w:jc w:val="center"/>
              <w:rPr>
                <w:rFonts w:hint="eastAsia" w:ascii="宋体" w:hAnsi="宋体" w:cs="宋体"/>
                <w:color w:val="auto"/>
                <w:sz w:val="28"/>
                <w:szCs w:val="28"/>
                <w:highlight w:val="none"/>
              </w:rPr>
            </w:pPr>
          </w:p>
        </w:tc>
        <w:tc>
          <w:tcPr>
            <w:tcW w:w="514" w:type="pct"/>
            <w:vAlign w:val="center"/>
          </w:tcPr>
          <w:p w14:paraId="7E61AE9F">
            <w:pPr>
              <w:spacing w:line="360" w:lineRule="exact"/>
              <w:jc w:val="center"/>
              <w:rPr>
                <w:rFonts w:hint="eastAsia" w:ascii="宋体" w:hAnsi="宋体" w:cs="宋体"/>
                <w:color w:val="auto"/>
                <w:sz w:val="28"/>
                <w:szCs w:val="28"/>
                <w:highlight w:val="none"/>
              </w:rPr>
            </w:pPr>
          </w:p>
        </w:tc>
        <w:tc>
          <w:tcPr>
            <w:tcW w:w="378" w:type="pct"/>
            <w:vAlign w:val="center"/>
          </w:tcPr>
          <w:p w14:paraId="0475144F">
            <w:pPr>
              <w:spacing w:line="360" w:lineRule="exact"/>
              <w:jc w:val="center"/>
              <w:rPr>
                <w:rFonts w:hint="eastAsia" w:ascii="宋体" w:hAnsi="宋体" w:cs="宋体"/>
                <w:color w:val="auto"/>
                <w:sz w:val="28"/>
                <w:szCs w:val="28"/>
                <w:highlight w:val="none"/>
              </w:rPr>
            </w:pPr>
          </w:p>
        </w:tc>
        <w:tc>
          <w:tcPr>
            <w:tcW w:w="613" w:type="pct"/>
            <w:vAlign w:val="center"/>
          </w:tcPr>
          <w:p w14:paraId="1A98C8A2">
            <w:pPr>
              <w:spacing w:line="360" w:lineRule="exact"/>
              <w:jc w:val="center"/>
              <w:rPr>
                <w:rFonts w:hint="eastAsia" w:ascii="宋体" w:hAnsi="宋体" w:cs="宋体"/>
                <w:color w:val="auto"/>
                <w:sz w:val="28"/>
                <w:szCs w:val="28"/>
                <w:highlight w:val="none"/>
              </w:rPr>
            </w:pPr>
          </w:p>
        </w:tc>
        <w:tc>
          <w:tcPr>
            <w:tcW w:w="492" w:type="pct"/>
            <w:vAlign w:val="center"/>
          </w:tcPr>
          <w:p w14:paraId="7255AF96">
            <w:pPr>
              <w:spacing w:line="360" w:lineRule="exact"/>
              <w:jc w:val="center"/>
              <w:rPr>
                <w:rFonts w:hint="eastAsia" w:ascii="宋体" w:hAnsi="宋体" w:cs="宋体"/>
                <w:color w:val="auto"/>
                <w:sz w:val="28"/>
                <w:szCs w:val="28"/>
                <w:highlight w:val="none"/>
              </w:rPr>
            </w:pPr>
          </w:p>
        </w:tc>
      </w:tr>
      <w:tr w14:paraId="4488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4507" w:type="pct"/>
            <w:gridSpan w:val="9"/>
            <w:vAlign w:val="center"/>
          </w:tcPr>
          <w:p w14:paraId="53443B8C">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合计（元）</w:t>
            </w:r>
          </w:p>
        </w:tc>
        <w:tc>
          <w:tcPr>
            <w:tcW w:w="492" w:type="pct"/>
            <w:vAlign w:val="center"/>
          </w:tcPr>
          <w:p w14:paraId="7BAD5AFF">
            <w:pPr>
              <w:spacing w:line="360" w:lineRule="exact"/>
              <w:jc w:val="center"/>
              <w:rPr>
                <w:rFonts w:hint="eastAsia" w:ascii="宋体" w:hAnsi="宋体" w:cs="宋体"/>
                <w:color w:val="auto"/>
                <w:sz w:val="28"/>
                <w:szCs w:val="28"/>
                <w:highlight w:val="none"/>
              </w:rPr>
            </w:pPr>
          </w:p>
        </w:tc>
      </w:tr>
    </w:tbl>
    <w:p w14:paraId="4FB4B507">
      <w:pPr>
        <w:keepNext w:val="0"/>
        <w:keepLines w:val="0"/>
        <w:pageBreakBefore w:val="0"/>
        <w:widowControl/>
        <w:kinsoku/>
        <w:wordWrap/>
        <w:overflowPunct/>
        <w:topLinePunct w:val="0"/>
        <w:autoSpaceDE/>
        <w:autoSpaceDN/>
        <w:bidi w:val="0"/>
        <w:adjustRightInd w:val="0"/>
        <w:snapToGrid/>
        <w:spacing w:line="400" w:lineRule="exact"/>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说明：1.分项报价明细表作为合同附件。</w:t>
      </w:r>
    </w:p>
    <w:p w14:paraId="1C6FBD5D">
      <w:pPr>
        <w:keepNext w:val="0"/>
        <w:keepLines w:val="0"/>
        <w:pageBreakBefore w:val="0"/>
        <w:widowControl/>
        <w:numPr>
          <w:ilvl w:val="0"/>
          <w:numId w:val="0"/>
        </w:numPr>
        <w:kinsoku/>
        <w:wordWrap/>
        <w:overflowPunct/>
        <w:topLinePunct w:val="0"/>
        <w:autoSpaceDE/>
        <w:autoSpaceDN/>
        <w:bidi w:val="0"/>
        <w:adjustRightInd w:val="0"/>
        <w:snapToGrid/>
        <w:spacing w:line="400" w:lineRule="exact"/>
        <w:ind w:firstLine="630" w:firstLineChars="3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分项报价明细表所填内容为投标人按照本项目的实际方案（含优化方案）中的产品规格型号及数量等进行填写。</w:t>
      </w:r>
    </w:p>
    <w:p w14:paraId="6291A67B">
      <w:pPr>
        <w:keepNext w:val="0"/>
        <w:keepLines w:val="0"/>
        <w:pageBreakBefore w:val="0"/>
        <w:kinsoku/>
        <w:wordWrap/>
        <w:overflowPunct/>
        <w:topLinePunct w:val="0"/>
        <w:autoSpaceDE/>
        <w:autoSpaceDN/>
        <w:bidi w:val="0"/>
        <w:snapToGrid/>
        <w:spacing w:line="400" w:lineRule="exact"/>
        <w:ind w:firstLine="630" w:firstLineChars="300"/>
        <w:textAlignment w:val="auto"/>
        <w:rPr>
          <w:rFonts w:hint="eastAsia" w:ascii="宋体" w:hAnsi="宋体" w:cs="宋体"/>
          <w:color w:val="auto"/>
          <w:kern w:val="0"/>
          <w:sz w:val="20"/>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投标人需认真填写本分项报价</w:t>
      </w:r>
      <w:r>
        <w:rPr>
          <w:rFonts w:hint="eastAsia" w:ascii="宋体" w:hAnsi="宋体" w:eastAsia="宋体" w:cs="宋体"/>
          <w:color w:val="auto"/>
          <w:sz w:val="21"/>
          <w:szCs w:val="21"/>
          <w:highlight w:val="none"/>
          <w:lang w:val="en-US" w:eastAsia="zh-CN"/>
        </w:rPr>
        <w:t>明细</w:t>
      </w: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缺项或不填写作无效投标处理。</w:t>
      </w:r>
    </w:p>
    <w:p w14:paraId="08ACADD4">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63955C21">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3FC4E14">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314C4B47">
      <w:pPr>
        <w:rPr>
          <w:rFonts w:hint="eastAsia" w:ascii="宋体" w:hAnsi="宋体" w:cs="宋体"/>
          <w:bCs/>
          <w:color w:val="auto"/>
          <w:sz w:val="32"/>
          <w:szCs w:val="32"/>
          <w:highlight w:val="none"/>
          <w:lang w:bidi="ar"/>
        </w:rPr>
      </w:pPr>
    </w:p>
    <w:p w14:paraId="56F0BFEE">
      <w:pPr>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br w:type="page"/>
      </w:r>
    </w:p>
    <w:p w14:paraId="6CFFDED5">
      <w:pPr>
        <w:jc w:val="left"/>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t>附件9</w:t>
      </w:r>
    </w:p>
    <w:p w14:paraId="2F147542">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3EE343C3">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为营造公开、公平、公正的公共资源交易环境，树立诚信守法的投标人形象，本人代表本单位作出以下承诺：</w:t>
      </w:r>
    </w:p>
    <w:p w14:paraId="2FAB6110">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CB778C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二、严格依照国家和省、市、县关于采购等方面的法律法规、规章、规范性文件，参加公共资源交易招标投标活动；积极履行社会责任，促进廉政建设；</w:t>
      </w:r>
    </w:p>
    <w:p w14:paraId="05A06B12">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三、严格遵守即时信息公示规定，及时更新公共资源交易中心主体信息库中信息；</w:t>
      </w:r>
    </w:p>
    <w:p w14:paraId="763834AD">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6549D85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五、本单位自愿接受采购有关行政监督部门的依法检查。如发生违法违规或不良行为或存在其他法律法规对招标投标行为予以限制的情形，自愿接受采购有关行政监督部门依法给予的行政处罚（处理），并依法承担相应的法律责任；</w:t>
      </w:r>
    </w:p>
    <w:p w14:paraId="5CFC84D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六、自觉接受政府部门、行业组织、社会公众、新闻舆论等监督；</w:t>
      </w:r>
    </w:p>
    <w:p w14:paraId="5E81687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七、上述承诺已向本单位员工做了宣传教育；</w:t>
      </w:r>
    </w:p>
    <w:p w14:paraId="2591DC86">
      <w:pPr>
        <w:tabs>
          <w:tab w:val="left" w:pos="4860"/>
        </w:tabs>
        <w:spacing w:line="588" w:lineRule="exact"/>
        <w:ind w:right="1560"/>
        <w:jc w:val="left"/>
        <w:rPr>
          <w:rFonts w:hint="eastAsia" w:ascii="宋体" w:hAnsi="宋体" w:cs="宋体"/>
          <w:b/>
          <w:color w:val="auto"/>
          <w:kern w:val="0"/>
          <w:sz w:val="24"/>
          <w:highlight w:val="none"/>
          <w:lang w:val="zh-CN" w:bidi="ar"/>
        </w:rPr>
      </w:pPr>
      <w:r>
        <w:rPr>
          <w:rFonts w:hint="eastAsia" w:ascii="宋体" w:hAnsi="宋体" w:cs="宋体"/>
          <w:b/>
          <w:color w:val="auto"/>
          <w:kern w:val="0"/>
          <w:sz w:val="24"/>
          <w:highlight w:val="none"/>
          <w:lang w:val="zh-CN" w:bidi="ar"/>
        </w:rPr>
        <w:t>如有违反上述承诺的不良行为，本单位同意将其予以上网公示。</w:t>
      </w:r>
    </w:p>
    <w:p w14:paraId="67C5D01A">
      <w:pPr>
        <w:spacing w:line="360" w:lineRule="auto"/>
        <w:ind w:firstLine="3080" w:firstLineChars="11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ACD63F7">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480D180">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CF1DC03">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659247FD">
      <w:pPr>
        <w:snapToGrid w:val="0"/>
        <w:spacing w:line="300" w:lineRule="auto"/>
        <w:outlineLvl w:val="0"/>
        <w:rPr>
          <w:rFonts w:hint="eastAsia" w:ascii="宋体" w:hAnsi="宋体" w:cs="宋体"/>
          <w:color w:val="auto"/>
          <w:sz w:val="32"/>
          <w:szCs w:val="32"/>
          <w:highlight w:val="none"/>
        </w:rPr>
      </w:pPr>
    </w:p>
    <w:p w14:paraId="37E09A24">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E8619C4">
      <w:pPr>
        <w:snapToGrid w:val="0"/>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附件10</w:t>
      </w:r>
    </w:p>
    <w:p w14:paraId="39974101">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7AA5A42B">
      <w:pPr>
        <w:adjustRightInd w:val="0"/>
        <w:snapToGrid w:val="0"/>
        <w:spacing w:before="312" w:beforeLines="100"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一、质询投标人基本信息</w:t>
      </w:r>
    </w:p>
    <w:p w14:paraId="3F97F989">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质询投标人：</w:t>
      </w:r>
    </w:p>
    <w:p w14:paraId="444CD69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52D1F058">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联系人：联系电话：</w:t>
      </w:r>
    </w:p>
    <w:p w14:paraId="5AFE395B">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授权代表：</w:t>
      </w:r>
    </w:p>
    <w:p w14:paraId="65EB4CA5">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联系电话：</w:t>
      </w:r>
    </w:p>
    <w:p w14:paraId="0EE8480F">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0021336E">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二、质询项目基本情况</w:t>
      </w:r>
    </w:p>
    <w:p w14:paraId="14BEBD7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质询项目的名称：</w:t>
      </w:r>
    </w:p>
    <w:p w14:paraId="7477EC34">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质询项目的编号：包号：</w:t>
      </w:r>
    </w:p>
    <w:p w14:paraId="37AD6AE7">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招标人名称：</w:t>
      </w:r>
    </w:p>
    <w:p w14:paraId="12EAEE12">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招标文件获取日期：</w:t>
      </w:r>
    </w:p>
    <w:p w14:paraId="59BBED52">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三、质询事项具体内容</w:t>
      </w:r>
    </w:p>
    <w:p w14:paraId="198C594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质询事项1：</w:t>
      </w:r>
    </w:p>
    <w:p w14:paraId="3848CCC2">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事实依据：</w:t>
      </w:r>
    </w:p>
    <w:p w14:paraId="5BE40684">
      <w:pPr>
        <w:adjustRightInd w:val="0"/>
        <w:snapToGrid w:val="0"/>
        <w:spacing w:line="360" w:lineRule="auto"/>
        <w:rPr>
          <w:rFonts w:hint="eastAsia" w:ascii="宋体" w:hAnsi="宋体" w:cs="宋体"/>
          <w:color w:val="auto"/>
          <w:sz w:val="32"/>
          <w:szCs w:val="32"/>
          <w:highlight w:val="none"/>
        </w:rPr>
      </w:pPr>
    </w:p>
    <w:p w14:paraId="55DAE03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法律依据：</w:t>
      </w:r>
    </w:p>
    <w:p w14:paraId="48D7F418">
      <w:pPr>
        <w:adjustRightInd w:val="0"/>
        <w:snapToGrid w:val="0"/>
        <w:spacing w:line="360" w:lineRule="auto"/>
        <w:rPr>
          <w:rFonts w:hint="eastAsia" w:ascii="宋体" w:hAnsi="宋体" w:cs="宋体"/>
          <w:color w:val="auto"/>
          <w:sz w:val="32"/>
          <w:szCs w:val="32"/>
          <w:highlight w:val="none"/>
          <w:u w:val="dotted"/>
        </w:rPr>
      </w:pPr>
    </w:p>
    <w:p w14:paraId="1FBC285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质询事项2</w:t>
      </w:r>
    </w:p>
    <w:p w14:paraId="10637EF9">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w:t>
      </w:r>
    </w:p>
    <w:p w14:paraId="540ADE3D">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四、与质询事项相关的质询请求</w:t>
      </w:r>
    </w:p>
    <w:p w14:paraId="3FFCA47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请求：</w:t>
      </w:r>
    </w:p>
    <w:p w14:paraId="5A3DA4E5">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p>
    <w:p w14:paraId="09EBCC39">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p>
    <w:p w14:paraId="360650D1">
      <w:pPr>
        <w:rPr>
          <w:rFonts w:hint="eastAsia" w:ascii="宋体" w:hAnsi="宋体" w:cs="宋体"/>
          <w:color w:val="auto"/>
          <w:sz w:val="32"/>
          <w:szCs w:val="32"/>
          <w:highlight w:val="none"/>
        </w:rPr>
      </w:pPr>
    </w:p>
    <w:p w14:paraId="2B573EEA">
      <w:pPr>
        <w:pStyle w:val="34"/>
        <w:ind w:firstLine="240"/>
        <w:rPr>
          <w:rFonts w:hint="eastAsia" w:ascii="宋体" w:hAnsi="宋体" w:cs="宋体"/>
          <w:color w:val="auto"/>
          <w:highlight w:val="none"/>
        </w:rPr>
      </w:pPr>
    </w:p>
    <w:p w14:paraId="4D155A71">
      <w:pPr>
        <w:rPr>
          <w:rFonts w:hint="eastAsia" w:ascii="宋体" w:hAnsi="宋体" w:cs="宋体"/>
          <w:b/>
          <w:color w:val="auto"/>
          <w:sz w:val="32"/>
          <w:szCs w:val="32"/>
          <w:highlight w:val="none"/>
        </w:rPr>
      </w:pPr>
      <w:r>
        <w:rPr>
          <w:rFonts w:hint="eastAsia" w:ascii="宋体" w:hAnsi="宋体" w:cs="宋体"/>
          <w:b/>
          <w:color w:val="auto"/>
          <w:sz w:val="32"/>
          <w:szCs w:val="32"/>
          <w:highlight w:val="none"/>
        </w:rPr>
        <w:t>质询函制作说明：</w:t>
      </w:r>
    </w:p>
    <w:p w14:paraId="473B8D2C">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1.投标人提出质询时，应提交质询函和必要的证明材料。</w:t>
      </w:r>
    </w:p>
    <w:p w14:paraId="52A3AEF2">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2.质询投标人若委托代理人进行质询的，质询函应按要求列明“授权代表”的有关内容，并在附件中提交由质询</w:t>
      </w:r>
      <w:r>
        <w:rPr>
          <w:rFonts w:hint="eastAsia" w:ascii="宋体" w:hAnsi="宋体" w:cs="宋体"/>
          <w:color w:val="auto"/>
          <w:kern w:val="0"/>
          <w:sz w:val="32"/>
          <w:szCs w:val="32"/>
          <w:highlight w:val="none"/>
        </w:rPr>
        <w:t>投标人签署的授权委托书。授权委托书应载明代理人的姓名或者名称、代理事项、具体权限、期限和相关事项。</w:t>
      </w:r>
    </w:p>
    <w:p w14:paraId="6C7B4B35">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3.质询投标人若对项目的某一分包进行质询，质询函中应列明具体分包号。</w:t>
      </w:r>
    </w:p>
    <w:p w14:paraId="51013387">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4.质询函的质询事项应具体、明确，并有必要的事实依据和法律依据。</w:t>
      </w:r>
    </w:p>
    <w:p w14:paraId="3622A4E0">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5.质询函的质询请求应与质询事项相关。</w:t>
      </w:r>
    </w:p>
    <w:p w14:paraId="6A1BEF41">
      <w:pPr>
        <w:widowControl/>
        <w:ind w:firstLine="640" w:firstLineChars="200"/>
        <w:jc w:val="left"/>
        <w:rPr>
          <w:rFonts w:hint="eastAsia" w:ascii="宋体" w:hAnsi="宋体" w:cs="宋体"/>
          <w:color w:val="auto"/>
          <w:sz w:val="28"/>
          <w:szCs w:val="28"/>
          <w:highlight w:val="none"/>
        </w:rPr>
      </w:pPr>
      <w:r>
        <w:rPr>
          <w:rFonts w:hint="eastAsia" w:ascii="宋体" w:hAnsi="宋体" w:cs="宋体"/>
          <w:color w:val="auto"/>
          <w:sz w:val="32"/>
          <w:szCs w:val="32"/>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D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A59779A-00B5-4438-B71B-67208E1B2AE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CD8B036F-E58C-473F-9818-4BEDE49C8FE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2B1C0B8-52C6-4426-8E1E-0DBEE145CFFC}"/>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A265EBF5-EE29-4C66-8B00-3F5220F7B824}"/>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WPSEMBED15">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C7097">
    <w:pPr>
      <w:pStyle w:val="26"/>
      <w:jc w:val="center"/>
    </w:pPr>
    <w:r>
      <w:fldChar w:fldCharType="begin"/>
    </w:r>
    <w:r>
      <w:instrText xml:space="preserve">PAGE   \* MERGEFORMAT</w:instrText>
    </w:r>
    <w:r>
      <w:fldChar w:fldCharType="separate"/>
    </w:r>
    <w:r>
      <w:rPr>
        <w:lang w:val="zh-CN"/>
      </w:rPr>
      <w:t>21</w:t>
    </w:r>
    <w:r>
      <w:fldChar w:fldCharType="end"/>
    </w:r>
  </w:p>
  <w:p w14:paraId="19B8138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3C5F">
    <w:pPr>
      <w:pStyle w:val="27"/>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723F12">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A723F12">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D2FA">
    <w:pPr>
      <w:pStyle w:val="27"/>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3AC6B">
    <w:pPr>
      <w:pStyle w:val="27"/>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3N2UwNmNjMDJkYTRlMWQ4ZDQ4MDZkYWJkNDA4Y2MifQ=="/>
    <w:docVar w:name="KGWebUrl" w:val="http://jszfcg.jsczt.cn/jszc/gateWay/joffice/office?access_token=300b1800-803d-425e-b7b3-99806d8150e4"/>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09B"/>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13A7"/>
    <w:rsid w:val="00071E47"/>
    <w:rsid w:val="00071F57"/>
    <w:rsid w:val="0007260D"/>
    <w:rsid w:val="00073424"/>
    <w:rsid w:val="00073BED"/>
    <w:rsid w:val="00074988"/>
    <w:rsid w:val="0007540B"/>
    <w:rsid w:val="00075842"/>
    <w:rsid w:val="00076AE9"/>
    <w:rsid w:val="00076F71"/>
    <w:rsid w:val="0007742F"/>
    <w:rsid w:val="0008009E"/>
    <w:rsid w:val="0008018D"/>
    <w:rsid w:val="00081396"/>
    <w:rsid w:val="00082843"/>
    <w:rsid w:val="00082CBF"/>
    <w:rsid w:val="00083333"/>
    <w:rsid w:val="000839F1"/>
    <w:rsid w:val="00084436"/>
    <w:rsid w:val="000845AB"/>
    <w:rsid w:val="00084DE0"/>
    <w:rsid w:val="00085157"/>
    <w:rsid w:val="00085BF7"/>
    <w:rsid w:val="00085D79"/>
    <w:rsid w:val="00085EFE"/>
    <w:rsid w:val="00085F42"/>
    <w:rsid w:val="00085F63"/>
    <w:rsid w:val="000860FE"/>
    <w:rsid w:val="0008766A"/>
    <w:rsid w:val="00090915"/>
    <w:rsid w:val="00090BE7"/>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7BC8"/>
    <w:rsid w:val="000A7EB6"/>
    <w:rsid w:val="000A7F6B"/>
    <w:rsid w:val="000B003D"/>
    <w:rsid w:val="000B07BD"/>
    <w:rsid w:val="000B0A49"/>
    <w:rsid w:val="000B15CC"/>
    <w:rsid w:val="000B1722"/>
    <w:rsid w:val="000B3041"/>
    <w:rsid w:val="000B5449"/>
    <w:rsid w:val="000B5677"/>
    <w:rsid w:val="000B58E2"/>
    <w:rsid w:val="000B6AFD"/>
    <w:rsid w:val="000B78B3"/>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53"/>
    <w:rsid w:val="000E0BDF"/>
    <w:rsid w:val="000E13C5"/>
    <w:rsid w:val="000E190A"/>
    <w:rsid w:val="000E29B5"/>
    <w:rsid w:val="000E3129"/>
    <w:rsid w:val="000E3178"/>
    <w:rsid w:val="000E386B"/>
    <w:rsid w:val="000E3BA3"/>
    <w:rsid w:val="000E458D"/>
    <w:rsid w:val="000E66B5"/>
    <w:rsid w:val="000E6876"/>
    <w:rsid w:val="000E69A2"/>
    <w:rsid w:val="000E6D6C"/>
    <w:rsid w:val="000E76D0"/>
    <w:rsid w:val="000E7DCC"/>
    <w:rsid w:val="000F07A2"/>
    <w:rsid w:val="000F11C4"/>
    <w:rsid w:val="000F1FA3"/>
    <w:rsid w:val="000F3E9B"/>
    <w:rsid w:val="000F4096"/>
    <w:rsid w:val="000F4358"/>
    <w:rsid w:val="000F4E0F"/>
    <w:rsid w:val="000F553D"/>
    <w:rsid w:val="000F5999"/>
    <w:rsid w:val="000F5B4E"/>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159C"/>
    <w:rsid w:val="00113481"/>
    <w:rsid w:val="00113BB9"/>
    <w:rsid w:val="00114978"/>
    <w:rsid w:val="00114F16"/>
    <w:rsid w:val="001153F6"/>
    <w:rsid w:val="001178DB"/>
    <w:rsid w:val="00117AFB"/>
    <w:rsid w:val="00117E6F"/>
    <w:rsid w:val="001202BE"/>
    <w:rsid w:val="00122C11"/>
    <w:rsid w:val="00123015"/>
    <w:rsid w:val="001231D6"/>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5B4"/>
    <w:rsid w:val="00142F1A"/>
    <w:rsid w:val="00144AE9"/>
    <w:rsid w:val="00145A1C"/>
    <w:rsid w:val="001462E0"/>
    <w:rsid w:val="00146479"/>
    <w:rsid w:val="00146643"/>
    <w:rsid w:val="00147766"/>
    <w:rsid w:val="00152826"/>
    <w:rsid w:val="001546EC"/>
    <w:rsid w:val="0015474F"/>
    <w:rsid w:val="00154AF5"/>
    <w:rsid w:val="001550C0"/>
    <w:rsid w:val="00155ECE"/>
    <w:rsid w:val="0015612C"/>
    <w:rsid w:val="00156E3A"/>
    <w:rsid w:val="00157D64"/>
    <w:rsid w:val="001605C7"/>
    <w:rsid w:val="001608D5"/>
    <w:rsid w:val="00161A82"/>
    <w:rsid w:val="0016272D"/>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3DA5"/>
    <w:rsid w:val="00184AD9"/>
    <w:rsid w:val="00184AF5"/>
    <w:rsid w:val="00185828"/>
    <w:rsid w:val="00185A94"/>
    <w:rsid w:val="00186126"/>
    <w:rsid w:val="0018665E"/>
    <w:rsid w:val="00186DF5"/>
    <w:rsid w:val="001875B3"/>
    <w:rsid w:val="0019010A"/>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4E8F"/>
    <w:rsid w:val="001A51B7"/>
    <w:rsid w:val="001A57C2"/>
    <w:rsid w:val="001A7795"/>
    <w:rsid w:val="001A7B4C"/>
    <w:rsid w:val="001A7BFE"/>
    <w:rsid w:val="001B01C6"/>
    <w:rsid w:val="001B12BC"/>
    <w:rsid w:val="001B14E0"/>
    <w:rsid w:val="001B1E96"/>
    <w:rsid w:val="001B3348"/>
    <w:rsid w:val="001B3480"/>
    <w:rsid w:val="001B4291"/>
    <w:rsid w:val="001B5076"/>
    <w:rsid w:val="001B5244"/>
    <w:rsid w:val="001B56B0"/>
    <w:rsid w:val="001B6558"/>
    <w:rsid w:val="001B6C7A"/>
    <w:rsid w:val="001B7843"/>
    <w:rsid w:val="001B7F42"/>
    <w:rsid w:val="001C0AC4"/>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E72E5"/>
    <w:rsid w:val="001F1467"/>
    <w:rsid w:val="001F1694"/>
    <w:rsid w:val="001F16AE"/>
    <w:rsid w:val="001F1D43"/>
    <w:rsid w:val="001F2610"/>
    <w:rsid w:val="001F34D5"/>
    <w:rsid w:val="001F358D"/>
    <w:rsid w:val="001F466D"/>
    <w:rsid w:val="001F4DEE"/>
    <w:rsid w:val="001F517D"/>
    <w:rsid w:val="001F6156"/>
    <w:rsid w:val="001F635C"/>
    <w:rsid w:val="001F72DB"/>
    <w:rsid w:val="00201A73"/>
    <w:rsid w:val="00201F4E"/>
    <w:rsid w:val="00202420"/>
    <w:rsid w:val="0020349E"/>
    <w:rsid w:val="002034E3"/>
    <w:rsid w:val="00203681"/>
    <w:rsid w:val="00203EB0"/>
    <w:rsid w:val="00204064"/>
    <w:rsid w:val="002044CF"/>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4F15"/>
    <w:rsid w:val="00225AD4"/>
    <w:rsid w:val="00225ED7"/>
    <w:rsid w:val="00227B1A"/>
    <w:rsid w:val="0023036A"/>
    <w:rsid w:val="002304ED"/>
    <w:rsid w:val="00230F76"/>
    <w:rsid w:val="00231953"/>
    <w:rsid w:val="002323C9"/>
    <w:rsid w:val="00232418"/>
    <w:rsid w:val="0023372A"/>
    <w:rsid w:val="00234BC9"/>
    <w:rsid w:val="00237012"/>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6EF8"/>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582D"/>
    <w:rsid w:val="00266D65"/>
    <w:rsid w:val="002674FC"/>
    <w:rsid w:val="00267C26"/>
    <w:rsid w:val="00267CE1"/>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89"/>
    <w:rsid w:val="002929E4"/>
    <w:rsid w:val="0029448F"/>
    <w:rsid w:val="002953BA"/>
    <w:rsid w:val="002973FD"/>
    <w:rsid w:val="00297900"/>
    <w:rsid w:val="002A11B9"/>
    <w:rsid w:val="002A1226"/>
    <w:rsid w:val="002A156B"/>
    <w:rsid w:val="002A2121"/>
    <w:rsid w:val="002A221F"/>
    <w:rsid w:val="002A27C2"/>
    <w:rsid w:val="002A28DD"/>
    <w:rsid w:val="002A31EB"/>
    <w:rsid w:val="002A36AA"/>
    <w:rsid w:val="002A432D"/>
    <w:rsid w:val="002A46DC"/>
    <w:rsid w:val="002A52F4"/>
    <w:rsid w:val="002A537C"/>
    <w:rsid w:val="002A5646"/>
    <w:rsid w:val="002A5B21"/>
    <w:rsid w:val="002A6112"/>
    <w:rsid w:val="002A73E5"/>
    <w:rsid w:val="002A775D"/>
    <w:rsid w:val="002B0137"/>
    <w:rsid w:val="002B10D9"/>
    <w:rsid w:val="002B2759"/>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7464"/>
    <w:rsid w:val="002C7D4D"/>
    <w:rsid w:val="002C7DA8"/>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186"/>
    <w:rsid w:val="002F1659"/>
    <w:rsid w:val="002F354E"/>
    <w:rsid w:val="002F3654"/>
    <w:rsid w:val="002F3A00"/>
    <w:rsid w:val="002F419E"/>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AB9"/>
    <w:rsid w:val="00313C9F"/>
    <w:rsid w:val="00314A90"/>
    <w:rsid w:val="00314C91"/>
    <w:rsid w:val="00317669"/>
    <w:rsid w:val="00317F41"/>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28C0"/>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E64"/>
    <w:rsid w:val="00390CF5"/>
    <w:rsid w:val="003926C1"/>
    <w:rsid w:val="003926C9"/>
    <w:rsid w:val="00393134"/>
    <w:rsid w:val="00393422"/>
    <w:rsid w:val="003939C4"/>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ADC"/>
    <w:rsid w:val="003C290B"/>
    <w:rsid w:val="003C69F6"/>
    <w:rsid w:val="003C6BEE"/>
    <w:rsid w:val="003C7549"/>
    <w:rsid w:val="003D0866"/>
    <w:rsid w:val="003D1841"/>
    <w:rsid w:val="003D1E69"/>
    <w:rsid w:val="003D201B"/>
    <w:rsid w:val="003D3555"/>
    <w:rsid w:val="003D3C66"/>
    <w:rsid w:val="003D3C71"/>
    <w:rsid w:val="003D419D"/>
    <w:rsid w:val="003D4480"/>
    <w:rsid w:val="003D59CF"/>
    <w:rsid w:val="003E017B"/>
    <w:rsid w:val="003E1162"/>
    <w:rsid w:val="003E154C"/>
    <w:rsid w:val="003E3316"/>
    <w:rsid w:val="003E36FF"/>
    <w:rsid w:val="003E3A6B"/>
    <w:rsid w:val="003E3FE6"/>
    <w:rsid w:val="003E4653"/>
    <w:rsid w:val="003E4C9C"/>
    <w:rsid w:val="003E5334"/>
    <w:rsid w:val="003E5B3D"/>
    <w:rsid w:val="003E5F84"/>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654F"/>
    <w:rsid w:val="0041717C"/>
    <w:rsid w:val="004214C7"/>
    <w:rsid w:val="00421885"/>
    <w:rsid w:val="004220FE"/>
    <w:rsid w:val="0042410A"/>
    <w:rsid w:val="004260D0"/>
    <w:rsid w:val="0043032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426"/>
    <w:rsid w:val="0044560A"/>
    <w:rsid w:val="00446D75"/>
    <w:rsid w:val="00447864"/>
    <w:rsid w:val="00447B68"/>
    <w:rsid w:val="00447C4B"/>
    <w:rsid w:val="00451F81"/>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C1B"/>
    <w:rsid w:val="00470E6C"/>
    <w:rsid w:val="004717E4"/>
    <w:rsid w:val="00471BE5"/>
    <w:rsid w:val="00472F1D"/>
    <w:rsid w:val="00473F45"/>
    <w:rsid w:val="00474A50"/>
    <w:rsid w:val="00475BAC"/>
    <w:rsid w:val="00477808"/>
    <w:rsid w:val="00477956"/>
    <w:rsid w:val="00477C17"/>
    <w:rsid w:val="00480125"/>
    <w:rsid w:val="0048064D"/>
    <w:rsid w:val="00481CF4"/>
    <w:rsid w:val="00482AC2"/>
    <w:rsid w:val="00484BE4"/>
    <w:rsid w:val="00485409"/>
    <w:rsid w:val="004855F7"/>
    <w:rsid w:val="004859EA"/>
    <w:rsid w:val="00485ECB"/>
    <w:rsid w:val="00485EE2"/>
    <w:rsid w:val="00486224"/>
    <w:rsid w:val="004869F6"/>
    <w:rsid w:val="00486B1D"/>
    <w:rsid w:val="00487133"/>
    <w:rsid w:val="004875BB"/>
    <w:rsid w:val="00487660"/>
    <w:rsid w:val="00487D91"/>
    <w:rsid w:val="00487EF2"/>
    <w:rsid w:val="00490621"/>
    <w:rsid w:val="00490BE1"/>
    <w:rsid w:val="00490C75"/>
    <w:rsid w:val="004940E5"/>
    <w:rsid w:val="00495CB3"/>
    <w:rsid w:val="00496580"/>
    <w:rsid w:val="0049714F"/>
    <w:rsid w:val="00497832"/>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097B"/>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5EDE"/>
    <w:rsid w:val="004E09A2"/>
    <w:rsid w:val="004E0ADF"/>
    <w:rsid w:val="004E0EC2"/>
    <w:rsid w:val="004E185D"/>
    <w:rsid w:val="004E198B"/>
    <w:rsid w:val="004E1A9A"/>
    <w:rsid w:val="004E2F92"/>
    <w:rsid w:val="004E363C"/>
    <w:rsid w:val="004E4249"/>
    <w:rsid w:val="004E4671"/>
    <w:rsid w:val="004E511E"/>
    <w:rsid w:val="004E5615"/>
    <w:rsid w:val="004E594D"/>
    <w:rsid w:val="004E5C26"/>
    <w:rsid w:val="004E5C64"/>
    <w:rsid w:val="004E7CDB"/>
    <w:rsid w:val="004F0376"/>
    <w:rsid w:val="004F0CDF"/>
    <w:rsid w:val="004F0FE2"/>
    <w:rsid w:val="004F1F90"/>
    <w:rsid w:val="004F3153"/>
    <w:rsid w:val="004F3C8A"/>
    <w:rsid w:val="004F3F7E"/>
    <w:rsid w:val="004F420A"/>
    <w:rsid w:val="004F46A5"/>
    <w:rsid w:val="004F5294"/>
    <w:rsid w:val="004F5E50"/>
    <w:rsid w:val="005001F5"/>
    <w:rsid w:val="0050111B"/>
    <w:rsid w:val="00502C8A"/>
    <w:rsid w:val="00503728"/>
    <w:rsid w:val="005047CE"/>
    <w:rsid w:val="00505500"/>
    <w:rsid w:val="00505803"/>
    <w:rsid w:val="00505AC7"/>
    <w:rsid w:val="005061DE"/>
    <w:rsid w:val="0050782F"/>
    <w:rsid w:val="00510353"/>
    <w:rsid w:val="005109F7"/>
    <w:rsid w:val="00510A09"/>
    <w:rsid w:val="00511165"/>
    <w:rsid w:val="005116BA"/>
    <w:rsid w:val="00513B6A"/>
    <w:rsid w:val="0051446B"/>
    <w:rsid w:val="00515399"/>
    <w:rsid w:val="00515B9C"/>
    <w:rsid w:val="00516114"/>
    <w:rsid w:val="00516A92"/>
    <w:rsid w:val="005175F9"/>
    <w:rsid w:val="0052011E"/>
    <w:rsid w:val="00521296"/>
    <w:rsid w:val="0052232A"/>
    <w:rsid w:val="00522541"/>
    <w:rsid w:val="0052292E"/>
    <w:rsid w:val="00523930"/>
    <w:rsid w:val="00524276"/>
    <w:rsid w:val="005243FD"/>
    <w:rsid w:val="005250D8"/>
    <w:rsid w:val="005250E0"/>
    <w:rsid w:val="00525373"/>
    <w:rsid w:val="005263BF"/>
    <w:rsid w:val="005279E2"/>
    <w:rsid w:val="00530D01"/>
    <w:rsid w:val="00533196"/>
    <w:rsid w:val="005347D0"/>
    <w:rsid w:val="005365CA"/>
    <w:rsid w:val="00536991"/>
    <w:rsid w:val="00536EFE"/>
    <w:rsid w:val="00537500"/>
    <w:rsid w:val="00540316"/>
    <w:rsid w:val="0054065A"/>
    <w:rsid w:val="00540EB0"/>
    <w:rsid w:val="00541004"/>
    <w:rsid w:val="00541053"/>
    <w:rsid w:val="00541E1E"/>
    <w:rsid w:val="00542949"/>
    <w:rsid w:val="00542CF0"/>
    <w:rsid w:val="005467BF"/>
    <w:rsid w:val="00546EEA"/>
    <w:rsid w:val="00547737"/>
    <w:rsid w:val="005501FD"/>
    <w:rsid w:val="005505B1"/>
    <w:rsid w:val="00551BF3"/>
    <w:rsid w:val="00553F39"/>
    <w:rsid w:val="00556151"/>
    <w:rsid w:val="005562CB"/>
    <w:rsid w:val="005563D1"/>
    <w:rsid w:val="00556B11"/>
    <w:rsid w:val="00556D35"/>
    <w:rsid w:val="00560142"/>
    <w:rsid w:val="00560B23"/>
    <w:rsid w:val="00561687"/>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1C4D"/>
    <w:rsid w:val="005735AC"/>
    <w:rsid w:val="00575A5E"/>
    <w:rsid w:val="00575EC7"/>
    <w:rsid w:val="00576784"/>
    <w:rsid w:val="0057779B"/>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A0E0A"/>
    <w:rsid w:val="005A2016"/>
    <w:rsid w:val="005A2EA2"/>
    <w:rsid w:val="005A3504"/>
    <w:rsid w:val="005A559E"/>
    <w:rsid w:val="005A60E5"/>
    <w:rsid w:val="005A6C6C"/>
    <w:rsid w:val="005A74D4"/>
    <w:rsid w:val="005A78C1"/>
    <w:rsid w:val="005A7F48"/>
    <w:rsid w:val="005B09CF"/>
    <w:rsid w:val="005B1402"/>
    <w:rsid w:val="005B1C57"/>
    <w:rsid w:val="005B3D9B"/>
    <w:rsid w:val="005B55B2"/>
    <w:rsid w:val="005B71E3"/>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6053"/>
    <w:rsid w:val="005D7816"/>
    <w:rsid w:val="005D798C"/>
    <w:rsid w:val="005E2119"/>
    <w:rsid w:val="005E38BB"/>
    <w:rsid w:val="005E49A3"/>
    <w:rsid w:val="005E6065"/>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7499"/>
    <w:rsid w:val="00607679"/>
    <w:rsid w:val="00612F49"/>
    <w:rsid w:val="0061417D"/>
    <w:rsid w:val="0061547A"/>
    <w:rsid w:val="00616D1C"/>
    <w:rsid w:val="00616FD4"/>
    <w:rsid w:val="00621416"/>
    <w:rsid w:val="0062198B"/>
    <w:rsid w:val="0062417D"/>
    <w:rsid w:val="00624F81"/>
    <w:rsid w:val="00625AFB"/>
    <w:rsid w:val="00626796"/>
    <w:rsid w:val="0062722E"/>
    <w:rsid w:val="00627F04"/>
    <w:rsid w:val="00633086"/>
    <w:rsid w:val="00634656"/>
    <w:rsid w:val="00635E25"/>
    <w:rsid w:val="00635FBA"/>
    <w:rsid w:val="0063671A"/>
    <w:rsid w:val="00640F44"/>
    <w:rsid w:val="00640FDD"/>
    <w:rsid w:val="006416E6"/>
    <w:rsid w:val="00641F10"/>
    <w:rsid w:val="006426A8"/>
    <w:rsid w:val="00643D3F"/>
    <w:rsid w:val="00643F93"/>
    <w:rsid w:val="0064478C"/>
    <w:rsid w:val="00646AAA"/>
    <w:rsid w:val="00647082"/>
    <w:rsid w:val="00650160"/>
    <w:rsid w:val="0065076A"/>
    <w:rsid w:val="00652D87"/>
    <w:rsid w:val="00653456"/>
    <w:rsid w:val="00653742"/>
    <w:rsid w:val="00653774"/>
    <w:rsid w:val="0065575F"/>
    <w:rsid w:val="006568A2"/>
    <w:rsid w:val="006568D7"/>
    <w:rsid w:val="00656CAE"/>
    <w:rsid w:val="00657F6A"/>
    <w:rsid w:val="006604BC"/>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1B3A"/>
    <w:rsid w:val="00671C19"/>
    <w:rsid w:val="00672FE7"/>
    <w:rsid w:val="00673107"/>
    <w:rsid w:val="0068012A"/>
    <w:rsid w:val="00680D84"/>
    <w:rsid w:val="00680E1B"/>
    <w:rsid w:val="00681790"/>
    <w:rsid w:val="0068304D"/>
    <w:rsid w:val="00683C15"/>
    <w:rsid w:val="00683E0C"/>
    <w:rsid w:val="00685117"/>
    <w:rsid w:val="00685CB8"/>
    <w:rsid w:val="0068646F"/>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5B21"/>
    <w:rsid w:val="00696431"/>
    <w:rsid w:val="00696F86"/>
    <w:rsid w:val="006A3983"/>
    <w:rsid w:val="006A4770"/>
    <w:rsid w:val="006A4FB4"/>
    <w:rsid w:val="006A534B"/>
    <w:rsid w:val="006A68F1"/>
    <w:rsid w:val="006A6A75"/>
    <w:rsid w:val="006A6C5C"/>
    <w:rsid w:val="006A7302"/>
    <w:rsid w:val="006B00DC"/>
    <w:rsid w:val="006B098C"/>
    <w:rsid w:val="006B0FFF"/>
    <w:rsid w:val="006B16FF"/>
    <w:rsid w:val="006B1B1D"/>
    <w:rsid w:val="006B285C"/>
    <w:rsid w:val="006B2902"/>
    <w:rsid w:val="006B2E88"/>
    <w:rsid w:val="006B4295"/>
    <w:rsid w:val="006B45EE"/>
    <w:rsid w:val="006B4814"/>
    <w:rsid w:val="006B66CC"/>
    <w:rsid w:val="006B7B03"/>
    <w:rsid w:val="006B7D34"/>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023"/>
    <w:rsid w:val="00706370"/>
    <w:rsid w:val="00706C55"/>
    <w:rsid w:val="00707165"/>
    <w:rsid w:val="00707232"/>
    <w:rsid w:val="0071105F"/>
    <w:rsid w:val="00711215"/>
    <w:rsid w:val="0071139A"/>
    <w:rsid w:val="0071149B"/>
    <w:rsid w:val="007121B2"/>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D50"/>
    <w:rsid w:val="007311C8"/>
    <w:rsid w:val="00731352"/>
    <w:rsid w:val="007314A8"/>
    <w:rsid w:val="00732C6E"/>
    <w:rsid w:val="00734E48"/>
    <w:rsid w:val="0073573A"/>
    <w:rsid w:val="00735C9B"/>
    <w:rsid w:val="00737311"/>
    <w:rsid w:val="00740E4C"/>
    <w:rsid w:val="00741048"/>
    <w:rsid w:val="007410B2"/>
    <w:rsid w:val="00741D87"/>
    <w:rsid w:val="007422A5"/>
    <w:rsid w:val="00742DD5"/>
    <w:rsid w:val="00743236"/>
    <w:rsid w:val="007435B0"/>
    <w:rsid w:val="00744BAA"/>
    <w:rsid w:val="00745800"/>
    <w:rsid w:val="00745C5D"/>
    <w:rsid w:val="00746365"/>
    <w:rsid w:val="0074797A"/>
    <w:rsid w:val="00751F41"/>
    <w:rsid w:val="007520D1"/>
    <w:rsid w:val="00752E8D"/>
    <w:rsid w:val="0075467C"/>
    <w:rsid w:val="00756049"/>
    <w:rsid w:val="007565ED"/>
    <w:rsid w:val="007576AE"/>
    <w:rsid w:val="00757B96"/>
    <w:rsid w:val="00760359"/>
    <w:rsid w:val="0076249B"/>
    <w:rsid w:val="00762780"/>
    <w:rsid w:val="00762E44"/>
    <w:rsid w:val="00763193"/>
    <w:rsid w:val="00763252"/>
    <w:rsid w:val="0076338C"/>
    <w:rsid w:val="00763910"/>
    <w:rsid w:val="00764E9B"/>
    <w:rsid w:val="0076514B"/>
    <w:rsid w:val="00765611"/>
    <w:rsid w:val="00771A5E"/>
    <w:rsid w:val="00771A8A"/>
    <w:rsid w:val="00771BB5"/>
    <w:rsid w:val="00771E3B"/>
    <w:rsid w:val="00772293"/>
    <w:rsid w:val="00773465"/>
    <w:rsid w:val="00773862"/>
    <w:rsid w:val="0077434F"/>
    <w:rsid w:val="007759C2"/>
    <w:rsid w:val="00776194"/>
    <w:rsid w:val="007762E8"/>
    <w:rsid w:val="00777477"/>
    <w:rsid w:val="00777947"/>
    <w:rsid w:val="00777B07"/>
    <w:rsid w:val="00777B1C"/>
    <w:rsid w:val="007806BC"/>
    <w:rsid w:val="007809CB"/>
    <w:rsid w:val="00781491"/>
    <w:rsid w:val="00782FF0"/>
    <w:rsid w:val="00783D95"/>
    <w:rsid w:val="00783F1A"/>
    <w:rsid w:val="0078439F"/>
    <w:rsid w:val="0078524A"/>
    <w:rsid w:val="00785605"/>
    <w:rsid w:val="00787EB1"/>
    <w:rsid w:val="007906DC"/>
    <w:rsid w:val="00790D0F"/>
    <w:rsid w:val="0079107F"/>
    <w:rsid w:val="0079115C"/>
    <w:rsid w:val="00792038"/>
    <w:rsid w:val="00792AEC"/>
    <w:rsid w:val="007963DB"/>
    <w:rsid w:val="00796F1B"/>
    <w:rsid w:val="00797A4E"/>
    <w:rsid w:val="00797C4E"/>
    <w:rsid w:val="007A0307"/>
    <w:rsid w:val="007A043A"/>
    <w:rsid w:val="007A142B"/>
    <w:rsid w:val="007A1CBE"/>
    <w:rsid w:val="007A3148"/>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28C"/>
    <w:rsid w:val="007C29A3"/>
    <w:rsid w:val="007C2CA3"/>
    <w:rsid w:val="007C3230"/>
    <w:rsid w:val="007C3527"/>
    <w:rsid w:val="007C57CB"/>
    <w:rsid w:val="007C5BAD"/>
    <w:rsid w:val="007C5DDE"/>
    <w:rsid w:val="007C60DB"/>
    <w:rsid w:val="007C6147"/>
    <w:rsid w:val="007C6AD5"/>
    <w:rsid w:val="007C6C85"/>
    <w:rsid w:val="007C72FF"/>
    <w:rsid w:val="007C7827"/>
    <w:rsid w:val="007C795E"/>
    <w:rsid w:val="007C7DAB"/>
    <w:rsid w:val="007D23CA"/>
    <w:rsid w:val="007D28A8"/>
    <w:rsid w:val="007D34F2"/>
    <w:rsid w:val="007D3E13"/>
    <w:rsid w:val="007D42C2"/>
    <w:rsid w:val="007D4A85"/>
    <w:rsid w:val="007D4C90"/>
    <w:rsid w:val="007D602B"/>
    <w:rsid w:val="007D64DA"/>
    <w:rsid w:val="007D6B19"/>
    <w:rsid w:val="007D6D9A"/>
    <w:rsid w:val="007D7074"/>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7FE6"/>
    <w:rsid w:val="00801100"/>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2A0B"/>
    <w:rsid w:val="0081389D"/>
    <w:rsid w:val="0081484F"/>
    <w:rsid w:val="008148FE"/>
    <w:rsid w:val="00814D78"/>
    <w:rsid w:val="00816A3D"/>
    <w:rsid w:val="0081734C"/>
    <w:rsid w:val="00817506"/>
    <w:rsid w:val="0082029A"/>
    <w:rsid w:val="00820BB0"/>
    <w:rsid w:val="008212A9"/>
    <w:rsid w:val="00821573"/>
    <w:rsid w:val="00821FB3"/>
    <w:rsid w:val="00822D58"/>
    <w:rsid w:val="0082317E"/>
    <w:rsid w:val="00823C06"/>
    <w:rsid w:val="008252BC"/>
    <w:rsid w:val="0082546F"/>
    <w:rsid w:val="00825AB3"/>
    <w:rsid w:val="00827110"/>
    <w:rsid w:val="008275B9"/>
    <w:rsid w:val="008318FD"/>
    <w:rsid w:val="00831B6F"/>
    <w:rsid w:val="00831D42"/>
    <w:rsid w:val="00832700"/>
    <w:rsid w:val="00832C60"/>
    <w:rsid w:val="008343B3"/>
    <w:rsid w:val="00834B17"/>
    <w:rsid w:val="00837CF4"/>
    <w:rsid w:val="008407F4"/>
    <w:rsid w:val="00840D37"/>
    <w:rsid w:val="00843A65"/>
    <w:rsid w:val="00843C5A"/>
    <w:rsid w:val="00844799"/>
    <w:rsid w:val="00844C84"/>
    <w:rsid w:val="00845A20"/>
    <w:rsid w:val="008463D7"/>
    <w:rsid w:val="0084685A"/>
    <w:rsid w:val="00846F6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208A"/>
    <w:rsid w:val="00863197"/>
    <w:rsid w:val="00863727"/>
    <w:rsid w:val="00863975"/>
    <w:rsid w:val="00863B00"/>
    <w:rsid w:val="00865553"/>
    <w:rsid w:val="008670C9"/>
    <w:rsid w:val="0087085F"/>
    <w:rsid w:val="00870AC5"/>
    <w:rsid w:val="00870CAD"/>
    <w:rsid w:val="00871AE9"/>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375"/>
    <w:rsid w:val="00886651"/>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517"/>
    <w:rsid w:val="00897982"/>
    <w:rsid w:val="008A06AF"/>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0765"/>
    <w:rsid w:val="008C22AE"/>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42"/>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BD2"/>
    <w:rsid w:val="008E6F4A"/>
    <w:rsid w:val="008F025F"/>
    <w:rsid w:val="008F124F"/>
    <w:rsid w:val="008F20DC"/>
    <w:rsid w:val="008F3403"/>
    <w:rsid w:val="008F3ACA"/>
    <w:rsid w:val="008F429C"/>
    <w:rsid w:val="008F56F3"/>
    <w:rsid w:val="008F68B6"/>
    <w:rsid w:val="008F7694"/>
    <w:rsid w:val="008F7D27"/>
    <w:rsid w:val="00900480"/>
    <w:rsid w:val="009018BE"/>
    <w:rsid w:val="00901E54"/>
    <w:rsid w:val="009025B0"/>
    <w:rsid w:val="00902A8A"/>
    <w:rsid w:val="009033F8"/>
    <w:rsid w:val="0090411C"/>
    <w:rsid w:val="00904657"/>
    <w:rsid w:val="00904896"/>
    <w:rsid w:val="00904A92"/>
    <w:rsid w:val="00905376"/>
    <w:rsid w:val="0090583F"/>
    <w:rsid w:val="009061DB"/>
    <w:rsid w:val="0090706F"/>
    <w:rsid w:val="009072BA"/>
    <w:rsid w:val="00911813"/>
    <w:rsid w:val="00911B84"/>
    <w:rsid w:val="0091329F"/>
    <w:rsid w:val="009138C5"/>
    <w:rsid w:val="00913AA5"/>
    <w:rsid w:val="00913E45"/>
    <w:rsid w:val="009140DB"/>
    <w:rsid w:val="0091425C"/>
    <w:rsid w:val="00914A92"/>
    <w:rsid w:val="00915EBD"/>
    <w:rsid w:val="009174E4"/>
    <w:rsid w:val="00922B69"/>
    <w:rsid w:val="00923276"/>
    <w:rsid w:val="009232C7"/>
    <w:rsid w:val="0092361F"/>
    <w:rsid w:val="00925885"/>
    <w:rsid w:val="0092759A"/>
    <w:rsid w:val="00927D34"/>
    <w:rsid w:val="0093181C"/>
    <w:rsid w:val="009344CE"/>
    <w:rsid w:val="009349DC"/>
    <w:rsid w:val="009353BF"/>
    <w:rsid w:val="00936884"/>
    <w:rsid w:val="00937DDD"/>
    <w:rsid w:val="00937EA6"/>
    <w:rsid w:val="009401ED"/>
    <w:rsid w:val="00941A22"/>
    <w:rsid w:val="00941ED8"/>
    <w:rsid w:val="0094303A"/>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59AA"/>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4C0"/>
    <w:rsid w:val="00972C5F"/>
    <w:rsid w:val="0097401E"/>
    <w:rsid w:val="00974F0A"/>
    <w:rsid w:val="00974F8E"/>
    <w:rsid w:val="00974FC1"/>
    <w:rsid w:val="00975079"/>
    <w:rsid w:val="009755B9"/>
    <w:rsid w:val="009766C0"/>
    <w:rsid w:val="00976B00"/>
    <w:rsid w:val="00976B73"/>
    <w:rsid w:val="0097734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4469"/>
    <w:rsid w:val="009A633D"/>
    <w:rsid w:val="009A6849"/>
    <w:rsid w:val="009B1DB4"/>
    <w:rsid w:val="009B23D9"/>
    <w:rsid w:val="009B35BB"/>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51F"/>
    <w:rsid w:val="009D292A"/>
    <w:rsid w:val="009D58B3"/>
    <w:rsid w:val="009D77B2"/>
    <w:rsid w:val="009E1108"/>
    <w:rsid w:val="009E1849"/>
    <w:rsid w:val="009E2909"/>
    <w:rsid w:val="009E3218"/>
    <w:rsid w:val="009E36C4"/>
    <w:rsid w:val="009E5668"/>
    <w:rsid w:val="009E64E7"/>
    <w:rsid w:val="009E68DC"/>
    <w:rsid w:val="009E6DB0"/>
    <w:rsid w:val="009F01E7"/>
    <w:rsid w:val="009F18DE"/>
    <w:rsid w:val="009F1EC1"/>
    <w:rsid w:val="009F22B0"/>
    <w:rsid w:val="009F36B1"/>
    <w:rsid w:val="009F44F2"/>
    <w:rsid w:val="009F45E4"/>
    <w:rsid w:val="009F4CB0"/>
    <w:rsid w:val="009F5299"/>
    <w:rsid w:val="009F5ADC"/>
    <w:rsid w:val="009F63A1"/>
    <w:rsid w:val="009F6AFE"/>
    <w:rsid w:val="009F73E3"/>
    <w:rsid w:val="009F7C80"/>
    <w:rsid w:val="009F7D6E"/>
    <w:rsid w:val="00A006FB"/>
    <w:rsid w:val="00A00FCE"/>
    <w:rsid w:val="00A021C1"/>
    <w:rsid w:val="00A024A1"/>
    <w:rsid w:val="00A03DA7"/>
    <w:rsid w:val="00A04812"/>
    <w:rsid w:val="00A04C36"/>
    <w:rsid w:val="00A05A21"/>
    <w:rsid w:val="00A05BE1"/>
    <w:rsid w:val="00A0643B"/>
    <w:rsid w:val="00A106B9"/>
    <w:rsid w:val="00A12625"/>
    <w:rsid w:val="00A12B69"/>
    <w:rsid w:val="00A13EF4"/>
    <w:rsid w:val="00A14091"/>
    <w:rsid w:val="00A15B53"/>
    <w:rsid w:val="00A15D9F"/>
    <w:rsid w:val="00A16210"/>
    <w:rsid w:val="00A17185"/>
    <w:rsid w:val="00A17B0F"/>
    <w:rsid w:val="00A20460"/>
    <w:rsid w:val="00A21661"/>
    <w:rsid w:val="00A2179F"/>
    <w:rsid w:val="00A21C08"/>
    <w:rsid w:val="00A21DFC"/>
    <w:rsid w:val="00A21EBB"/>
    <w:rsid w:val="00A22633"/>
    <w:rsid w:val="00A2308E"/>
    <w:rsid w:val="00A23F2B"/>
    <w:rsid w:val="00A2417F"/>
    <w:rsid w:val="00A249D0"/>
    <w:rsid w:val="00A27A82"/>
    <w:rsid w:val="00A30D44"/>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407"/>
    <w:rsid w:val="00A42683"/>
    <w:rsid w:val="00A433FE"/>
    <w:rsid w:val="00A43A10"/>
    <w:rsid w:val="00A44493"/>
    <w:rsid w:val="00A451F1"/>
    <w:rsid w:val="00A452D9"/>
    <w:rsid w:val="00A4551C"/>
    <w:rsid w:val="00A45AA2"/>
    <w:rsid w:val="00A4605F"/>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7"/>
    <w:rsid w:val="00A71B7F"/>
    <w:rsid w:val="00A726A3"/>
    <w:rsid w:val="00A72EC4"/>
    <w:rsid w:val="00A72F6D"/>
    <w:rsid w:val="00A72F90"/>
    <w:rsid w:val="00A7322C"/>
    <w:rsid w:val="00A7518F"/>
    <w:rsid w:val="00A7537A"/>
    <w:rsid w:val="00A7546F"/>
    <w:rsid w:val="00A756DC"/>
    <w:rsid w:val="00A75879"/>
    <w:rsid w:val="00A76A3B"/>
    <w:rsid w:val="00A76DDB"/>
    <w:rsid w:val="00A772AC"/>
    <w:rsid w:val="00A801AA"/>
    <w:rsid w:val="00A80A29"/>
    <w:rsid w:val="00A80E15"/>
    <w:rsid w:val="00A82237"/>
    <w:rsid w:val="00A82282"/>
    <w:rsid w:val="00A8275E"/>
    <w:rsid w:val="00A82B82"/>
    <w:rsid w:val="00A84BB9"/>
    <w:rsid w:val="00A85EDB"/>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2775"/>
    <w:rsid w:val="00AA3276"/>
    <w:rsid w:val="00AA3570"/>
    <w:rsid w:val="00AA35C9"/>
    <w:rsid w:val="00AA3A91"/>
    <w:rsid w:val="00AA460B"/>
    <w:rsid w:val="00AA46C1"/>
    <w:rsid w:val="00AA490E"/>
    <w:rsid w:val="00AA530A"/>
    <w:rsid w:val="00AA6E1C"/>
    <w:rsid w:val="00AB18D4"/>
    <w:rsid w:val="00AB3627"/>
    <w:rsid w:val="00AB3E86"/>
    <w:rsid w:val="00AB4205"/>
    <w:rsid w:val="00AB4672"/>
    <w:rsid w:val="00AB4688"/>
    <w:rsid w:val="00AB5B24"/>
    <w:rsid w:val="00AB5DE8"/>
    <w:rsid w:val="00AB5FEB"/>
    <w:rsid w:val="00AB60C8"/>
    <w:rsid w:val="00AB7629"/>
    <w:rsid w:val="00AC0F28"/>
    <w:rsid w:val="00AC1037"/>
    <w:rsid w:val="00AC148D"/>
    <w:rsid w:val="00AC3712"/>
    <w:rsid w:val="00AC37B1"/>
    <w:rsid w:val="00AC3869"/>
    <w:rsid w:val="00AC4098"/>
    <w:rsid w:val="00AC43D6"/>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42E3"/>
    <w:rsid w:val="00AF5718"/>
    <w:rsid w:val="00AF5A3C"/>
    <w:rsid w:val="00AF5A7C"/>
    <w:rsid w:val="00AF5AD5"/>
    <w:rsid w:val="00AF6025"/>
    <w:rsid w:val="00AF6740"/>
    <w:rsid w:val="00AF6BB8"/>
    <w:rsid w:val="00AF701D"/>
    <w:rsid w:val="00B002E2"/>
    <w:rsid w:val="00B0083C"/>
    <w:rsid w:val="00B01111"/>
    <w:rsid w:val="00B01167"/>
    <w:rsid w:val="00B01AFB"/>
    <w:rsid w:val="00B01BDC"/>
    <w:rsid w:val="00B02035"/>
    <w:rsid w:val="00B02A2B"/>
    <w:rsid w:val="00B03248"/>
    <w:rsid w:val="00B06601"/>
    <w:rsid w:val="00B07F6F"/>
    <w:rsid w:val="00B1092E"/>
    <w:rsid w:val="00B110A7"/>
    <w:rsid w:val="00B1163B"/>
    <w:rsid w:val="00B130E2"/>
    <w:rsid w:val="00B14D41"/>
    <w:rsid w:val="00B151DF"/>
    <w:rsid w:val="00B17663"/>
    <w:rsid w:val="00B20113"/>
    <w:rsid w:val="00B2065B"/>
    <w:rsid w:val="00B207AD"/>
    <w:rsid w:val="00B2098B"/>
    <w:rsid w:val="00B21D79"/>
    <w:rsid w:val="00B21DEA"/>
    <w:rsid w:val="00B21F74"/>
    <w:rsid w:val="00B23107"/>
    <w:rsid w:val="00B23359"/>
    <w:rsid w:val="00B2505F"/>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54D"/>
    <w:rsid w:val="00B5466F"/>
    <w:rsid w:val="00B55126"/>
    <w:rsid w:val="00B551DA"/>
    <w:rsid w:val="00B5533E"/>
    <w:rsid w:val="00B555CA"/>
    <w:rsid w:val="00B55B05"/>
    <w:rsid w:val="00B55E20"/>
    <w:rsid w:val="00B573C7"/>
    <w:rsid w:val="00B577C5"/>
    <w:rsid w:val="00B60A6F"/>
    <w:rsid w:val="00B60E4F"/>
    <w:rsid w:val="00B61197"/>
    <w:rsid w:val="00B6175A"/>
    <w:rsid w:val="00B62C0C"/>
    <w:rsid w:val="00B62C59"/>
    <w:rsid w:val="00B62CFD"/>
    <w:rsid w:val="00B64334"/>
    <w:rsid w:val="00B6584F"/>
    <w:rsid w:val="00B65F94"/>
    <w:rsid w:val="00B66498"/>
    <w:rsid w:val="00B67D26"/>
    <w:rsid w:val="00B71734"/>
    <w:rsid w:val="00B71859"/>
    <w:rsid w:val="00B733AC"/>
    <w:rsid w:val="00B742A1"/>
    <w:rsid w:val="00B754DE"/>
    <w:rsid w:val="00B75ADD"/>
    <w:rsid w:val="00B76806"/>
    <w:rsid w:val="00B84014"/>
    <w:rsid w:val="00B84A70"/>
    <w:rsid w:val="00B84DE6"/>
    <w:rsid w:val="00B864F5"/>
    <w:rsid w:val="00B86B21"/>
    <w:rsid w:val="00B86DE2"/>
    <w:rsid w:val="00B87D27"/>
    <w:rsid w:val="00B87EC7"/>
    <w:rsid w:val="00B9038A"/>
    <w:rsid w:val="00B90B19"/>
    <w:rsid w:val="00B91592"/>
    <w:rsid w:val="00B91EC8"/>
    <w:rsid w:val="00B93A32"/>
    <w:rsid w:val="00B94686"/>
    <w:rsid w:val="00B94850"/>
    <w:rsid w:val="00B94F21"/>
    <w:rsid w:val="00B96A91"/>
    <w:rsid w:val="00B9786C"/>
    <w:rsid w:val="00B97E68"/>
    <w:rsid w:val="00B97FA5"/>
    <w:rsid w:val="00BA11CB"/>
    <w:rsid w:val="00BA17C8"/>
    <w:rsid w:val="00BA201F"/>
    <w:rsid w:val="00BA2547"/>
    <w:rsid w:val="00BA382F"/>
    <w:rsid w:val="00BA52B9"/>
    <w:rsid w:val="00BA7B15"/>
    <w:rsid w:val="00BA7B9E"/>
    <w:rsid w:val="00BA7F48"/>
    <w:rsid w:val="00BB26FB"/>
    <w:rsid w:val="00BB26FE"/>
    <w:rsid w:val="00BB286A"/>
    <w:rsid w:val="00BB298A"/>
    <w:rsid w:val="00BB339A"/>
    <w:rsid w:val="00BB3736"/>
    <w:rsid w:val="00BB3DFB"/>
    <w:rsid w:val="00BB41C2"/>
    <w:rsid w:val="00BB4630"/>
    <w:rsid w:val="00BB6D60"/>
    <w:rsid w:val="00BB7238"/>
    <w:rsid w:val="00BB7976"/>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3A4"/>
    <w:rsid w:val="00BE1695"/>
    <w:rsid w:val="00BE2231"/>
    <w:rsid w:val="00BE27F0"/>
    <w:rsid w:val="00BE302C"/>
    <w:rsid w:val="00BE346E"/>
    <w:rsid w:val="00BE38CE"/>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4988"/>
    <w:rsid w:val="00C056A2"/>
    <w:rsid w:val="00C05CAA"/>
    <w:rsid w:val="00C0766D"/>
    <w:rsid w:val="00C07826"/>
    <w:rsid w:val="00C07BAF"/>
    <w:rsid w:val="00C1000A"/>
    <w:rsid w:val="00C10AAA"/>
    <w:rsid w:val="00C114FD"/>
    <w:rsid w:val="00C1311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70F"/>
    <w:rsid w:val="00C40C8E"/>
    <w:rsid w:val="00C41AE3"/>
    <w:rsid w:val="00C421F0"/>
    <w:rsid w:val="00C42FBF"/>
    <w:rsid w:val="00C43F02"/>
    <w:rsid w:val="00C43F07"/>
    <w:rsid w:val="00C4554E"/>
    <w:rsid w:val="00C45B3B"/>
    <w:rsid w:val="00C46599"/>
    <w:rsid w:val="00C4702B"/>
    <w:rsid w:val="00C5061B"/>
    <w:rsid w:val="00C50C09"/>
    <w:rsid w:val="00C50F73"/>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EC"/>
    <w:rsid w:val="00C73EF9"/>
    <w:rsid w:val="00C741B9"/>
    <w:rsid w:val="00C749B2"/>
    <w:rsid w:val="00C74FFC"/>
    <w:rsid w:val="00C7570F"/>
    <w:rsid w:val="00C7573E"/>
    <w:rsid w:val="00C764E1"/>
    <w:rsid w:val="00C76D5C"/>
    <w:rsid w:val="00C76FCC"/>
    <w:rsid w:val="00C77098"/>
    <w:rsid w:val="00C8261B"/>
    <w:rsid w:val="00C83CCB"/>
    <w:rsid w:val="00C840EB"/>
    <w:rsid w:val="00C84110"/>
    <w:rsid w:val="00C8425A"/>
    <w:rsid w:val="00C84F8C"/>
    <w:rsid w:val="00C85BF7"/>
    <w:rsid w:val="00C867F5"/>
    <w:rsid w:val="00C86D29"/>
    <w:rsid w:val="00C87498"/>
    <w:rsid w:val="00C90BA8"/>
    <w:rsid w:val="00C92344"/>
    <w:rsid w:val="00C92431"/>
    <w:rsid w:val="00C9248C"/>
    <w:rsid w:val="00C92A3A"/>
    <w:rsid w:val="00C93BAD"/>
    <w:rsid w:val="00C94B6B"/>
    <w:rsid w:val="00C94C32"/>
    <w:rsid w:val="00C9621C"/>
    <w:rsid w:val="00C97182"/>
    <w:rsid w:val="00C978C3"/>
    <w:rsid w:val="00CA23C3"/>
    <w:rsid w:val="00CA295E"/>
    <w:rsid w:val="00CA296D"/>
    <w:rsid w:val="00CA2E38"/>
    <w:rsid w:val="00CA3044"/>
    <w:rsid w:val="00CA4392"/>
    <w:rsid w:val="00CB0F48"/>
    <w:rsid w:val="00CB1419"/>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3E3A"/>
    <w:rsid w:val="00CC5191"/>
    <w:rsid w:val="00CC61D1"/>
    <w:rsid w:val="00CC6E65"/>
    <w:rsid w:val="00CC7E3E"/>
    <w:rsid w:val="00CD01B5"/>
    <w:rsid w:val="00CD0372"/>
    <w:rsid w:val="00CD0F30"/>
    <w:rsid w:val="00CD125A"/>
    <w:rsid w:val="00CD148C"/>
    <w:rsid w:val="00CD2F6F"/>
    <w:rsid w:val="00CD4609"/>
    <w:rsid w:val="00CD5B2D"/>
    <w:rsid w:val="00CD67CA"/>
    <w:rsid w:val="00CD768A"/>
    <w:rsid w:val="00CE001B"/>
    <w:rsid w:val="00CE0D03"/>
    <w:rsid w:val="00CE1617"/>
    <w:rsid w:val="00CE1C00"/>
    <w:rsid w:val="00CE1F3D"/>
    <w:rsid w:val="00CE4680"/>
    <w:rsid w:val="00CE591C"/>
    <w:rsid w:val="00CE6ABD"/>
    <w:rsid w:val="00CE6D76"/>
    <w:rsid w:val="00CF03C9"/>
    <w:rsid w:val="00CF0990"/>
    <w:rsid w:val="00CF14E4"/>
    <w:rsid w:val="00CF1AD6"/>
    <w:rsid w:val="00CF1BB0"/>
    <w:rsid w:val="00CF2681"/>
    <w:rsid w:val="00CF280E"/>
    <w:rsid w:val="00CF28FD"/>
    <w:rsid w:val="00CF321F"/>
    <w:rsid w:val="00CF35E0"/>
    <w:rsid w:val="00CF3873"/>
    <w:rsid w:val="00CF505D"/>
    <w:rsid w:val="00CF5194"/>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2C96"/>
    <w:rsid w:val="00D15AD6"/>
    <w:rsid w:val="00D160F3"/>
    <w:rsid w:val="00D165B6"/>
    <w:rsid w:val="00D2069E"/>
    <w:rsid w:val="00D2265D"/>
    <w:rsid w:val="00D23B49"/>
    <w:rsid w:val="00D24AAC"/>
    <w:rsid w:val="00D25D78"/>
    <w:rsid w:val="00D27410"/>
    <w:rsid w:val="00D27924"/>
    <w:rsid w:val="00D27B9D"/>
    <w:rsid w:val="00D27ED5"/>
    <w:rsid w:val="00D30131"/>
    <w:rsid w:val="00D3163D"/>
    <w:rsid w:val="00D317B7"/>
    <w:rsid w:val="00D32446"/>
    <w:rsid w:val="00D3274F"/>
    <w:rsid w:val="00D33076"/>
    <w:rsid w:val="00D340A1"/>
    <w:rsid w:val="00D35B14"/>
    <w:rsid w:val="00D4072A"/>
    <w:rsid w:val="00D40786"/>
    <w:rsid w:val="00D40DE8"/>
    <w:rsid w:val="00D432D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7F0"/>
    <w:rsid w:val="00D67D53"/>
    <w:rsid w:val="00D67DC1"/>
    <w:rsid w:val="00D7115B"/>
    <w:rsid w:val="00D7167F"/>
    <w:rsid w:val="00D72B03"/>
    <w:rsid w:val="00D75751"/>
    <w:rsid w:val="00D75CB1"/>
    <w:rsid w:val="00D75E54"/>
    <w:rsid w:val="00D768BD"/>
    <w:rsid w:val="00D7744C"/>
    <w:rsid w:val="00D77687"/>
    <w:rsid w:val="00D811BE"/>
    <w:rsid w:val="00D845A3"/>
    <w:rsid w:val="00D84A29"/>
    <w:rsid w:val="00D85671"/>
    <w:rsid w:val="00D86CD9"/>
    <w:rsid w:val="00D87299"/>
    <w:rsid w:val="00D902DE"/>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D5C"/>
    <w:rsid w:val="00DA45D3"/>
    <w:rsid w:val="00DA4756"/>
    <w:rsid w:val="00DA4992"/>
    <w:rsid w:val="00DA4B81"/>
    <w:rsid w:val="00DA54FA"/>
    <w:rsid w:val="00DA59A3"/>
    <w:rsid w:val="00DB06C6"/>
    <w:rsid w:val="00DB188B"/>
    <w:rsid w:val="00DB1BFE"/>
    <w:rsid w:val="00DB23EC"/>
    <w:rsid w:val="00DB2934"/>
    <w:rsid w:val="00DB31A2"/>
    <w:rsid w:val="00DB360F"/>
    <w:rsid w:val="00DB39C9"/>
    <w:rsid w:val="00DB3B9E"/>
    <w:rsid w:val="00DB3E9A"/>
    <w:rsid w:val="00DB4899"/>
    <w:rsid w:val="00DB4DCF"/>
    <w:rsid w:val="00DB509D"/>
    <w:rsid w:val="00DB54BF"/>
    <w:rsid w:val="00DB5FCE"/>
    <w:rsid w:val="00DB69C5"/>
    <w:rsid w:val="00DB71A5"/>
    <w:rsid w:val="00DB7E26"/>
    <w:rsid w:val="00DB7F31"/>
    <w:rsid w:val="00DC048D"/>
    <w:rsid w:val="00DC04F6"/>
    <w:rsid w:val="00DC085F"/>
    <w:rsid w:val="00DC0B68"/>
    <w:rsid w:val="00DC1792"/>
    <w:rsid w:val="00DC193A"/>
    <w:rsid w:val="00DC1A5A"/>
    <w:rsid w:val="00DC1CCB"/>
    <w:rsid w:val="00DC2D4E"/>
    <w:rsid w:val="00DC2E68"/>
    <w:rsid w:val="00DC3A2C"/>
    <w:rsid w:val="00DC3CF6"/>
    <w:rsid w:val="00DC443F"/>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7F0"/>
    <w:rsid w:val="00DE710B"/>
    <w:rsid w:val="00DE731A"/>
    <w:rsid w:val="00DE77A8"/>
    <w:rsid w:val="00DF059A"/>
    <w:rsid w:val="00DF07A3"/>
    <w:rsid w:val="00DF0A7C"/>
    <w:rsid w:val="00DF222F"/>
    <w:rsid w:val="00DF2E94"/>
    <w:rsid w:val="00DF30F2"/>
    <w:rsid w:val="00DF3C53"/>
    <w:rsid w:val="00DF3E95"/>
    <w:rsid w:val="00DF4990"/>
    <w:rsid w:val="00DF5516"/>
    <w:rsid w:val="00DF5D18"/>
    <w:rsid w:val="00DF63AF"/>
    <w:rsid w:val="00DF6A9E"/>
    <w:rsid w:val="00DF7060"/>
    <w:rsid w:val="00E00163"/>
    <w:rsid w:val="00E006A1"/>
    <w:rsid w:val="00E01682"/>
    <w:rsid w:val="00E01DFD"/>
    <w:rsid w:val="00E0328E"/>
    <w:rsid w:val="00E05938"/>
    <w:rsid w:val="00E05ACE"/>
    <w:rsid w:val="00E05D2E"/>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34F2"/>
    <w:rsid w:val="00E2415E"/>
    <w:rsid w:val="00E2481B"/>
    <w:rsid w:val="00E27978"/>
    <w:rsid w:val="00E27B5A"/>
    <w:rsid w:val="00E30039"/>
    <w:rsid w:val="00E30425"/>
    <w:rsid w:val="00E307D1"/>
    <w:rsid w:val="00E31335"/>
    <w:rsid w:val="00E32621"/>
    <w:rsid w:val="00E352E5"/>
    <w:rsid w:val="00E358A2"/>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AA5"/>
    <w:rsid w:val="00E6215E"/>
    <w:rsid w:val="00E63785"/>
    <w:rsid w:val="00E64291"/>
    <w:rsid w:val="00E643BF"/>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415"/>
    <w:rsid w:val="00E82DCB"/>
    <w:rsid w:val="00E836CE"/>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4E9"/>
    <w:rsid w:val="00EA4532"/>
    <w:rsid w:val="00EA4B2C"/>
    <w:rsid w:val="00EA6022"/>
    <w:rsid w:val="00EA6C85"/>
    <w:rsid w:val="00EA78F6"/>
    <w:rsid w:val="00EA7E39"/>
    <w:rsid w:val="00EB009E"/>
    <w:rsid w:val="00EB0997"/>
    <w:rsid w:val="00EB3D4F"/>
    <w:rsid w:val="00EB43FE"/>
    <w:rsid w:val="00EB6380"/>
    <w:rsid w:val="00EB7409"/>
    <w:rsid w:val="00EB78AC"/>
    <w:rsid w:val="00EB7950"/>
    <w:rsid w:val="00EB7D0B"/>
    <w:rsid w:val="00EC121A"/>
    <w:rsid w:val="00EC1279"/>
    <w:rsid w:val="00EC12F0"/>
    <w:rsid w:val="00EC1DB9"/>
    <w:rsid w:val="00EC2674"/>
    <w:rsid w:val="00EC2698"/>
    <w:rsid w:val="00EC2CEB"/>
    <w:rsid w:val="00EC2CFD"/>
    <w:rsid w:val="00EC3015"/>
    <w:rsid w:val="00EC3E88"/>
    <w:rsid w:val="00EC45BC"/>
    <w:rsid w:val="00EC46C3"/>
    <w:rsid w:val="00EC4774"/>
    <w:rsid w:val="00EC5EF6"/>
    <w:rsid w:val="00EC6042"/>
    <w:rsid w:val="00EC669F"/>
    <w:rsid w:val="00EC7751"/>
    <w:rsid w:val="00ED05F6"/>
    <w:rsid w:val="00ED2410"/>
    <w:rsid w:val="00ED3ADF"/>
    <w:rsid w:val="00ED3D66"/>
    <w:rsid w:val="00ED553C"/>
    <w:rsid w:val="00ED555E"/>
    <w:rsid w:val="00ED633A"/>
    <w:rsid w:val="00ED7342"/>
    <w:rsid w:val="00ED7610"/>
    <w:rsid w:val="00ED7758"/>
    <w:rsid w:val="00ED7877"/>
    <w:rsid w:val="00EE0DBB"/>
    <w:rsid w:val="00EE10F4"/>
    <w:rsid w:val="00EE1D10"/>
    <w:rsid w:val="00EE2FBF"/>
    <w:rsid w:val="00EE36DC"/>
    <w:rsid w:val="00EE4E19"/>
    <w:rsid w:val="00EE6A7B"/>
    <w:rsid w:val="00EF03F6"/>
    <w:rsid w:val="00EF084A"/>
    <w:rsid w:val="00EF1052"/>
    <w:rsid w:val="00EF16D5"/>
    <w:rsid w:val="00EF1703"/>
    <w:rsid w:val="00EF19BB"/>
    <w:rsid w:val="00EF3975"/>
    <w:rsid w:val="00EF3A0C"/>
    <w:rsid w:val="00EF3DB0"/>
    <w:rsid w:val="00EF472E"/>
    <w:rsid w:val="00EF4910"/>
    <w:rsid w:val="00EF4E11"/>
    <w:rsid w:val="00EF5178"/>
    <w:rsid w:val="00EF5BA2"/>
    <w:rsid w:val="00F013FE"/>
    <w:rsid w:val="00F01C6E"/>
    <w:rsid w:val="00F01F8E"/>
    <w:rsid w:val="00F0259C"/>
    <w:rsid w:val="00F029F6"/>
    <w:rsid w:val="00F0346B"/>
    <w:rsid w:val="00F03A97"/>
    <w:rsid w:val="00F03C65"/>
    <w:rsid w:val="00F045C2"/>
    <w:rsid w:val="00F0479D"/>
    <w:rsid w:val="00F05AAC"/>
    <w:rsid w:val="00F064B3"/>
    <w:rsid w:val="00F07525"/>
    <w:rsid w:val="00F07F9E"/>
    <w:rsid w:val="00F12D02"/>
    <w:rsid w:val="00F130E3"/>
    <w:rsid w:val="00F13EEE"/>
    <w:rsid w:val="00F14C02"/>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7699"/>
    <w:rsid w:val="00F37928"/>
    <w:rsid w:val="00F40C3A"/>
    <w:rsid w:val="00F422F4"/>
    <w:rsid w:val="00F4380F"/>
    <w:rsid w:val="00F43B51"/>
    <w:rsid w:val="00F43E18"/>
    <w:rsid w:val="00F47751"/>
    <w:rsid w:val="00F5077B"/>
    <w:rsid w:val="00F50D08"/>
    <w:rsid w:val="00F52CE1"/>
    <w:rsid w:val="00F53648"/>
    <w:rsid w:val="00F5567F"/>
    <w:rsid w:val="00F56142"/>
    <w:rsid w:val="00F57412"/>
    <w:rsid w:val="00F60E85"/>
    <w:rsid w:val="00F6142D"/>
    <w:rsid w:val="00F6226B"/>
    <w:rsid w:val="00F62354"/>
    <w:rsid w:val="00F62963"/>
    <w:rsid w:val="00F62C06"/>
    <w:rsid w:val="00F63779"/>
    <w:rsid w:val="00F63BDE"/>
    <w:rsid w:val="00F64573"/>
    <w:rsid w:val="00F64F15"/>
    <w:rsid w:val="00F6580A"/>
    <w:rsid w:val="00F663EF"/>
    <w:rsid w:val="00F70857"/>
    <w:rsid w:val="00F70B70"/>
    <w:rsid w:val="00F71010"/>
    <w:rsid w:val="00F71986"/>
    <w:rsid w:val="00F720F6"/>
    <w:rsid w:val="00F731E1"/>
    <w:rsid w:val="00F732FE"/>
    <w:rsid w:val="00F73E54"/>
    <w:rsid w:val="00F76AC1"/>
    <w:rsid w:val="00F76E00"/>
    <w:rsid w:val="00F76FD2"/>
    <w:rsid w:val="00F77010"/>
    <w:rsid w:val="00F80C2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4CAA"/>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0889"/>
    <w:rsid w:val="00FB1776"/>
    <w:rsid w:val="00FB1943"/>
    <w:rsid w:val="00FB1E60"/>
    <w:rsid w:val="00FB2C5C"/>
    <w:rsid w:val="00FB3741"/>
    <w:rsid w:val="00FB5B35"/>
    <w:rsid w:val="00FB737F"/>
    <w:rsid w:val="00FC2A7D"/>
    <w:rsid w:val="00FC3DA3"/>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89D"/>
    <w:rsid w:val="00FE2D20"/>
    <w:rsid w:val="00FE3914"/>
    <w:rsid w:val="00FE4696"/>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477BCB"/>
    <w:rsid w:val="0165774F"/>
    <w:rsid w:val="017513A9"/>
    <w:rsid w:val="01B11E35"/>
    <w:rsid w:val="01C62B3E"/>
    <w:rsid w:val="024679DB"/>
    <w:rsid w:val="025D08EA"/>
    <w:rsid w:val="028407B3"/>
    <w:rsid w:val="02D6178C"/>
    <w:rsid w:val="02F2197A"/>
    <w:rsid w:val="03375244"/>
    <w:rsid w:val="033B06CB"/>
    <w:rsid w:val="03BC0C9A"/>
    <w:rsid w:val="03BE1EFF"/>
    <w:rsid w:val="03E62EB1"/>
    <w:rsid w:val="03EC63C9"/>
    <w:rsid w:val="0413149A"/>
    <w:rsid w:val="041C3581"/>
    <w:rsid w:val="0422003D"/>
    <w:rsid w:val="042913CB"/>
    <w:rsid w:val="04684637"/>
    <w:rsid w:val="05410997"/>
    <w:rsid w:val="054E19A4"/>
    <w:rsid w:val="05771562"/>
    <w:rsid w:val="05852CF4"/>
    <w:rsid w:val="05927A85"/>
    <w:rsid w:val="05957310"/>
    <w:rsid w:val="059A3C03"/>
    <w:rsid w:val="060F639F"/>
    <w:rsid w:val="066E7569"/>
    <w:rsid w:val="069771CD"/>
    <w:rsid w:val="06B37672"/>
    <w:rsid w:val="06B86A37"/>
    <w:rsid w:val="06DB44D3"/>
    <w:rsid w:val="07510465"/>
    <w:rsid w:val="078F3BF1"/>
    <w:rsid w:val="080E26A1"/>
    <w:rsid w:val="080F2686"/>
    <w:rsid w:val="0854278F"/>
    <w:rsid w:val="088C088F"/>
    <w:rsid w:val="08D5567E"/>
    <w:rsid w:val="09336116"/>
    <w:rsid w:val="09866978"/>
    <w:rsid w:val="09C1409A"/>
    <w:rsid w:val="0A743D85"/>
    <w:rsid w:val="0A892A56"/>
    <w:rsid w:val="0AE47DFA"/>
    <w:rsid w:val="0B4C5D51"/>
    <w:rsid w:val="0B961C47"/>
    <w:rsid w:val="0BD55F69"/>
    <w:rsid w:val="0BF56037"/>
    <w:rsid w:val="0BFF163B"/>
    <w:rsid w:val="0C152235"/>
    <w:rsid w:val="0C3B6140"/>
    <w:rsid w:val="0C5745FC"/>
    <w:rsid w:val="0CD848B8"/>
    <w:rsid w:val="0D504342"/>
    <w:rsid w:val="0D870F11"/>
    <w:rsid w:val="0DAB1666"/>
    <w:rsid w:val="0DB02216"/>
    <w:rsid w:val="0DC5128C"/>
    <w:rsid w:val="0DD9114E"/>
    <w:rsid w:val="0E0408E9"/>
    <w:rsid w:val="0E0B1B42"/>
    <w:rsid w:val="0E1C525D"/>
    <w:rsid w:val="0E260891"/>
    <w:rsid w:val="0E725164"/>
    <w:rsid w:val="0EFE4AC2"/>
    <w:rsid w:val="0F572D71"/>
    <w:rsid w:val="0F76748F"/>
    <w:rsid w:val="0F8A6A96"/>
    <w:rsid w:val="101F37A7"/>
    <w:rsid w:val="10570B6C"/>
    <w:rsid w:val="10816FD2"/>
    <w:rsid w:val="10D02C05"/>
    <w:rsid w:val="11252F1A"/>
    <w:rsid w:val="11802A9D"/>
    <w:rsid w:val="11A27ED6"/>
    <w:rsid w:val="11D14F29"/>
    <w:rsid w:val="12A065D5"/>
    <w:rsid w:val="12B207DE"/>
    <w:rsid w:val="12C66037"/>
    <w:rsid w:val="12D91221"/>
    <w:rsid w:val="12F26E2C"/>
    <w:rsid w:val="131A59BE"/>
    <w:rsid w:val="13407938"/>
    <w:rsid w:val="13693592"/>
    <w:rsid w:val="137E6AE5"/>
    <w:rsid w:val="13C366E3"/>
    <w:rsid w:val="13D44784"/>
    <w:rsid w:val="13DA7FEC"/>
    <w:rsid w:val="143F0797"/>
    <w:rsid w:val="1451773B"/>
    <w:rsid w:val="149418A3"/>
    <w:rsid w:val="14CB202B"/>
    <w:rsid w:val="14CD3A88"/>
    <w:rsid w:val="14EB5FBC"/>
    <w:rsid w:val="153E7107"/>
    <w:rsid w:val="15702678"/>
    <w:rsid w:val="15831547"/>
    <w:rsid w:val="15847AA0"/>
    <w:rsid w:val="159113BF"/>
    <w:rsid w:val="15D94EDC"/>
    <w:rsid w:val="15E11B06"/>
    <w:rsid w:val="161404C8"/>
    <w:rsid w:val="161A6DC6"/>
    <w:rsid w:val="16240CFA"/>
    <w:rsid w:val="164836F6"/>
    <w:rsid w:val="16702687"/>
    <w:rsid w:val="16D2582B"/>
    <w:rsid w:val="172A2E7A"/>
    <w:rsid w:val="172C1744"/>
    <w:rsid w:val="17476AD5"/>
    <w:rsid w:val="176651A7"/>
    <w:rsid w:val="178C3CF3"/>
    <w:rsid w:val="17B2302E"/>
    <w:rsid w:val="17B23574"/>
    <w:rsid w:val="18345ABA"/>
    <w:rsid w:val="1851727E"/>
    <w:rsid w:val="186A5405"/>
    <w:rsid w:val="18932E60"/>
    <w:rsid w:val="189645C0"/>
    <w:rsid w:val="18C82B09"/>
    <w:rsid w:val="18DA146E"/>
    <w:rsid w:val="18FB5139"/>
    <w:rsid w:val="192F2B88"/>
    <w:rsid w:val="194B16A1"/>
    <w:rsid w:val="19762565"/>
    <w:rsid w:val="19AF5A77"/>
    <w:rsid w:val="19B74463"/>
    <w:rsid w:val="19BC232B"/>
    <w:rsid w:val="1A4505F1"/>
    <w:rsid w:val="1A7E4FCF"/>
    <w:rsid w:val="1A8211B0"/>
    <w:rsid w:val="1A8A42CA"/>
    <w:rsid w:val="1ABE7FAC"/>
    <w:rsid w:val="1B217338"/>
    <w:rsid w:val="1B3D037C"/>
    <w:rsid w:val="1B4C36BB"/>
    <w:rsid w:val="1B5A5C6B"/>
    <w:rsid w:val="1B9B2757"/>
    <w:rsid w:val="1BAB6C8D"/>
    <w:rsid w:val="1C26681F"/>
    <w:rsid w:val="1C27223D"/>
    <w:rsid w:val="1C591711"/>
    <w:rsid w:val="1C6F2165"/>
    <w:rsid w:val="1C7F0946"/>
    <w:rsid w:val="1C882F58"/>
    <w:rsid w:val="1CBD1967"/>
    <w:rsid w:val="1D0936F0"/>
    <w:rsid w:val="1D126FDD"/>
    <w:rsid w:val="1D2F75FB"/>
    <w:rsid w:val="1D8B05A9"/>
    <w:rsid w:val="1DCA664E"/>
    <w:rsid w:val="1DD91315"/>
    <w:rsid w:val="1DF12B02"/>
    <w:rsid w:val="1E071E96"/>
    <w:rsid w:val="1E1020F6"/>
    <w:rsid w:val="1E450182"/>
    <w:rsid w:val="1E5D0198"/>
    <w:rsid w:val="1EC446A5"/>
    <w:rsid w:val="1EDA53E2"/>
    <w:rsid w:val="1EE07F7F"/>
    <w:rsid w:val="1EFD0DF8"/>
    <w:rsid w:val="1F29007A"/>
    <w:rsid w:val="1F4E1165"/>
    <w:rsid w:val="1F4F72C9"/>
    <w:rsid w:val="1F5327B5"/>
    <w:rsid w:val="1FA977BF"/>
    <w:rsid w:val="1FB6253D"/>
    <w:rsid w:val="1FC3402A"/>
    <w:rsid w:val="1FE94A78"/>
    <w:rsid w:val="20083BF5"/>
    <w:rsid w:val="20163D5C"/>
    <w:rsid w:val="206E2E3C"/>
    <w:rsid w:val="20837948"/>
    <w:rsid w:val="20C95670"/>
    <w:rsid w:val="20D06740"/>
    <w:rsid w:val="20D5794E"/>
    <w:rsid w:val="20EF0E4F"/>
    <w:rsid w:val="20FB4104"/>
    <w:rsid w:val="21050673"/>
    <w:rsid w:val="210F69BC"/>
    <w:rsid w:val="213F215E"/>
    <w:rsid w:val="21493877"/>
    <w:rsid w:val="214F7FD4"/>
    <w:rsid w:val="216D6944"/>
    <w:rsid w:val="21CD75BD"/>
    <w:rsid w:val="21EF2BF7"/>
    <w:rsid w:val="22274D44"/>
    <w:rsid w:val="22386288"/>
    <w:rsid w:val="22503C1D"/>
    <w:rsid w:val="226D4721"/>
    <w:rsid w:val="227B3D94"/>
    <w:rsid w:val="227C521C"/>
    <w:rsid w:val="22B523CE"/>
    <w:rsid w:val="22E10F1C"/>
    <w:rsid w:val="22E23F44"/>
    <w:rsid w:val="234731C4"/>
    <w:rsid w:val="239E5129"/>
    <w:rsid w:val="24400E1F"/>
    <w:rsid w:val="24637931"/>
    <w:rsid w:val="247D51DF"/>
    <w:rsid w:val="247E0175"/>
    <w:rsid w:val="248520D7"/>
    <w:rsid w:val="24A3343E"/>
    <w:rsid w:val="251845E8"/>
    <w:rsid w:val="25335C24"/>
    <w:rsid w:val="25553977"/>
    <w:rsid w:val="25755DC7"/>
    <w:rsid w:val="257A1221"/>
    <w:rsid w:val="258F538D"/>
    <w:rsid w:val="26E0484D"/>
    <w:rsid w:val="27264850"/>
    <w:rsid w:val="27443528"/>
    <w:rsid w:val="27482DA8"/>
    <w:rsid w:val="27595274"/>
    <w:rsid w:val="27CF1BFE"/>
    <w:rsid w:val="27E22837"/>
    <w:rsid w:val="28174256"/>
    <w:rsid w:val="281F201A"/>
    <w:rsid w:val="28312E15"/>
    <w:rsid w:val="283C1DD8"/>
    <w:rsid w:val="28520AF7"/>
    <w:rsid w:val="286F5EE4"/>
    <w:rsid w:val="28D21BF7"/>
    <w:rsid w:val="28E87C1A"/>
    <w:rsid w:val="2A0C4820"/>
    <w:rsid w:val="2A494F4A"/>
    <w:rsid w:val="2A510C9C"/>
    <w:rsid w:val="2A685EFA"/>
    <w:rsid w:val="2A6C52BE"/>
    <w:rsid w:val="2A7E1689"/>
    <w:rsid w:val="2A805769"/>
    <w:rsid w:val="2ACE7951"/>
    <w:rsid w:val="2ADA11FD"/>
    <w:rsid w:val="2AE03E77"/>
    <w:rsid w:val="2B02634F"/>
    <w:rsid w:val="2B4104F9"/>
    <w:rsid w:val="2BB03D3C"/>
    <w:rsid w:val="2BD21FCC"/>
    <w:rsid w:val="2C0734F1"/>
    <w:rsid w:val="2C1D6BD5"/>
    <w:rsid w:val="2C546A99"/>
    <w:rsid w:val="2CA3146B"/>
    <w:rsid w:val="2CA44507"/>
    <w:rsid w:val="2CDC0F6F"/>
    <w:rsid w:val="2CE46631"/>
    <w:rsid w:val="2CEC18D8"/>
    <w:rsid w:val="2D0068BE"/>
    <w:rsid w:val="2D3A16A4"/>
    <w:rsid w:val="2D3D729F"/>
    <w:rsid w:val="2D606C10"/>
    <w:rsid w:val="2D6D5C07"/>
    <w:rsid w:val="2D7A3971"/>
    <w:rsid w:val="2D9569AC"/>
    <w:rsid w:val="2EB8264A"/>
    <w:rsid w:val="2F110B7B"/>
    <w:rsid w:val="2F1112F0"/>
    <w:rsid w:val="2F155F21"/>
    <w:rsid w:val="2F68699C"/>
    <w:rsid w:val="2F7A4E73"/>
    <w:rsid w:val="2FA87B82"/>
    <w:rsid w:val="2FF16992"/>
    <w:rsid w:val="30235B53"/>
    <w:rsid w:val="30E443A9"/>
    <w:rsid w:val="30F85AFE"/>
    <w:rsid w:val="310E70CF"/>
    <w:rsid w:val="313E4617"/>
    <w:rsid w:val="3183517E"/>
    <w:rsid w:val="318D11BE"/>
    <w:rsid w:val="31996FDB"/>
    <w:rsid w:val="31C02DAE"/>
    <w:rsid w:val="31EF42EF"/>
    <w:rsid w:val="321C75CA"/>
    <w:rsid w:val="321D7FAE"/>
    <w:rsid w:val="32383A46"/>
    <w:rsid w:val="32424372"/>
    <w:rsid w:val="3296737C"/>
    <w:rsid w:val="32AE46C6"/>
    <w:rsid w:val="32BD2631"/>
    <w:rsid w:val="32C00BD6"/>
    <w:rsid w:val="32C3091E"/>
    <w:rsid w:val="32D84909"/>
    <w:rsid w:val="32FA3DAF"/>
    <w:rsid w:val="32FF3174"/>
    <w:rsid w:val="33305A23"/>
    <w:rsid w:val="33753436"/>
    <w:rsid w:val="337A31A4"/>
    <w:rsid w:val="33842D58"/>
    <w:rsid w:val="33C2377D"/>
    <w:rsid w:val="33E6570C"/>
    <w:rsid w:val="33F14B85"/>
    <w:rsid w:val="340D366E"/>
    <w:rsid w:val="34293A3F"/>
    <w:rsid w:val="347035F7"/>
    <w:rsid w:val="348E47AF"/>
    <w:rsid w:val="34DF325D"/>
    <w:rsid w:val="35BC48B8"/>
    <w:rsid w:val="35E94CA9"/>
    <w:rsid w:val="35FE5964"/>
    <w:rsid w:val="3604052F"/>
    <w:rsid w:val="361A2073"/>
    <w:rsid w:val="36297FEC"/>
    <w:rsid w:val="364C66D0"/>
    <w:rsid w:val="36566100"/>
    <w:rsid w:val="365F17D9"/>
    <w:rsid w:val="367B6337"/>
    <w:rsid w:val="36FA25D0"/>
    <w:rsid w:val="37276106"/>
    <w:rsid w:val="3772660A"/>
    <w:rsid w:val="3795459A"/>
    <w:rsid w:val="384C2872"/>
    <w:rsid w:val="3872263A"/>
    <w:rsid w:val="38864D4B"/>
    <w:rsid w:val="388F0AF6"/>
    <w:rsid w:val="38D96215"/>
    <w:rsid w:val="38F117B0"/>
    <w:rsid w:val="39365415"/>
    <w:rsid w:val="3947656F"/>
    <w:rsid w:val="397356E4"/>
    <w:rsid w:val="398840B5"/>
    <w:rsid w:val="39A8171C"/>
    <w:rsid w:val="39B9635D"/>
    <w:rsid w:val="39EA702F"/>
    <w:rsid w:val="3A9A0428"/>
    <w:rsid w:val="3AB234E7"/>
    <w:rsid w:val="3ABA54C6"/>
    <w:rsid w:val="3ABF56FA"/>
    <w:rsid w:val="3B1855C6"/>
    <w:rsid w:val="3B200138"/>
    <w:rsid w:val="3B673FAC"/>
    <w:rsid w:val="3BC57B8F"/>
    <w:rsid w:val="3BCA5316"/>
    <w:rsid w:val="3BD2607C"/>
    <w:rsid w:val="3BDB4052"/>
    <w:rsid w:val="3BE159ED"/>
    <w:rsid w:val="3C1F7ED7"/>
    <w:rsid w:val="3C2B4FD9"/>
    <w:rsid w:val="3C7A15FE"/>
    <w:rsid w:val="3C8B2027"/>
    <w:rsid w:val="3C9C54B2"/>
    <w:rsid w:val="3CB75C8C"/>
    <w:rsid w:val="3CD842BA"/>
    <w:rsid w:val="3CED04E1"/>
    <w:rsid w:val="3D154364"/>
    <w:rsid w:val="3D3922A2"/>
    <w:rsid w:val="3D734A47"/>
    <w:rsid w:val="3D92781D"/>
    <w:rsid w:val="3D9A3EB1"/>
    <w:rsid w:val="3DA86637"/>
    <w:rsid w:val="3DE82198"/>
    <w:rsid w:val="3E2D1234"/>
    <w:rsid w:val="3E42660A"/>
    <w:rsid w:val="3E846C23"/>
    <w:rsid w:val="3E884A7C"/>
    <w:rsid w:val="3EA07B02"/>
    <w:rsid w:val="3EAD0CC4"/>
    <w:rsid w:val="3ED81E4B"/>
    <w:rsid w:val="3EE649B0"/>
    <w:rsid w:val="3EFE4C27"/>
    <w:rsid w:val="3F3B0C9D"/>
    <w:rsid w:val="3FBB6674"/>
    <w:rsid w:val="3FDD1D9F"/>
    <w:rsid w:val="3FDF4001"/>
    <w:rsid w:val="3FF20EF0"/>
    <w:rsid w:val="3FF81C6C"/>
    <w:rsid w:val="40274478"/>
    <w:rsid w:val="40833636"/>
    <w:rsid w:val="40835A4C"/>
    <w:rsid w:val="409273C5"/>
    <w:rsid w:val="409A272E"/>
    <w:rsid w:val="40AC57AD"/>
    <w:rsid w:val="40C95B0C"/>
    <w:rsid w:val="40DA0D7C"/>
    <w:rsid w:val="40E02836"/>
    <w:rsid w:val="4116259D"/>
    <w:rsid w:val="41724CF5"/>
    <w:rsid w:val="41834CD6"/>
    <w:rsid w:val="41F62E08"/>
    <w:rsid w:val="42274B6D"/>
    <w:rsid w:val="428F404E"/>
    <w:rsid w:val="42BC2E2F"/>
    <w:rsid w:val="42C86C2C"/>
    <w:rsid w:val="43422FC4"/>
    <w:rsid w:val="434B5F61"/>
    <w:rsid w:val="438F40A0"/>
    <w:rsid w:val="43B10A7C"/>
    <w:rsid w:val="43D340A8"/>
    <w:rsid w:val="4419461A"/>
    <w:rsid w:val="44701767"/>
    <w:rsid w:val="448D5F45"/>
    <w:rsid w:val="45092B28"/>
    <w:rsid w:val="451166B5"/>
    <w:rsid w:val="45325A24"/>
    <w:rsid w:val="45932260"/>
    <w:rsid w:val="45970786"/>
    <w:rsid w:val="45A35BE1"/>
    <w:rsid w:val="45BE0526"/>
    <w:rsid w:val="45CC091B"/>
    <w:rsid w:val="45E76415"/>
    <w:rsid w:val="463C0ECE"/>
    <w:rsid w:val="463D6035"/>
    <w:rsid w:val="46454EEA"/>
    <w:rsid w:val="46521F1E"/>
    <w:rsid w:val="465F5FAB"/>
    <w:rsid w:val="46A160A6"/>
    <w:rsid w:val="46D5554A"/>
    <w:rsid w:val="46E850EA"/>
    <w:rsid w:val="46F94504"/>
    <w:rsid w:val="471A6376"/>
    <w:rsid w:val="476F2186"/>
    <w:rsid w:val="477E06B3"/>
    <w:rsid w:val="47C83729"/>
    <w:rsid w:val="47F807CD"/>
    <w:rsid w:val="48590EF7"/>
    <w:rsid w:val="48620222"/>
    <w:rsid w:val="486E0E2D"/>
    <w:rsid w:val="48952302"/>
    <w:rsid w:val="48B06C95"/>
    <w:rsid w:val="48BD16AF"/>
    <w:rsid w:val="48D22655"/>
    <w:rsid w:val="490C7D41"/>
    <w:rsid w:val="4945489B"/>
    <w:rsid w:val="495649FA"/>
    <w:rsid w:val="49D56585"/>
    <w:rsid w:val="4A204B14"/>
    <w:rsid w:val="4A69067C"/>
    <w:rsid w:val="4AB40015"/>
    <w:rsid w:val="4AE31F58"/>
    <w:rsid w:val="4AFA44F5"/>
    <w:rsid w:val="4B054C48"/>
    <w:rsid w:val="4B0D3348"/>
    <w:rsid w:val="4B265EDC"/>
    <w:rsid w:val="4B31189E"/>
    <w:rsid w:val="4B406CC7"/>
    <w:rsid w:val="4BA426B2"/>
    <w:rsid w:val="4BF654A4"/>
    <w:rsid w:val="4C143394"/>
    <w:rsid w:val="4C5168D0"/>
    <w:rsid w:val="4C5D30A7"/>
    <w:rsid w:val="4C663660"/>
    <w:rsid w:val="4D2F41FE"/>
    <w:rsid w:val="4D3E3DAF"/>
    <w:rsid w:val="4D4C4DB0"/>
    <w:rsid w:val="4D690508"/>
    <w:rsid w:val="4D97427D"/>
    <w:rsid w:val="4DB43081"/>
    <w:rsid w:val="4DB52828"/>
    <w:rsid w:val="4DB7491F"/>
    <w:rsid w:val="4DBD66DF"/>
    <w:rsid w:val="4DDE1EAC"/>
    <w:rsid w:val="4DFB054F"/>
    <w:rsid w:val="4E21448E"/>
    <w:rsid w:val="4E311CB2"/>
    <w:rsid w:val="4E3221F7"/>
    <w:rsid w:val="4EA40E15"/>
    <w:rsid w:val="4EB42B50"/>
    <w:rsid w:val="4EC90CCF"/>
    <w:rsid w:val="4EE014EC"/>
    <w:rsid w:val="4EEA5B05"/>
    <w:rsid w:val="4F2B6026"/>
    <w:rsid w:val="4F4A7C2E"/>
    <w:rsid w:val="4F6C1739"/>
    <w:rsid w:val="4FAA3D56"/>
    <w:rsid w:val="4FD217C6"/>
    <w:rsid w:val="50633215"/>
    <w:rsid w:val="50772144"/>
    <w:rsid w:val="509A7021"/>
    <w:rsid w:val="50A63F9F"/>
    <w:rsid w:val="50FF32D2"/>
    <w:rsid w:val="51044A52"/>
    <w:rsid w:val="510B4369"/>
    <w:rsid w:val="510F6820"/>
    <w:rsid w:val="51424ECF"/>
    <w:rsid w:val="51550EA9"/>
    <w:rsid w:val="517E39D7"/>
    <w:rsid w:val="51915487"/>
    <w:rsid w:val="519A542A"/>
    <w:rsid w:val="51CB6BEB"/>
    <w:rsid w:val="51CD4715"/>
    <w:rsid w:val="51ED4DB3"/>
    <w:rsid w:val="52016BD2"/>
    <w:rsid w:val="52603BA0"/>
    <w:rsid w:val="52CC2C1B"/>
    <w:rsid w:val="52D47D21"/>
    <w:rsid w:val="536A6446"/>
    <w:rsid w:val="537230CA"/>
    <w:rsid w:val="53D6609D"/>
    <w:rsid w:val="53FC6ACE"/>
    <w:rsid w:val="54147B52"/>
    <w:rsid w:val="541816F7"/>
    <w:rsid w:val="54660E4D"/>
    <w:rsid w:val="5484665D"/>
    <w:rsid w:val="558D5808"/>
    <w:rsid w:val="55961626"/>
    <w:rsid w:val="55AE60AD"/>
    <w:rsid w:val="55D64F00"/>
    <w:rsid w:val="55DD513F"/>
    <w:rsid w:val="564D060A"/>
    <w:rsid w:val="56583F04"/>
    <w:rsid w:val="565E627F"/>
    <w:rsid w:val="568364F2"/>
    <w:rsid w:val="56BC5F12"/>
    <w:rsid w:val="56CB44AA"/>
    <w:rsid w:val="56D95720"/>
    <w:rsid w:val="57394D3D"/>
    <w:rsid w:val="575A2A2C"/>
    <w:rsid w:val="575C1CC8"/>
    <w:rsid w:val="57766D62"/>
    <w:rsid w:val="5780763F"/>
    <w:rsid w:val="586A6BDB"/>
    <w:rsid w:val="586D2BCD"/>
    <w:rsid w:val="58A957AC"/>
    <w:rsid w:val="58DC5632"/>
    <w:rsid w:val="59146A18"/>
    <w:rsid w:val="595B4CF8"/>
    <w:rsid w:val="596811C3"/>
    <w:rsid w:val="59A2740C"/>
    <w:rsid w:val="59B75A38"/>
    <w:rsid w:val="5A064894"/>
    <w:rsid w:val="5A137381"/>
    <w:rsid w:val="5A160809"/>
    <w:rsid w:val="5B363630"/>
    <w:rsid w:val="5B407360"/>
    <w:rsid w:val="5B7200D7"/>
    <w:rsid w:val="5C3A0138"/>
    <w:rsid w:val="5C602626"/>
    <w:rsid w:val="5C673325"/>
    <w:rsid w:val="5C6744A2"/>
    <w:rsid w:val="5C757E7F"/>
    <w:rsid w:val="5CBB35EE"/>
    <w:rsid w:val="5D3A569E"/>
    <w:rsid w:val="5D636046"/>
    <w:rsid w:val="5D6A4381"/>
    <w:rsid w:val="5D783CDA"/>
    <w:rsid w:val="5E59013A"/>
    <w:rsid w:val="5E5D1025"/>
    <w:rsid w:val="5E67546A"/>
    <w:rsid w:val="5E8048B9"/>
    <w:rsid w:val="5EAD0764"/>
    <w:rsid w:val="5EBD663C"/>
    <w:rsid w:val="5EC84A00"/>
    <w:rsid w:val="5F0A6F31"/>
    <w:rsid w:val="5F2658AB"/>
    <w:rsid w:val="5F414A6C"/>
    <w:rsid w:val="5F6B37BB"/>
    <w:rsid w:val="5F9A7BFD"/>
    <w:rsid w:val="5FBF7663"/>
    <w:rsid w:val="5FC4513D"/>
    <w:rsid w:val="5FC51DA0"/>
    <w:rsid w:val="5FF3065A"/>
    <w:rsid w:val="60001041"/>
    <w:rsid w:val="6080745F"/>
    <w:rsid w:val="60CC7399"/>
    <w:rsid w:val="60E17632"/>
    <w:rsid w:val="61271964"/>
    <w:rsid w:val="6131633F"/>
    <w:rsid w:val="616D15F4"/>
    <w:rsid w:val="61736957"/>
    <w:rsid w:val="619F14FA"/>
    <w:rsid w:val="61B3056E"/>
    <w:rsid w:val="61B9080E"/>
    <w:rsid w:val="62436A1E"/>
    <w:rsid w:val="6262639B"/>
    <w:rsid w:val="62982F8C"/>
    <w:rsid w:val="62EF64B1"/>
    <w:rsid w:val="62F7618C"/>
    <w:rsid w:val="63AD56B0"/>
    <w:rsid w:val="63BF6FD1"/>
    <w:rsid w:val="63DF4596"/>
    <w:rsid w:val="63F14444"/>
    <w:rsid w:val="642F4DB7"/>
    <w:rsid w:val="644B5969"/>
    <w:rsid w:val="648A698E"/>
    <w:rsid w:val="64AA756E"/>
    <w:rsid w:val="64AC28AC"/>
    <w:rsid w:val="64B229EC"/>
    <w:rsid w:val="64D43BB1"/>
    <w:rsid w:val="64DD0CB7"/>
    <w:rsid w:val="65041C5D"/>
    <w:rsid w:val="65384127"/>
    <w:rsid w:val="65926EDA"/>
    <w:rsid w:val="65AA7225"/>
    <w:rsid w:val="664A6DB3"/>
    <w:rsid w:val="66544FA9"/>
    <w:rsid w:val="667446D6"/>
    <w:rsid w:val="66AE560F"/>
    <w:rsid w:val="67010561"/>
    <w:rsid w:val="67351ABB"/>
    <w:rsid w:val="67574731"/>
    <w:rsid w:val="67661BC6"/>
    <w:rsid w:val="67A7735B"/>
    <w:rsid w:val="67D00C10"/>
    <w:rsid w:val="68021003"/>
    <w:rsid w:val="68024095"/>
    <w:rsid w:val="68137D28"/>
    <w:rsid w:val="6864090D"/>
    <w:rsid w:val="6894038E"/>
    <w:rsid w:val="68E819D9"/>
    <w:rsid w:val="6902539D"/>
    <w:rsid w:val="692D1AE1"/>
    <w:rsid w:val="696B5AAF"/>
    <w:rsid w:val="698F4691"/>
    <w:rsid w:val="69903460"/>
    <w:rsid w:val="699851AD"/>
    <w:rsid w:val="69B67D29"/>
    <w:rsid w:val="6A870DE0"/>
    <w:rsid w:val="6B4C212E"/>
    <w:rsid w:val="6BE80CCA"/>
    <w:rsid w:val="6C1B20C5"/>
    <w:rsid w:val="6C20504D"/>
    <w:rsid w:val="6C213093"/>
    <w:rsid w:val="6C3311BD"/>
    <w:rsid w:val="6C717FC7"/>
    <w:rsid w:val="6CD96208"/>
    <w:rsid w:val="6D0A10DE"/>
    <w:rsid w:val="6D3A1729"/>
    <w:rsid w:val="6D4E6DD0"/>
    <w:rsid w:val="6D8C5028"/>
    <w:rsid w:val="6DD100F1"/>
    <w:rsid w:val="6E2A65EF"/>
    <w:rsid w:val="6E7354E8"/>
    <w:rsid w:val="6EA66D41"/>
    <w:rsid w:val="6F3A26E8"/>
    <w:rsid w:val="6F881EDF"/>
    <w:rsid w:val="6F8A5598"/>
    <w:rsid w:val="6F903123"/>
    <w:rsid w:val="6FC025F4"/>
    <w:rsid w:val="6FC211D5"/>
    <w:rsid w:val="702E686B"/>
    <w:rsid w:val="704F6375"/>
    <w:rsid w:val="706F0D4A"/>
    <w:rsid w:val="70981225"/>
    <w:rsid w:val="70BA7CBC"/>
    <w:rsid w:val="70BE7462"/>
    <w:rsid w:val="71123A97"/>
    <w:rsid w:val="71937888"/>
    <w:rsid w:val="719E4CA8"/>
    <w:rsid w:val="720553A9"/>
    <w:rsid w:val="723C7F0B"/>
    <w:rsid w:val="725B4129"/>
    <w:rsid w:val="727F03E4"/>
    <w:rsid w:val="72A42E14"/>
    <w:rsid w:val="730B686C"/>
    <w:rsid w:val="731D4975"/>
    <w:rsid w:val="7329156C"/>
    <w:rsid w:val="733221CE"/>
    <w:rsid w:val="73491262"/>
    <w:rsid w:val="7366378E"/>
    <w:rsid w:val="73C81EBE"/>
    <w:rsid w:val="73CC673F"/>
    <w:rsid w:val="73DA2024"/>
    <w:rsid w:val="742E08DC"/>
    <w:rsid w:val="743C7915"/>
    <w:rsid w:val="74445654"/>
    <w:rsid w:val="74461453"/>
    <w:rsid w:val="74BF306B"/>
    <w:rsid w:val="752821B9"/>
    <w:rsid w:val="752D5343"/>
    <w:rsid w:val="75457105"/>
    <w:rsid w:val="75846F2D"/>
    <w:rsid w:val="75C13B8B"/>
    <w:rsid w:val="75C60B79"/>
    <w:rsid w:val="75CF60A7"/>
    <w:rsid w:val="75D16DBD"/>
    <w:rsid w:val="75D87551"/>
    <w:rsid w:val="75F92C93"/>
    <w:rsid w:val="760F2C9B"/>
    <w:rsid w:val="761C1D1B"/>
    <w:rsid w:val="76216828"/>
    <w:rsid w:val="762B1157"/>
    <w:rsid w:val="76312C11"/>
    <w:rsid w:val="763D3EB9"/>
    <w:rsid w:val="764D37C3"/>
    <w:rsid w:val="76926554"/>
    <w:rsid w:val="76A10290"/>
    <w:rsid w:val="76AD3FF9"/>
    <w:rsid w:val="76BF646F"/>
    <w:rsid w:val="76D252C8"/>
    <w:rsid w:val="76FA2A99"/>
    <w:rsid w:val="7726029C"/>
    <w:rsid w:val="7771546F"/>
    <w:rsid w:val="777D4BE9"/>
    <w:rsid w:val="7792591E"/>
    <w:rsid w:val="779A3579"/>
    <w:rsid w:val="77D10621"/>
    <w:rsid w:val="77DE3C47"/>
    <w:rsid w:val="78092C74"/>
    <w:rsid w:val="7846534B"/>
    <w:rsid w:val="78F540FB"/>
    <w:rsid w:val="791F1447"/>
    <w:rsid w:val="792720A9"/>
    <w:rsid w:val="794C1B10"/>
    <w:rsid w:val="795F350D"/>
    <w:rsid w:val="7973709D"/>
    <w:rsid w:val="79866C7A"/>
    <w:rsid w:val="79895EAC"/>
    <w:rsid w:val="799236E7"/>
    <w:rsid w:val="79993AD1"/>
    <w:rsid w:val="79BC7FBE"/>
    <w:rsid w:val="7A04260F"/>
    <w:rsid w:val="7A3563AB"/>
    <w:rsid w:val="7AA428F7"/>
    <w:rsid w:val="7AC5601E"/>
    <w:rsid w:val="7B696B9D"/>
    <w:rsid w:val="7C1525C8"/>
    <w:rsid w:val="7C5F67CB"/>
    <w:rsid w:val="7C8F68E3"/>
    <w:rsid w:val="7CA227A5"/>
    <w:rsid w:val="7CE379F2"/>
    <w:rsid w:val="7CF92B0D"/>
    <w:rsid w:val="7D155246"/>
    <w:rsid w:val="7D2B0B2C"/>
    <w:rsid w:val="7D652500"/>
    <w:rsid w:val="7D68356F"/>
    <w:rsid w:val="7DBA31B2"/>
    <w:rsid w:val="7DC2406E"/>
    <w:rsid w:val="7E2911F2"/>
    <w:rsid w:val="7E4A191D"/>
    <w:rsid w:val="7E4B67C3"/>
    <w:rsid w:val="7E7455A9"/>
    <w:rsid w:val="7ED56104"/>
    <w:rsid w:val="7EEF18BB"/>
    <w:rsid w:val="7F0069F4"/>
    <w:rsid w:val="7F295485"/>
    <w:rsid w:val="7F2F746E"/>
    <w:rsid w:val="7F3A23EC"/>
    <w:rsid w:val="7F5A4696"/>
    <w:rsid w:val="7FCD4330"/>
    <w:rsid w:val="7FE54D11"/>
    <w:rsid w:val="7FFD0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8"/>
    <w:autoRedefine/>
    <w:qFormat/>
    <w:uiPriority w:val="0"/>
    <w:pPr>
      <w:keepNext/>
      <w:keepLines/>
      <w:spacing w:before="340" w:after="330" w:line="578" w:lineRule="auto"/>
      <w:outlineLvl w:val="0"/>
    </w:pPr>
    <w:rPr>
      <w:b/>
      <w:bCs/>
      <w:kern w:val="44"/>
      <w:sz w:val="44"/>
      <w:szCs w:val="44"/>
    </w:rPr>
  </w:style>
  <w:style w:type="paragraph" w:styleId="2">
    <w:name w:val="heading 2"/>
    <w:basedOn w:val="1"/>
    <w:next w:val="1"/>
    <w:link w:val="49"/>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5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7"/>
    <w:autoRedefine/>
    <w:qFormat/>
    <w:uiPriority w:val="0"/>
    <w:pPr>
      <w:keepNext/>
      <w:jc w:val="center"/>
      <w:outlineLvl w:val="3"/>
    </w:pPr>
    <w:rPr>
      <w:rFonts w:eastAsia="新宋体"/>
      <w:kern w:val="0"/>
      <w:sz w:val="30"/>
      <w:szCs w:val="21"/>
    </w:rPr>
  </w:style>
  <w:style w:type="paragraph" w:styleId="6">
    <w:name w:val="heading 5"/>
    <w:basedOn w:val="1"/>
    <w:next w:val="1"/>
    <w:link w:val="51"/>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52"/>
    <w:autoRedefine/>
    <w:qFormat/>
    <w:uiPriority w:val="0"/>
    <w:pPr>
      <w:keepNext/>
      <w:jc w:val="center"/>
      <w:outlineLvl w:val="5"/>
    </w:pPr>
    <w:rPr>
      <w:b/>
      <w:kern w:val="0"/>
      <w:sz w:val="44"/>
      <w:szCs w:val="20"/>
    </w:rPr>
  </w:style>
  <w:style w:type="paragraph" w:styleId="8">
    <w:name w:val="heading 7"/>
    <w:basedOn w:val="1"/>
    <w:next w:val="1"/>
    <w:link w:val="53"/>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54"/>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55"/>
    <w:autoRedefine/>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99"/>
    <w:pPr>
      <w:ind w:left="1260"/>
      <w:jc w:val="left"/>
    </w:pPr>
  </w:style>
  <w:style w:type="paragraph" w:styleId="12">
    <w:name w:val="Note Heading"/>
    <w:basedOn w:val="1"/>
    <w:next w:val="1"/>
    <w:autoRedefine/>
    <w:qFormat/>
    <w:uiPriority w:val="0"/>
    <w:rPr>
      <w:rFonts w:ascii="Verdana" w:hAnsi="Verdana"/>
      <w:szCs w:val="20"/>
    </w:rPr>
  </w:style>
  <w:style w:type="paragraph" w:styleId="13">
    <w:name w:val="Normal Indent"/>
    <w:basedOn w:val="1"/>
    <w:next w:val="1"/>
    <w:link w:val="56"/>
    <w:autoRedefine/>
    <w:qFormat/>
    <w:uiPriority w:val="0"/>
    <w:pPr>
      <w:ind w:firstLine="420"/>
    </w:pPr>
    <w:rPr>
      <w:kern w:val="0"/>
      <w:sz w:val="20"/>
      <w:szCs w:val="20"/>
    </w:rPr>
  </w:style>
  <w:style w:type="paragraph" w:styleId="14">
    <w:name w:val="Document Map"/>
    <w:basedOn w:val="1"/>
    <w:link w:val="57"/>
    <w:autoRedefine/>
    <w:semiHidden/>
    <w:qFormat/>
    <w:uiPriority w:val="0"/>
    <w:pPr>
      <w:shd w:val="clear" w:color="auto" w:fill="000080"/>
    </w:pPr>
    <w:rPr>
      <w:kern w:val="0"/>
      <w:sz w:val="20"/>
    </w:rPr>
  </w:style>
  <w:style w:type="paragraph" w:styleId="15">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link w:val="58"/>
    <w:autoRedefine/>
    <w:unhideWhenUsed/>
    <w:qFormat/>
    <w:uiPriority w:val="99"/>
    <w:pPr>
      <w:jc w:val="left"/>
    </w:pPr>
  </w:style>
  <w:style w:type="paragraph" w:styleId="17">
    <w:name w:val="Body Text 3"/>
    <w:basedOn w:val="1"/>
    <w:link w:val="59"/>
    <w:autoRedefine/>
    <w:qFormat/>
    <w:uiPriority w:val="0"/>
    <w:pPr>
      <w:spacing w:after="120"/>
    </w:pPr>
    <w:rPr>
      <w:kern w:val="0"/>
      <w:sz w:val="16"/>
      <w:szCs w:val="16"/>
    </w:rPr>
  </w:style>
  <w:style w:type="paragraph" w:styleId="18">
    <w:name w:val="Body Text"/>
    <w:basedOn w:val="1"/>
    <w:link w:val="60"/>
    <w:autoRedefine/>
    <w:qFormat/>
    <w:uiPriority w:val="0"/>
    <w:rPr>
      <w:rFonts w:ascii="仿宋_GB2312" w:eastAsia="仿宋_GB2312"/>
      <w:kern w:val="0"/>
      <w:sz w:val="24"/>
      <w:szCs w:val="20"/>
    </w:rPr>
  </w:style>
  <w:style w:type="paragraph" w:styleId="19">
    <w:name w:val="Body Text Indent"/>
    <w:basedOn w:val="1"/>
    <w:next w:val="20"/>
    <w:link w:val="61"/>
    <w:autoRedefine/>
    <w:qFormat/>
    <w:uiPriority w:val="0"/>
    <w:pPr>
      <w:ind w:left="765"/>
    </w:pPr>
    <w:rPr>
      <w:rFonts w:ascii="仿宋_GB2312" w:eastAsia="仿宋_GB2312"/>
      <w:kern w:val="0"/>
      <w:sz w:val="28"/>
      <w:szCs w:val="20"/>
    </w:rPr>
  </w:style>
  <w:style w:type="paragraph" w:styleId="20">
    <w:name w:val="envelope return"/>
    <w:basedOn w:val="1"/>
    <w:autoRedefine/>
    <w:unhideWhenUsed/>
    <w:qFormat/>
    <w:uiPriority w:val="99"/>
    <w:pPr>
      <w:snapToGrid w:val="0"/>
    </w:pPr>
    <w:rPr>
      <w:rFonts w:ascii="Arial" w:hAnsi="Arial"/>
    </w:rPr>
  </w:style>
  <w:style w:type="paragraph" w:styleId="21">
    <w:name w:val="Block Text"/>
    <w:basedOn w:val="1"/>
    <w:autoRedefine/>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2">
    <w:name w:val="Plain Text"/>
    <w:basedOn w:val="1"/>
    <w:link w:val="62"/>
    <w:autoRedefine/>
    <w:qFormat/>
    <w:uiPriority w:val="0"/>
    <w:rPr>
      <w:rFonts w:ascii="宋体" w:hAnsi="Courier New"/>
      <w:kern w:val="0"/>
      <w:sz w:val="20"/>
      <w:szCs w:val="21"/>
    </w:rPr>
  </w:style>
  <w:style w:type="paragraph" w:styleId="23">
    <w:name w:val="Date"/>
    <w:basedOn w:val="1"/>
    <w:next w:val="1"/>
    <w:link w:val="63"/>
    <w:autoRedefine/>
    <w:qFormat/>
    <w:uiPriority w:val="0"/>
    <w:rPr>
      <w:kern w:val="0"/>
      <w:sz w:val="24"/>
      <w:szCs w:val="20"/>
    </w:rPr>
  </w:style>
  <w:style w:type="paragraph" w:styleId="24">
    <w:name w:val="Body Text Indent 2"/>
    <w:basedOn w:val="1"/>
    <w:link w:val="64"/>
    <w:autoRedefine/>
    <w:qFormat/>
    <w:uiPriority w:val="0"/>
    <w:pPr>
      <w:spacing w:line="500" w:lineRule="exact"/>
      <w:ind w:firstLine="560" w:firstLineChars="200"/>
    </w:pPr>
    <w:rPr>
      <w:rFonts w:eastAsia="仿宋_GB2312"/>
      <w:kern w:val="0"/>
      <w:sz w:val="28"/>
      <w:szCs w:val="20"/>
    </w:rPr>
  </w:style>
  <w:style w:type="paragraph" w:styleId="25">
    <w:name w:val="Balloon Text"/>
    <w:basedOn w:val="1"/>
    <w:link w:val="65"/>
    <w:autoRedefine/>
    <w:semiHidden/>
    <w:qFormat/>
    <w:uiPriority w:val="0"/>
    <w:rPr>
      <w:kern w:val="0"/>
      <w:sz w:val="18"/>
      <w:szCs w:val="18"/>
    </w:rPr>
  </w:style>
  <w:style w:type="paragraph" w:styleId="26">
    <w:name w:val="footer"/>
    <w:basedOn w:val="1"/>
    <w:link w:val="66"/>
    <w:autoRedefine/>
    <w:qFormat/>
    <w:uiPriority w:val="99"/>
    <w:pPr>
      <w:tabs>
        <w:tab w:val="center" w:pos="4153"/>
        <w:tab w:val="right" w:pos="8306"/>
      </w:tabs>
      <w:snapToGrid w:val="0"/>
      <w:jc w:val="left"/>
    </w:pPr>
    <w:rPr>
      <w:kern w:val="0"/>
      <w:sz w:val="18"/>
      <w:szCs w:val="20"/>
    </w:rPr>
  </w:style>
  <w:style w:type="paragraph" w:styleId="27">
    <w:name w:val="header"/>
    <w:basedOn w:val="1"/>
    <w:link w:val="6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autoRedefine/>
    <w:semiHidden/>
    <w:qFormat/>
    <w:uiPriority w:val="0"/>
    <w:rPr>
      <w:sz w:val="24"/>
    </w:rPr>
  </w:style>
  <w:style w:type="paragraph" w:styleId="29">
    <w:name w:val="List"/>
    <w:basedOn w:val="1"/>
    <w:autoRedefine/>
    <w:qFormat/>
    <w:uiPriority w:val="0"/>
    <w:pPr>
      <w:ind w:left="200" w:hanging="200" w:hangingChars="200"/>
    </w:pPr>
  </w:style>
  <w:style w:type="paragraph" w:styleId="30">
    <w:name w:val="Body Text Indent 3"/>
    <w:basedOn w:val="1"/>
    <w:next w:val="15"/>
    <w:link w:val="68"/>
    <w:autoRedefine/>
    <w:qFormat/>
    <w:uiPriority w:val="0"/>
    <w:pPr>
      <w:spacing w:after="120"/>
      <w:ind w:left="420" w:leftChars="200"/>
    </w:pPr>
    <w:rPr>
      <w:kern w:val="0"/>
      <w:sz w:val="16"/>
      <w:szCs w:val="16"/>
    </w:rPr>
  </w:style>
  <w:style w:type="paragraph" w:styleId="31">
    <w:name w:val="Body Text 2"/>
    <w:basedOn w:val="1"/>
    <w:link w:val="69"/>
    <w:autoRedefine/>
    <w:qFormat/>
    <w:uiPriority w:val="0"/>
    <w:pPr>
      <w:snapToGrid w:val="0"/>
    </w:pPr>
    <w:rPr>
      <w:b/>
      <w:bCs/>
      <w:kern w:val="0"/>
      <w:sz w:val="18"/>
    </w:rPr>
  </w:style>
  <w:style w:type="paragraph" w:styleId="32">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3">
    <w:name w:val="annotation subject"/>
    <w:basedOn w:val="16"/>
    <w:next w:val="16"/>
    <w:link w:val="70"/>
    <w:autoRedefine/>
    <w:unhideWhenUsed/>
    <w:qFormat/>
    <w:uiPriority w:val="99"/>
    <w:rPr>
      <w:b/>
      <w:bCs/>
    </w:rPr>
  </w:style>
  <w:style w:type="paragraph" w:styleId="34">
    <w:name w:val="Body Text First Indent"/>
    <w:basedOn w:val="18"/>
    <w:next w:val="35"/>
    <w:link w:val="71"/>
    <w:autoRedefine/>
    <w:qFormat/>
    <w:uiPriority w:val="0"/>
    <w:pPr>
      <w:spacing w:after="120"/>
      <w:ind w:firstLine="420" w:firstLineChars="100"/>
    </w:pPr>
    <w:rPr>
      <w:rFonts w:ascii="Times New Roman" w:eastAsia="宋体"/>
      <w:szCs w:val="24"/>
    </w:rPr>
  </w:style>
  <w:style w:type="paragraph" w:styleId="35">
    <w:name w:val="Body Text First Indent 2"/>
    <w:basedOn w:val="19"/>
    <w:autoRedefine/>
    <w:unhideWhenUsed/>
    <w:qFormat/>
    <w:uiPriority w:val="99"/>
    <w:pPr>
      <w:ind w:firstLine="200" w:firstLineChars="200"/>
    </w:pPr>
  </w:style>
  <w:style w:type="table" w:styleId="37">
    <w:name w:val="Table Grid"/>
    <w:basedOn w:val="3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0"/>
    <w:rPr>
      <w:color w:val="0000FF"/>
      <w:u w:val="single"/>
    </w:rPr>
  </w:style>
  <w:style w:type="character" w:styleId="44">
    <w:name w:val="annotation reference"/>
    <w:autoRedefine/>
    <w:unhideWhenUsed/>
    <w:qFormat/>
    <w:uiPriority w:val="99"/>
    <w:rPr>
      <w:sz w:val="21"/>
      <w:szCs w:val="21"/>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autoRedefine/>
    <w:qFormat/>
    <w:uiPriority w:val="34"/>
    <w:pPr>
      <w:widowControl/>
      <w:ind w:left="720"/>
      <w:contextualSpacing/>
      <w:jc w:val="left"/>
    </w:pPr>
    <w:rPr>
      <w:kern w:val="0"/>
      <w:sz w:val="24"/>
      <w:lang w:eastAsia="en-US" w:bidi="en-US"/>
    </w:rPr>
  </w:style>
  <w:style w:type="character" w:customStyle="1" w:styleId="47">
    <w:name w:val="标题 4 字符"/>
    <w:link w:val="5"/>
    <w:autoRedefine/>
    <w:qFormat/>
    <w:uiPriority w:val="0"/>
    <w:rPr>
      <w:rFonts w:ascii="Times New Roman" w:hAnsi="Times New Roman" w:eastAsia="新宋体" w:cs="Times New Roman"/>
      <w:sz w:val="30"/>
      <w:szCs w:val="21"/>
    </w:rPr>
  </w:style>
  <w:style w:type="character" w:customStyle="1" w:styleId="48">
    <w:name w:val="标题 1 字符"/>
    <w:link w:val="3"/>
    <w:autoRedefine/>
    <w:qFormat/>
    <w:uiPriority w:val="0"/>
    <w:rPr>
      <w:rFonts w:ascii="Times New Roman" w:hAnsi="Times New Roman" w:eastAsia="宋体" w:cs="Times New Roman"/>
      <w:b/>
      <w:bCs/>
      <w:kern w:val="44"/>
      <w:sz w:val="44"/>
      <w:szCs w:val="44"/>
    </w:rPr>
  </w:style>
  <w:style w:type="character" w:customStyle="1" w:styleId="49">
    <w:name w:val="标题 2 字符"/>
    <w:link w:val="2"/>
    <w:autoRedefine/>
    <w:qFormat/>
    <w:uiPriority w:val="0"/>
    <w:rPr>
      <w:rFonts w:ascii="Arial" w:hAnsi="Arial" w:eastAsia="黑体" w:cs="Times New Roman"/>
      <w:b/>
      <w:bCs/>
      <w:sz w:val="32"/>
      <w:szCs w:val="32"/>
    </w:rPr>
  </w:style>
  <w:style w:type="character" w:customStyle="1" w:styleId="50">
    <w:name w:val="标题 3 字符"/>
    <w:link w:val="4"/>
    <w:autoRedefine/>
    <w:qFormat/>
    <w:uiPriority w:val="0"/>
    <w:rPr>
      <w:rFonts w:ascii="Times New Roman" w:hAnsi="Times New Roman" w:eastAsia="宋体" w:cs="Times New Roman"/>
      <w:b/>
      <w:bCs/>
      <w:sz w:val="32"/>
      <w:szCs w:val="32"/>
    </w:rPr>
  </w:style>
  <w:style w:type="character" w:customStyle="1" w:styleId="51">
    <w:name w:val="标题 5 字符"/>
    <w:link w:val="6"/>
    <w:autoRedefine/>
    <w:qFormat/>
    <w:uiPriority w:val="0"/>
    <w:rPr>
      <w:rFonts w:ascii="Times New Roman" w:hAnsi="Times New Roman" w:eastAsia="宋体" w:cs="Times New Roman"/>
      <w:b/>
      <w:bCs/>
      <w:sz w:val="28"/>
      <w:szCs w:val="28"/>
    </w:rPr>
  </w:style>
  <w:style w:type="character" w:customStyle="1" w:styleId="52">
    <w:name w:val="标题 6 字符"/>
    <w:link w:val="7"/>
    <w:autoRedefine/>
    <w:qFormat/>
    <w:uiPriority w:val="0"/>
    <w:rPr>
      <w:rFonts w:ascii="Times New Roman" w:hAnsi="Times New Roman" w:eastAsia="宋体" w:cs="Times New Roman"/>
      <w:b/>
      <w:sz w:val="44"/>
      <w:szCs w:val="20"/>
    </w:rPr>
  </w:style>
  <w:style w:type="character" w:customStyle="1" w:styleId="53">
    <w:name w:val="标题 7 字符"/>
    <w:link w:val="8"/>
    <w:autoRedefine/>
    <w:qFormat/>
    <w:uiPriority w:val="0"/>
    <w:rPr>
      <w:rFonts w:ascii="Times New Roman" w:hAnsi="Times New Roman" w:eastAsia="宋体" w:cs="Times New Roman"/>
      <w:b/>
      <w:bCs/>
      <w:sz w:val="24"/>
      <w:szCs w:val="24"/>
    </w:rPr>
  </w:style>
  <w:style w:type="character" w:customStyle="1" w:styleId="54">
    <w:name w:val="标题 8 字符"/>
    <w:link w:val="9"/>
    <w:autoRedefine/>
    <w:qFormat/>
    <w:uiPriority w:val="0"/>
    <w:rPr>
      <w:rFonts w:ascii="Arial" w:hAnsi="Arial" w:eastAsia="黑体" w:cs="Times New Roman"/>
      <w:sz w:val="24"/>
      <w:szCs w:val="24"/>
    </w:rPr>
  </w:style>
  <w:style w:type="character" w:customStyle="1" w:styleId="55">
    <w:name w:val="标题 9 字符"/>
    <w:link w:val="10"/>
    <w:autoRedefine/>
    <w:qFormat/>
    <w:uiPriority w:val="0"/>
    <w:rPr>
      <w:rFonts w:ascii="Arial" w:hAnsi="Arial" w:eastAsia="黑体" w:cs="Times New Roman"/>
      <w:sz w:val="24"/>
      <w:szCs w:val="21"/>
    </w:rPr>
  </w:style>
  <w:style w:type="character" w:customStyle="1" w:styleId="56">
    <w:name w:val="正文缩进 字符"/>
    <w:link w:val="13"/>
    <w:autoRedefine/>
    <w:qFormat/>
    <w:uiPriority w:val="0"/>
    <w:rPr>
      <w:rFonts w:ascii="Times New Roman" w:hAnsi="Times New Roman" w:eastAsia="宋体" w:cs="Times New Roman"/>
      <w:kern w:val="0"/>
      <w:sz w:val="20"/>
      <w:szCs w:val="20"/>
    </w:rPr>
  </w:style>
  <w:style w:type="character" w:customStyle="1" w:styleId="57">
    <w:name w:val="文档结构图 字符"/>
    <w:link w:val="14"/>
    <w:autoRedefine/>
    <w:semiHidden/>
    <w:qFormat/>
    <w:uiPriority w:val="0"/>
    <w:rPr>
      <w:szCs w:val="24"/>
      <w:shd w:val="clear" w:color="auto" w:fill="000080"/>
    </w:rPr>
  </w:style>
  <w:style w:type="character" w:customStyle="1" w:styleId="58">
    <w:name w:val="批注文字 字符"/>
    <w:link w:val="16"/>
    <w:autoRedefine/>
    <w:qFormat/>
    <w:uiPriority w:val="99"/>
    <w:rPr>
      <w:kern w:val="2"/>
      <w:sz w:val="21"/>
      <w:szCs w:val="24"/>
    </w:rPr>
  </w:style>
  <w:style w:type="character" w:customStyle="1" w:styleId="59">
    <w:name w:val="正文文本 3 字符"/>
    <w:link w:val="17"/>
    <w:autoRedefine/>
    <w:qFormat/>
    <w:uiPriority w:val="0"/>
    <w:rPr>
      <w:rFonts w:ascii="Times New Roman" w:hAnsi="Times New Roman" w:eastAsia="宋体" w:cs="Times New Roman"/>
      <w:sz w:val="16"/>
      <w:szCs w:val="16"/>
    </w:rPr>
  </w:style>
  <w:style w:type="character" w:customStyle="1" w:styleId="60">
    <w:name w:val="正文文本 字符"/>
    <w:link w:val="18"/>
    <w:autoRedefine/>
    <w:qFormat/>
    <w:uiPriority w:val="0"/>
    <w:rPr>
      <w:rFonts w:ascii="仿宋_GB2312" w:hAnsi="Times New Roman" w:eastAsia="仿宋_GB2312" w:cs="Times New Roman"/>
      <w:sz w:val="24"/>
      <w:szCs w:val="20"/>
    </w:rPr>
  </w:style>
  <w:style w:type="character" w:customStyle="1" w:styleId="61">
    <w:name w:val="正文文本缩进 字符"/>
    <w:link w:val="19"/>
    <w:autoRedefine/>
    <w:qFormat/>
    <w:uiPriority w:val="0"/>
    <w:rPr>
      <w:rFonts w:ascii="仿宋_GB2312" w:hAnsi="Times New Roman" w:eastAsia="仿宋_GB2312" w:cs="Times New Roman"/>
      <w:sz w:val="28"/>
      <w:szCs w:val="20"/>
    </w:rPr>
  </w:style>
  <w:style w:type="character" w:customStyle="1" w:styleId="62">
    <w:name w:val="纯文本 字符"/>
    <w:link w:val="22"/>
    <w:autoRedefine/>
    <w:qFormat/>
    <w:uiPriority w:val="0"/>
    <w:rPr>
      <w:rFonts w:ascii="宋体" w:hAnsi="Courier New" w:eastAsia="宋体" w:cs="Courier New"/>
      <w:szCs w:val="21"/>
    </w:rPr>
  </w:style>
  <w:style w:type="character" w:customStyle="1" w:styleId="63">
    <w:name w:val="日期 字符"/>
    <w:link w:val="23"/>
    <w:autoRedefine/>
    <w:qFormat/>
    <w:uiPriority w:val="0"/>
    <w:rPr>
      <w:rFonts w:ascii="Times New Roman" w:hAnsi="Times New Roman" w:eastAsia="宋体" w:cs="Times New Roman"/>
      <w:sz w:val="24"/>
      <w:szCs w:val="20"/>
    </w:rPr>
  </w:style>
  <w:style w:type="character" w:customStyle="1" w:styleId="64">
    <w:name w:val="正文文本缩进 2 字符"/>
    <w:link w:val="24"/>
    <w:autoRedefine/>
    <w:qFormat/>
    <w:uiPriority w:val="0"/>
    <w:rPr>
      <w:rFonts w:ascii="Times New Roman" w:hAnsi="Times New Roman" w:eastAsia="仿宋_GB2312" w:cs="Times New Roman"/>
      <w:sz w:val="28"/>
      <w:szCs w:val="20"/>
    </w:rPr>
  </w:style>
  <w:style w:type="character" w:customStyle="1" w:styleId="65">
    <w:name w:val="批注框文本 字符"/>
    <w:link w:val="25"/>
    <w:autoRedefine/>
    <w:semiHidden/>
    <w:qFormat/>
    <w:uiPriority w:val="0"/>
    <w:rPr>
      <w:sz w:val="18"/>
      <w:szCs w:val="18"/>
    </w:rPr>
  </w:style>
  <w:style w:type="character" w:customStyle="1" w:styleId="66">
    <w:name w:val="页脚 字符"/>
    <w:link w:val="26"/>
    <w:autoRedefine/>
    <w:qFormat/>
    <w:uiPriority w:val="99"/>
    <w:rPr>
      <w:rFonts w:ascii="Times New Roman" w:hAnsi="Times New Roman" w:eastAsia="宋体" w:cs="Times New Roman"/>
      <w:sz w:val="18"/>
      <w:szCs w:val="20"/>
    </w:rPr>
  </w:style>
  <w:style w:type="character" w:customStyle="1" w:styleId="67">
    <w:name w:val="页眉 字符"/>
    <w:link w:val="27"/>
    <w:autoRedefine/>
    <w:qFormat/>
    <w:uiPriority w:val="0"/>
    <w:rPr>
      <w:rFonts w:ascii="Times New Roman" w:hAnsi="Times New Roman" w:eastAsia="宋体" w:cs="Times New Roman"/>
      <w:sz w:val="18"/>
      <w:szCs w:val="18"/>
    </w:rPr>
  </w:style>
  <w:style w:type="character" w:customStyle="1" w:styleId="68">
    <w:name w:val="正文文本缩进 3 字符"/>
    <w:link w:val="30"/>
    <w:autoRedefine/>
    <w:qFormat/>
    <w:uiPriority w:val="0"/>
    <w:rPr>
      <w:rFonts w:ascii="Times New Roman" w:hAnsi="Times New Roman" w:eastAsia="宋体" w:cs="Times New Roman"/>
      <w:sz w:val="16"/>
      <w:szCs w:val="16"/>
    </w:rPr>
  </w:style>
  <w:style w:type="character" w:customStyle="1" w:styleId="69">
    <w:name w:val="正文文本 2 字符"/>
    <w:link w:val="31"/>
    <w:autoRedefine/>
    <w:qFormat/>
    <w:uiPriority w:val="0"/>
    <w:rPr>
      <w:rFonts w:ascii="Times New Roman" w:hAnsi="Times New Roman" w:eastAsia="宋体" w:cs="Times New Roman"/>
      <w:b/>
      <w:bCs/>
      <w:sz w:val="18"/>
      <w:szCs w:val="24"/>
    </w:rPr>
  </w:style>
  <w:style w:type="character" w:customStyle="1" w:styleId="70">
    <w:name w:val="批注主题 字符"/>
    <w:link w:val="33"/>
    <w:autoRedefine/>
    <w:semiHidden/>
    <w:qFormat/>
    <w:uiPriority w:val="99"/>
    <w:rPr>
      <w:b/>
      <w:bCs/>
      <w:kern w:val="2"/>
      <w:sz w:val="21"/>
      <w:szCs w:val="24"/>
    </w:rPr>
  </w:style>
  <w:style w:type="character" w:customStyle="1" w:styleId="71">
    <w:name w:val="正文文本首行缩进 字符"/>
    <w:link w:val="34"/>
    <w:autoRedefine/>
    <w:qFormat/>
    <w:uiPriority w:val="0"/>
    <w:rPr>
      <w:rFonts w:ascii="Times New Roman" w:hAnsi="Times New Roman" w:eastAsia="宋体" w:cs="Times New Roman"/>
      <w:sz w:val="24"/>
      <w:szCs w:val="24"/>
    </w:rPr>
  </w:style>
  <w:style w:type="paragraph" w:customStyle="1" w:styleId="72">
    <w:name w:val="标题 21"/>
    <w:basedOn w:val="1"/>
    <w:next w:val="1"/>
    <w:autoRedefine/>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autoRedefine/>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autoRedefine/>
    <w:qFormat/>
    <w:uiPriority w:val="0"/>
    <w:pPr>
      <w:widowControl/>
      <w:spacing w:before="280" w:after="280"/>
    </w:pPr>
    <w:rPr>
      <w:rFonts w:ascii="宋体"/>
      <w:sz w:val="18"/>
    </w:rPr>
  </w:style>
  <w:style w:type="paragraph" w:customStyle="1" w:styleId="76">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autoRedefine/>
    <w:qFormat/>
    <w:uiPriority w:val="0"/>
    <w:rPr>
      <w:rFonts w:hint="eastAsia" w:ascii="宋体" w:hAnsi="宋体" w:eastAsia="宋体" w:cs="宋体"/>
      <w:color w:val="000000"/>
      <w:sz w:val="24"/>
      <w:szCs w:val="24"/>
      <w:u w:val="none"/>
    </w:rPr>
  </w:style>
  <w:style w:type="character" w:customStyle="1" w:styleId="78">
    <w:name w:val="font41"/>
    <w:autoRedefine/>
    <w:qFormat/>
    <w:uiPriority w:val="0"/>
    <w:rPr>
      <w:rFonts w:hint="eastAsia" w:ascii="宋体" w:hAnsi="宋体" w:eastAsia="宋体" w:cs="宋体"/>
      <w:color w:val="FFCC00"/>
      <w:sz w:val="24"/>
      <w:szCs w:val="24"/>
      <w:u w:val="none"/>
    </w:rPr>
  </w:style>
  <w:style w:type="character" w:customStyle="1" w:styleId="79">
    <w:name w:val="样式 ssss + 宋体 五号1 Char"/>
    <w:link w:val="80"/>
    <w:autoRedefine/>
    <w:qFormat/>
    <w:uiPriority w:val="0"/>
    <w:rPr>
      <w:rFonts w:ascii="宋体" w:hAnsi="宋体" w:eastAsia="宋体" w:cs="Times New Roman"/>
      <w:sz w:val="24"/>
      <w:szCs w:val="24"/>
    </w:rPr>
  </w:style>
  <w:style w:type="paragraph" w:customStyle="1" w:styleId="80">
    <w:name w:val="样式 ssss + 宋体 五号1"/>
    <w:basedOn w:val="81"/>
    <w:link w:val="79"/>
    <w:autoRedefine/>
    <w:qFormat/>
    <w:uiPriority w:val="0"/>
    <w:rPr>
      <w:rFonts w:ascii="宋体" w:hAnsi="宋体"/>
    </w:rPr>
  </w:style>
  <w:style w:type="paragraph" w:customStyle="1" w:styleId="81">
    <w:name w:val="ssss"/>
    <w:basedOn w:val="1"/>
    <w:link w:val="82"/>
    <w:autoRedefine/>
    <w:qFormat/>
    <w:uiPriority w:val="0"/>
    <w:pPr>
      <w:spacing w:line="360" w:lineRule="auto"/>
      <w:ind w:firstLine="480" w:firstLineChars="200"/>
    </w:pPr>
    <w:rPr>
      <w:kern w:val="0"/>
      <w:sz w:val="24"/>
    </w:rPr>
  </w:style>
  <w:style w:type="character" w:customStyle="1" w:styleId="82">
    <w:name w:val="ssss Char1"/>
    <w:link w:val="81"/>
    <w:autoRedefine/>
    <w:qFormat/>
    <w:uiPriority w:val="0"/>
    <w:rPr>
      <w:rFonts w:ascii="Times New Roman" w:hAnsi="Times New Roman" w:eastAsia="宋体" w:cs="Times New Roman"/>
      <w:sz w:val="24"/>
      <w:szCs w:val="24"/>
    </w:rPr>
  </w:style>
  <w:style w:type="character" w:customStyle="1" w:styleId="83">
    <w:name w:val="font01"/>
    <w:autoRedefine/>
    <w:qFormat/>
    <w:uiPriority w:val="0"/>
    <w:rPr>
      <w:rFonts w:hint="eastAsia" w:ascii="宋体" w:hAnsi="宋体" w:eastAsia="宋体" w:cs="宋体"/>
      <w:color w:val="FF0000"/>
      <w:sz w:val="24"/>
      <w:szCs w:val="24"/>
      <w:u w:val="none"/>
    </w:rPr>
  </w:style>
  <w:style w:type="character" w:customStyle="1" w:styleId="84">
    <w:name w:val="point_normal1"/>
    <w:autoRedefine/>
    <w:qFormat/>
    <w:uiPriority w:val="0"/>
    <w:rPr>
      <w:rFonts w:hint="default" w:ascii="Arial" w:hAnsi="Arial" w:cs="Arial"/>
      <w:sz w:val="16"/>
      <w:szCs w:val="16"/>
    </w:rPr>
  </w:style>
  <w:style w:type="character" w:customStyle="1" w:styleId="85">
    <w:name w:val="列表段落 字符1"/>
    <w:link w:val="86"/>
    <w:autoRedefine/>
    <w:qFormat/>
    <w:locked/>
    <w:uiPriority w:val="99"/>
  </w:style>
  <w:style w:type="paragraph" w:styleId="86">
    <w:name w:val="List Paragraph"/>
    <w:basedOn w:val="1"/>
    <w:link w:val="85"/>
    <w:autoRedefine/>
    <w:qFormat/>
    <w:uiPriority w:val="99"/>
    <w:pPr>
      <w:ind w:firstLine="420" w:firstLineChars="200"/>
    </w:pPr>
    <w:rPr>
      <w:kern w:val="0"/>
      <w:sz w:val="20"/>
      <w:szCs w:val="20"/>
    </w:rPr>
  </w:style>
  <w:style w:type="character" w:customStyle="1" w:styleId="87">
    <w:name w:val="文档结构图 Char1"/>
    <w:autoRedefine/>
    <w:semiHidden/>
    <w:qFormat/>
    <w:uiPriority w:val="99"/>
    <w:rPr>
      <w:rFonts w:ascii="宋体" w:hAnsi="Times New Roman" w:eastAsia="宋体" w:cs="Times New Roman"/>
      <w:sz w:val="18"/>
      <w:szCs w:val="18"/>
    </w:rPr>
  </w:style>
  <w:style w:type="character" w:customStyle="1" w:styleId="88">
    <w:name w:val="普通正文 Char"/>
    <w:link w:val="89"/>
    <w:autoRedefine/>
    <w:qFormat/>
    <w:uiPriority w:val="0"/>
    <w:rPr>
      <w:rFonts w:ascii="Arial" w:hAnsi="Arial"/>
      <w:sz w:val="24"/>
      <w:szCs w:val="24"/>
    </w:rPr>
  </w:style>
  <w:style w:type="paragraph" w:customStyle="1" w:styleId="89">
    <w:name w:val="普通正文"/>
    <w:basedOn w:val="1"/>
    <w:link w:val="88"/>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autoRedefine/>
    <w:qFormat/>
    <w:uiPriority w:val="0"/>
    <w:rPr>
      <w:rFonts w:ascii="宋体" w:hAnsi="宋体" w:eastAsia="宋体" w:cs="Times New Roman"/>
      <w:sz w:val="28"/>
      <w:szCs w:val="28"/>
    </w:rPr>
  </w:style>
  <w:style w:type="paragraph" w:customStyle="1" w:styleId="91">
    <w:name w:val="FA正文"/>
    <w:basedOn w:val="1"/>
    <w:link w:val="90"/>
    <w:autoRedefine/>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autoRedefine/>
    <w:qFormat/>
    <w:uiPriority w:val="0"/>
    <w:rPr>
      <w:rFonts w:ascii="仿宋_GB2312" w:hAnsi="宋体" w:eastAsia="仿宋_GB2312" w:cs="Times New Roman"/>
      <w:sz w:val="31"/>
      <w:szCs w:val="28"/>
    </w:rPr>
  </w:style>
  <w:style w:type="paragraph" w:customStyle="1" w:styleId="93">
    <w:name w:val="正文缩进2格"/>
    <w:basedOn w:val="1"/>
    <w:link w:val="92"/>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autoRedefine/>
    <w:qFormat/>
    <w:uiPriority w:val="0"/>
    <w:rPr>
      <w:rFonts w:hint="default" w:ascii="Times New Roman" w:hAnsi="Times New Roman"/>
      <w:color w:val="003399"/>
      <w:spacing w:val="15"/>
      <w:sz w:val="18"/>
      <w:szCs w:val="18"/>
    </w:rPr>
  </w:style>
  <w:style w:type="character" w:customStyle="1" w:styleId="95">
    <w:name w:val="ssss Char"/>
    <w:autoRedefine/>
    <w:qFormat/>
    <w:uiPriority w:val="0"/>
    <w:rPr>
      <w:rFonts w:eastAsia="宋体"/>
      <w:kern w:val="2"/>
      <w:sz w:val="24"/>
      <w:szCs w:val="24"/>
      <w:lang w:val="en-US" w:eastAsia="zh-CN" w:bidi="ar-SA"/>
    </w:rPr>
  </w:style>
  <w:style w:type="character" w:customStyle="1" w:styleId="96">
    <w:name w:val="标题 4 Char1"/>
    <w:autoRedefine/>
    <w:qFormat/>
    <w:uiPriority w:val="0"/>
    <w:rPr>
      <w:rFonts w:ascii="Arial" w:hAnsi="Arial" w:eastAsia="黑体"/>
      <w:b/>
      <w:bCs/>
      <w:kern w:val="2"/>
      <w:sz w:val="28"/>
      <w:szCs w:val="28"/>
      <w:lang w:val="en-US" w:eastAsia="zh-CN" w:bidi="ar-SA"/>
    </w:rPr>
  </w:style>
  <w:style w:type="character" w:customStyle="1" w:styleId="97">
    <w:name w:val="列表段落 字符"/>
    <w:autoRedefine/>
    <w:qFormat/>
    <w:uiPriority w:val="34"/>
    <w:rPr>
      <w:rFonts w:ascii="Calibri" w:hAnsi="Calibri"/>
      <w:kern w:val="2"/>
      <w:sz w:val="21"/>
      <w:szCs w:val="22"/>
    </w:rPr>
  </w:style>
  <w:style w:type="character" w:customStyle="1" w:styleId="98">
    <w:name w:val="批注框文本 Char1"/>
    <w:autoRedefine/>
    <w:semiHidden/>
    <w:qFormat/>
    <w:uiPriority w:val="99"/>
    <w:rPr>
      <w:rFonts w:ascii="Times New Roman" w:hAnsi="Times New Roman" w:eastAsia="宋体" w:cs="Times New Roman"/>
      <w:sz w:val="18"/>
      <w:szCs w:val="18"/>
    </w:rPr>
  </w:style>
  <w:style w:type="paragraph" w:customStyle="1" w:styleId="99">
    <w:name w:val="样式 正文文本缩进 3 + 四号"/>
    <w:basedOn w:val="30"/>
    <w:autoRedefine/>
    <w:qFormat/>
    <w:uiPriority w:val="0"/>
    <w:pPr>
      <w:spacing w:after="0" w:line="360" w:lineRule="auto"/>
      <w:ind w:left="0" w:leftChars="0" w:firstLine="437"/>
    </w:pPr>
    <w:rPr>
      <w:sz w:val="24"/>
      <w:szCs w:val="21"/>
    </w:rPr>
  </w:style>
  <w:style w:type="paragraph" w:customStyle="1" w:styleId="10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autoRedefine/>
    <w:qFormat/>
    <w:uiPriority w:val="0"/>
    <w:pPr>
      <w:widowControl/>
      <w:ind w:firstLine="420"/>
      <w:jc w:val="left"/>
    </w:pPr>
    <w:rPr>
      <w:kern w:val="0"/>
    </w:rPr>
  </w:style>
  <w:style w:type="paragraph" w:customStyle="1" w:styleId="102">
    <w:name w:val="样式 宋体 四号 黑色 左侧:  0.74 厘米 首行缩进:  0.74 厘米 行距: 1.5 倍行距"/>
    <w:basedOn w:val="1"/>
    <w:autoRedefine/>
    <w:qFormat/>
    <w:uiPriority w:val="0"/>
    <w:pPr>
      <w:spacing w:line="360" w:lineRule="auto"/>
      <w:ind w:firstLine="420"/>
    </w:pPr>
    <w:rPr>
      <w:rFonts w:ascii="宋体"/>
      <w:color w:val="000000"/>
      <w:sz w:val="24"/>
      <w:szCs w:val="21"/>
    </w:rPr>
  </w:style>
  <w:style w:type="paragraph" w:customStyle="1" w:styleId="103">
    <w:name w:val="无间隔1"/>
    <w:autoRedefine/>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autoRedefine/>
    <w:qFormat/>
    <w:uiPriority w:val="0"/>
    <w:pPr>
      <w:ind w:firstLine="480"/>
    </w:pPr>
  </w:style>
  <w:style w:type="paragraph" w:customStyle="1" w:styleId="105">
    <w:name w:val="样式 ssss + 宋体 五号"/>
    <w:basedOn w:val="81"/>
    <w:autoRedefine/>
    <w:qFormat/>
    <w:uiPriority w:val="0"/>
    <w:pPr>
      <w:ind w:firstLine="420"/>
    </w:pPr>
    <w:rPr>
      <w:rFonts w:ascii="宋体" w:hAnsi="宋体" w:cs="宋体"/>
      <w:szCs w:val="20"/>
    </w:rPr>
  </w:style>
  <w:style w:type="paragraph" w:customStyle="1" w:styleId="106">
    <w:name w:val="Char Char Char Char"/>
    <w:basedOn w:val="1"/>
    <w:autoRedefine/>
    <w:qFormat/>
    <w:uiPriority w:val="0"/>
    <w:rPr>
      <w:rFonts w:ascii="Tahoma" w:hAnsi="Tahoma"/>
      <w:sz w:val="24"/>
      <w:szCs w:val="20"/>
    </w:rPr>
  </w:style>
  <w:style w:type="paragraph" w:customStyle="1" w:styleId="107">
    <w:name w:val="2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4"/>
    <w:autoRedefine/>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autoRedefine/>
    <w:qFormat/>
    <w:uiPriority w:val="0"/>
  </w:style>
  <w:style w:type="paragraph" w:customStyle="1" w:styleId="111">
    <w:name w:val="表格正文"/>
    <w:basedOn w:val="1"/>
    <w:autoRedefine/>
    <w:qFormat/>
    <w:uiPriority w:val="0"/>
    <w:pPr>
      <w:spacing w:line="360" w:lineRule="auto"/>
      <w:jc w:val="left"/>
    </w:pPr>
    <w:rPr>
      <w:rFonts w:ascii="Calibri" w:hAnsi="Calibri"/>
      <w:color w:val="000000"/>
      <w:szCs w:val="28"/>
    </w:rPr>
  </w:style>
  <w:style w:type="paragraph" w:customStyle="1" w:styleId="112">
    <w:name w:val="Char Char Char Char1"/>
    <w:basedOn w:val="1"/>
    <w:autoRedefine/>
    <w:qFormat/>
    <w:uiPriority w:val="0"/>
    <w:rPr>
      <w:rFonts w:ascii="Tahoma" w:hAnsi="Tahoma"/>
      <w:sz w:val="24"/>
      <w:szCs w:val="20"/>
    </w:rPr>
  </w:style>
  <w:style w:type="paragraph" w:customStyle="1" w:styleId="113">
    <w:name w:val="Char Char Char"/>
    <w:basedOn w:val="1"/>
    <w:autoRedefine/>
    <w:qFormat/>
    <w:uiPriority w:val="0"/>
    <w:rPr>
      <w:rFonts w:ascii="Tahoma" w:hAnsi="Tahoma"/>
      <w:sz w:val="24"/>
      <w:szCs w:val="20"/>
    </w:rPr>
  </w:style>
  <w:style w:type="paragraph" w:customStyle="1" w:styleId="114">
    <w:name w:val="样式 ssss + 居中"/>
    <w:basedOn w:val="81"/>
    <w:autoRedefine/>
    <w:qFormat/>
    <w:uiPriority w:val="0"/>
    <w:pPr>
      <w:jc w:val="center"/>
    </w:pPr>
    <w:rPr>
      <w:rFonts w:cs="宋体"/>
      <w:szCs w:val="20"/>
    </w:rPr>
  </w:style>
  <w:style w:type="paragraph" w:customStyle="1" w:styleId="115">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autoRedefine/>
    <w:qFormat/>
    <w:uiPriority w:val="0"/>
    <w:rPr>
      <w:rFonts w:ascii="Tahoma" w:hAnsi="Tahoma"/>
      <w:sz w:val="24"/>
      <w:szCs w:val="20"/>
    </w:rPr>
  </w:style>
  <w:style w:type="paragraph" w:customStyle="1" w:styleId="117">
    <w:name w:val="xl25"/>
    <w:basedOn w:val="1"/>
    <w:autoRedefine/>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7"/>
    <w:autoRedefine/>
    <w:qFormat/>
    <w:uiPriority w:val="0"/>
    <w:pPr>
      <w:tabs>
        <w:tab w:val="left" w:pos="1152"/>
      </w:tabs>
    </w:pPr>
  </w:style>
  <w:style w:type="paragraph" w:customStyle="1" w:styleId="119">
    <w:name w:val="标题------4"/>
    <w:basedOn w:val="5"/>
    <w:autoRedefine/>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autoRedefine/>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autoRedefine/>
    <w:qFormat/>
    <w:uiPriority w:val="0"/>
    <w:rPr>
      <w:sz w:val="24"/>
    </w:rPr>
  </w:style>
  <w:style w:type="paragraph" w:customStyle="1" w:styleId="122">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autoRedefine/>
    <w:qFormat/>
    <w:uiPriority w:val="0"/>
    <w:rPr>
      <w:rFonts w:ascii="Arial" w:hAnsi="Arial"/>
      <w:sz w:val="24"/>
    </w:rPr>
  </w:style>
  <w:style w:type="paragraph" w:customStyle="1" w:styleId="12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autoRedefine/>
    <w:qFormat/>
    <w:uiPriority w:val="0"/>
    <w:pPr>
      <w:spacing w:before="120" w:after="120" w:line="360" w:lineRule="auto"/>
      <w:ind w:firstLine="480" w:firstLineChars="200"/>
    </w:pPr>
    <w:rPr>
      <w:sz w:val="24"/>
      <w:szCs w:val="20"/>
    </w:rPr>
  </w:style>
  <w:style w:type="paragraph" w:customStyle="1" w:styleId="12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autoRedefine/>
    <w:qFormat/>
    <w:uiPriority w:val="0"/>
    <w:rPr>
      <w:rFonts w:ascii="Tahoma" w:hAnsi="Tahoma"/>
      <w:sz w:val="24"/>
      <w:szCs w:val="20"/>
    </w:rPr>
  </w:style>
  <w:style w:type="paragraph" w:customStyle="1" w:styleId="129">
    <w:name w:val="Char1"/>
    <w:basedOn w:val="1"/>
    <w:autoRedefine/>
    <w:qFormat/>
    <w:uiPriority w:val="0"/>
    <w:pPr>
      <w:tabs>
        <w:tab w:val="left" w:pos="360"/>
      </w:tabs>
    </w:pPr>
    <w:rPr>
      <w:sz w:val="24"/>
    </w:rPr>
  </w:style>
  <w:style w:type="paragraph" w:customStyle="1" w:styleId="130">
    <w:name w:val="Header2"/>
    <w:basedOn w:val="1"/>
    <w:autoRedefine/>
    <w:qFormat/>
    <w:uiPriority w:val="0"/>
    <w:pPr>
      <w:numPr>
        <w:ilvl w:val="0"/>
        <w:numId w:val="1"/>
      </w:numPr>
    </w:pPr>
  </w:style>
  <w:style w:type="paragraph" w:customStyle="1" w:styleId="131">
    <w:name w:val="普通(网站) Cha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autoRedefine/>
    <w:qFormat/>
    <w:uiPriority w:val="0"/>
    <w:pPr>
      <w:spacing w:line="360" w:lineRule="auto"/>
      <w:ind w:right="181" w:firstLine="480" w:firstLineChars="200"/>
    </w:pPr>
    <w:rPr>
      <w:rFonts w:ascii="Verdana" w:hAnsi="Verdana"/>
      <w:sz w:val="24"/>
      <w:szCs w:val="20"/>
    </w:rPr>
  </w:style>
  <w:style w:type="table" w:customStyle="1" w:styleId="134">
    <w:name w:val="网格型1"/>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autoRedefine/>
    <w:qFormat/>
    <w:uiPriority w:val="0"/>
    <w:rPr>
      <w:rFonts w:hint="default" w:ascii="Times New Roman" w:hAnsi="Times New Roman" w:cs="Times New Roman"/>
      <w:color w:val="000000"/>
      <w:sz w:val="20"/>
      <w:szCs w:val="20"/>
      <w:u w:val="none"/>
    </w:rPr>
  </w:style>
  <w:style w:type="character" w:customStyle="1" w:styleId="136">
    <w:name w:val="font61"/>
    <w:autoRedefine/>
    <w:qFormat/>
    <w:uiPriority w:val="0"/>
    <w:rPr>
      <w:rFonts w:hint="default" w:ascii="Times New Roman" w:hAnsi="Times New Roman" w:cs="Times New Roman"/>
      <w:color w:val="000000"/>
      <w:sz w:val="21"/>
      <w:szCs w:val="21"/>
      <w:u w:val="none"/>
    </w:rPr>
  </w:style>
  <w:style w:type="character" w:customStyle="1" w:styleId="137">
    <w:name w:val="font71"/>
    <w:autoRedefine/>
    <w:qFormat/>
    <w:uiPriority w:val="0"/>
    <w:rPr>
      <w:rFonts w:hint="eastAsia" w:ascii="宋体" w:hAnsi="宋体" w:eastAsia="宋体" w:cs="宋体"/>
      <w:color w:val="000000"/>
      <w:sz w:val="22"/>
      <w:szCs w:val="22"/>
      <w:u w:val="none"/>
    </w:rPr>
  </w:style>
  <w:style w:type="paragraph" w:customStyle="1" w:styleId="138">
    <w:name w:val="表格CXH"/>
    <w:basedOn w:val="1"/>
    <w:autoRedefine/>
    <w:qFormat/>
    <w:uiPriority w:val="0"/>
    <w:pPr>
      <w:spacing w:line="276" w:lineRule="auto"/>
    </w:pPr>
    <w:rPr>
      <w:rFonts w:ascii="等线" w:hAnsi="等线"/>
    </w:rPr>
  </w:style>
  <w:style w:type="paragraph" w:customStyle="1" w:styleId="139">
    <w:name w:val="段"/>
    <w:next w:val="140"/>
    <w:autoRedefine/>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autoRedefine/>
    <w:qFormat/>
    <w:uiPriority w:val="0"/>
    <w:rPr>
      <w:rFonts w:hint="eastAsia" w:ascii="Microsoft YaHei UI" w:hAnsi="Microsoft YaHei UI" w:eastAsia="Microsoft YaHei UI"/>
      <w:sz w:val="18"/>
      <w:szCs w:val="18"/>
    </w:rPr>
  </w:style>
  <w:style w:type="paragraph" w:customStyle="1" w:styleId="142">
    <w:name w:val="Table Text"/>
    <w:basedOn w:val="1"/>
    <w:autoRedefine/>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48">
    <w:name w:val="标题 11"/>
    <w:basedOn w:val="1"/>
    <w:next w:val="1"/>
    <w:qFormat/>
    <w:uiPriority w:val="0"/>
    <w:pPr>
      <w:keepNext/>
      <w:keepLines/>
      <w:spacing w:before="340" w:after="330" w:line="578" w:lineRule="auto"/>
      <w:outlineLvl w:val="0"/>
    </w:pPr>
    <w:rPr>
      <w:b/>
      <w:bCs/>
      <w:sz w:val="44"/>
      <w:szCs w:val="44"/>
    </w:rPr>
  </w:style>
  <w:style w:type="paragraph" w:customStyle="1" w:styleId="149">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F9AC6-BDF5-4D6E-B01C-D91993058C2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15416</Words>
  <Characters>16450</Characters>
  <Lines>547</Lines>
  <Paragraphs>695</Paragraphs>
  <TotalTime>35</TotalTime>
  <ScaleCrop>false</ScaleCrop>
  <LinksUpToDate>false</LinksUpToDate>
  <CharactersWithSpaces>16864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2025-09-22T02:08:00Z</dcterms:created>
  <dc:creator>User</dc:creator>
  <cp:lastModifiedBy>戳戳</cp:lastModifiedBy>
  <cp:lastPrinted>2023-07-28T06:59:00Z</cp:lastPrinted>
  <dcterms:modified xsi:type="dcterms:W3CDTF">2026-01-22T01:10:00Z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BB55B6343855478F8FAA41A401FF51ED_13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