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D40C9B">
      <w:pPr>
        <w:spacing w:line="360" w:lineRule="auto"/>
        <w:jc w:val="center"/>
        <w:rPr>
          <w:rFonts w:hint="eastAsia" w:ascii="宋体" w:hAnsi="宋体" w:eastAsia="宋体" w:cs="宋体"/>
          <w:b/>
          <w:color w:val="000000"/>
          <w:sz w:val="44"/>
          <w:szCs w:val="44"/>
        </w:rPr>
      </w:pPr>
    </w:p>
    <w:p w14:paraId="312D0753">
      <w:pPr>
        <w:pStyle w:val="60"/>
        <w:ind w:firstLine="280"/>
        <w:outlineLvl w:val="9"/>
        <w:rPr>
          <w:rFonts w:hint="eastAsia" w:ascii="宋体" w:hAnsi="宋体" w:eastAsia="宋体" w:cs="宋体"/>
        </w:rPr>
      </w:pPr>
    </w:p>
    <w:p w14:paraId="2418AFB6">
      <w:pPr>
        <w:spacing w:line="360" w:lineRule="auto"/>
        <w:jc w:val="center"/>
        <w:rPr>
          <w:rFonts w:hint="eastAsia" w:ascii="宋体" w:hAnsi="宋体" w:eastAsia="宋体" w:cs="宋体"/>
          <w:b/>
          <w:color w:val="000000" w:themeColor="text1"/>
          <w:sz w:val="48"/>
          <w:szCs w:val="72"/>
          <w:lang w:eastAsia="zh-CN"/>
          <w14:textFill>
            <w14:solidFill>
              <w14:schemeClr w14:val="tx1"/>
            </w14:solidFill>
          </w14:textFill>
        </w:rPr>
      </w:pPr>
      <w:r>
        <w:rPr>
          <w:rFonts w:hint="eastAsia" w:ascii="宋体" w:hAnsi="宋体" w:eastAsia="宋体" w:cs="宋体"/>
          <w:b/>
          <w:color w:val="000000" w:themeColor="text1"/>
          <w:sz w:val="48"/>
          <w:szCs w:val="72"/>
          <w:lang w:eastAsia="zh-CN"/>
          <w14:textFill>
            <w14:solidFill>
              <w14:schemeClr w14:val="tx1"/>
            </w14:solidFill>
          </w14:textFill>
        </w:rPr>
        <w:t>南通职业大学高等学历继续教育管理平台服务采购项目</w:t>
      </w:r>
    </w:p>
    <w:p w14:paraId="1718F2D3">
      <w:pPr>
        <w:jc w:val="center"/>
        <w:rPr>
          <w:rFonts w:hint="eastAsia" w:ascii="宋体" w:hAnsi="宋体" w:eastAsia="宋体" w:cs="宋体"/>
          <w:color w:val="000000"/>
          <w:sz w:val="28"/>
          <w:szCs w:val="21"/>
        </w:rPr>
      </w:pPr>
    </w:p>
    <w:p w14:paraId="5EDB0FBF">
      <w:pPr>
        <w:jc w:val="center"/>
        <w:rPr>
          <w:rFonts w:hint="eastAsia" w:ascii="宋体" w:hAnsi="宋体" w:eastAsia="宋体" w:cs="宋体"/>
          <w:color w:val="000000"/>
          <w:sz w:val="28"/>
          <w:szCs w:val="21"/>
        </w:rPr>
      </w:pPr>
    </w:p>
    <w:p w14:paraId="47E1DB27">
      <w:pPr>
        <w:pStyle w:val="60"/>
        <w:ind w:firstLine="280"/>
        <w:outlineLvl w:val="9"/>
        <w:rPr>
          <w:rFonts w:hint="eastAsia" w:ascii="宋体" w:hAnsi="宋体" w:eastAsia="宋体" w:cs="宋体"/>
        </w:rPr>
      </w:pPr>
    </w:p>
    <w:p w14:paraId="33216076">
      <w:pPr>
        <w:jc w:val="center"/>
        <w:rPr>
          <w:rFonts w:hint="eastAsia" w:ascii="宋体" w:hAnsi="宋体" w:eastAsia="宋体" w:cs="宋体"/>
          <w:color w:val="000000"/>
          <w:spacing w:val="40"/>
          <w:w w:val="100"/>
          <w:sz w:val="72"/>
          <w:szCs w:val="72"/>
        </w:rPr>
      </w:pPr>
      <w:r>
        <w:rPr>
          <w:rFonts w:hint="eastAsia" w:ascii="宋体" w:hAnsi="宋体" w:eastAsia="宋体" w:cs="宋体"/>
          <w:b w:val="0"/>
          <w:bCs w:val="0"/>
          <w:color w:val="000000"/>
          <w:spacing w:val="0"/>
          <w:w w:val="100"/>
          <w:sz w:val="72"/>
          <w:szCs w:val="72"/>
        </w:rPr>
        <w:t>招</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件</w:t>
      </w:r>
    </w:p>
    <w:p w14:paraId="290415FE">
      <w:pPr>
        <w:jc w:val="center"/>
        <w:rPr>
          <w:rFonts w:hint="eastAsia" w:ascii="宋体" w:hAnsi="宋体" w:eastAsia="宋体" w:cs="宋体"/>
          <w:color w:val="000000"/>
          <w:sz w:val="28"/>
          <w:szCs w:val="21"/>
        </w:rPr>
      </w:pPr>
    </w:p>
    <w:p w14:paraId="0DF3FA8F">
      <w:pPr>
        <w:jc w:val="center"/>
        <w:rPr>
          <w:rFonts w:hint="eastAsia" w:ascii="宋体" w:hAnsi="宋体" w:eastAsia="宋体" w:cs="宋体"/>
          <w:sz w:val="30"/>
          <w:szCs w:val="30"/>
          <w:lang w:eastAsia="zh-CN"/>
        </w:rPr>
      </w:pPr>
      <w:r>
        <w:rPr>
          <w:rFonts w:hint="eastAsia" w:ascii="宋体" w:hAnsi="宋体" w:eastAsia="宋体" w:cs="宋体"/>
          <w:sz w:val="30"/>
          <w:szCs w:val="30"/>
        </w:rPr>
        <w:t>项目编号：</w:t>
      </w:r>
      <w:r>
        <w:rPr>
          <w:rFonts w:hint="eastAsia" w:ascii="宋体" w:hAnsi="宋体" w:eastAsia="宋体" w:cs="宋体"/>
          <w:sz w:val="30"/>
          <w:szCs w:val="30"/>
          <w:lang w:eastAsia="zh-CN"/>
        </w:rPr>
        <w:t>FW20260003</w:t>
      </w:r>
    </w:p>
    <w:p w14:paraId="0B23A8D2">
      <w:pPr>
        <w:spacing w:line="360" w:lineRule="auto"/>
        <w:jc w:val="center"/>
        <w:rPr>
          <w:rFonts w:hint="eastAsia" w:ascii="宋体" w:hAnsi="宋体" w:eastAsia="宋体" w:cs="宋体"/>
          <w:b/>
          <w:color w:val="000000"/>
          <w:sz w:val="36"/>
          <w:szCs w:val="36"/>
        </w:rPr>
      </w:pPr>
    </w:p>
    <w:p w14:paraId="50D99CAA">
      <w:pPr>
        <w:tabs>
          <w:tab w:val="left" w:pos="6300"/>
        </w:tabs>
        <w:spacing w:line="360" w:lineRule="auto"/>
        <w:rPr>
          <w:rFonts w:hint="eastAsia" w:ascii="宋体" w:hAnsi="宋体" w:eastAsia="宋体" w:cs="宋体"/>
          <w:b/>
          <w:bCs/>
          <w:color w:val="000000"/>
          <w:sz w:val="36"/>
          <w:szCs w:val="36"/>
        </w:rPr>
      </w:pPr>
    </w:p>
    <w:p w14:paraId="131C95BC">
      <w:pPr>
        <w:tabs>
          <w:tab w:val="left" w:pos="6300"/>
        </w:tabs>
        <w:spacing w:line="360" w:lineRule="auto"/>
        <w:rPr>
          <w:rFonts w:hint="eastAsia" w:ascii="宋体" w:hAnsi="宋体" w:eastAsia="宋体" w:cs="宋体"/>
          <w:b/>
          <w:bCs/>
          <w:color w:val="000000"/>
          <w:sz w:val="36"/>
          <w:szCs w:val="36"/>
        </w:rPr>
      </w:pPr>
    </w:p>
    <w:p w14:paraId="7C478656">
      <w:pPr>
        <w:tabs>
          <w:tab w:val="left" w:pos="6300"/>
        </w:tabs>
        <w:spacing w:line="360" w:lineRule="auto"/>
        <w:rPr>
          <w:rFonts w:hint="eastAsia" w:ascii="宋体" w:hAnsi="宋体" w:eastAsia="宋体" w:cs="宋体"/>
          <w:b/>
          <w:bCs/>
          <w:color w:val="000000"/>
          <w:sz w:val="36"/>
          <w:szCs w:val="36"/>
        </w:rPr>
      </w:pPr>
    </w:p>
    <w:p w14:paraId="6AD043E2">
      <w:pPr>
        <w:tabs>
          <w:tab w:val="left" w:pos="6300"/>
        </w:tabs>
        <w:spacing w:line="360" w:lineRule="auto"/>
        <w:rPr>
          <w:rFonts w:hint="eastAsia" w:ascii="宋体" w:hAnsi="宋体" w:eastAsia="宋体" w:cs="宋体"/>
          <w:b/>
          <w:bCs/>
          <w:color w:val="000000"/>
          <w:sz w:val="36"/>
          <w:szCs w:val="36"/>
        </w:rPr>
      </w:pPr>
    </w:p>
    <w:p w14:paraId="0BE5D042">
      <w:pPr>
        <w:pStyle w:val="60"/>
        <w:ind w:firstLine="280"/>
        <w:outlineLvl w:val="9"/>
        <w:rPr>
          <w:rFonts w:hint="eastAsia" w:ascii="宋体" w:hAnsi="宋体" w:eastAsia="宋体" w:cs="宋体"/>
        </w:rPr>
      </w:pPr>
    </w:p>
    <w:p w14:paraId="7200D3EA">
      <w:pPr>
        <w:pStyle w:val="60"/>
        <w:ind w:firstLine="280"/>
        <w:outlineLvl w:val="9"/>
        <w:rPr>
          <w:rFonts w:hint="eastAsia" w:ascii="宋体" w:hAnsi="宋体" w:eastAsia="宋体" w:cs="宋体"/>
        </w:rPr>
      </w:pPr>
    </w:p>
    <w:p w14:paraId="59298E8C">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u w:val="single"/>
          <w:lang w:eastAsia="zh-CN"/>
        </w:rPr>
      </w:pPr>
      <w:r>
        <w:rPr>
          <w:rFonts w:hint="eastAsia" w:ascii="宋体" w:hAnsi="宋体" w:eastAsia="宋体" w:cs="宋体"/>
          <w:b/>
          <w:bCs/>
          <w:kern w:val="0"/>
          <w:sz w:val="32"/>
          <w:szCs w:val="32"/>
          <w:lang w:val="en-US" w:eastAsia="zh-CN"/>
        </w:rPr>
        <w:t>招 标 人</w:t>
      </w:r>
      <w:r>
        <w:rPr>
          <w:rFonts w:hint="eastAsia" w:ascii="宋体" w:hAnsi="宋体" w:eastAsia="宋体" w:cs="宋体"/>
          <w:b/>
          <w:bCs/>
          <w:kern w:val="0"/>
          <w:sz w:val="32"/>
          <w:szCs w:val="32"/>
        </w:rPr>
        <w:t>：</w:t>
      </w:r>
      <w:r>
        <w:rPr>
          <w:rFonts w:hint="eastAsia" w:ascii="宋体" w:hAnsi="宋体" w:eastAsia="宋体" w:cs="宋体"/>
          <w:b/>
          <w:bCs/>
          <w:kern w:val="0"/>
          <w:sz w:val="32"/>
          <w:szCs w:val="32"/>
          <w:u w:val="single"/>
          <w:lang w:eastAsia="zh-CN"/>
        </w:rPr>
        <w:t>南通职业大学</w:t>
      </w:r>
    </w:p>
    <w:p w14:paraId="15F3A980">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rPr>
      </w:pPr>
      <w:r>
        <w:rPr>
          <w:rFonts w:hint="eastAsia" w:ascii="宋体" w:hAnsi="宋体" w:eastAsia="宋体" w:cs="宋体"/>
          <w:b/>
          <w:bCs/>
          <w:kern w:val="0"/>
          <w:sz w:val="32"/>
          <w:szCs w:val="32"/>
        </w:rPr>
        <w:t>代理机构：</w:t>
      </w:r>
      <w:r>
        <w:rPr>
          <w:rFonts w:hint="eastAsia" w:ascii="宋体" w:hAnsi="宋体" w:eastAsia="宋体" w:cs="宋体"/>
          <w:b/>
          <w:bCs/>
          <w:kern w:val="0"/>
          <w:sz w:val="32"/>
          <w:szCs w:val="32"/>
          <w:u w:val="single"/>
        </w:rPr>
        <w:t>中通服网盈科技有限公司</w:t>
      </w:r>
    </w:p>
    <w:p w14:paraId="617BE9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lang w:val="en-US" w:eastAsia="zh-CN"/>
        </w:rPr>
      </w:pPr>
      <w:bookmarkStart w:id="0" w:name="_Toc241913651"/>
      <w:bookmarkStart w:id="1" w:name="_Toc312608845"/>
      <w:bookmarkStart w:id="2" w:name="_Toc257275442"/>
      <w:r>
        <w:rPr>
          <w:rFonts w:hint="eastAsia" w:ascii="宋体" w:hAnsi="宋体" w:eastAsia="宋体" w:cs="宋体"/>
          <w:b/>
          <w:color w:val="000000"/>
          <w:sz w:val="36"/>
          <w:szCs w:val="36"/>
          <w:lang w:val="en-US" w:eastAsia="zh-CN"/>
        </w:rPr>
        <w:t>二〇二六年</w:t>
      </w:r>
      <w:r>
        <w:rPr>
          <w:rFonts w:hint="eastAsia" w:ascii="宋体" w:hAnsi="宋体" w:cs="宋体"/>
          <w:b/>
          <w:color w:val="000000"/>
          <w:sz w:val="36"/>
          <w:szCs w:val="36"/>
          <w:lang w:val="en-US" w:eastAsia="zh-CN"/>
        </w:rPr>
        <w:t>四</w:t>
      </w:r>
      <w:r>
        <w:rPr>
          <w:rFonts w:hint="eastAsia" w:ascii="宋体" w:hAnsi="宋体" w:eastAsia="宋体" w:cs="宋体"/>
          <w:b/>
          <w:color w:val="000000"/>
          <w:sz w:val="36"/>
          <w:szCs w:val="36"/>
          <w:lang w:val="en-US" w:eastAsia="zh-CN"/>
        </w:rPr>
        <w:t>月</w:t>
      </w:r>
    </w:p>
    <w:p w14:paraId="57EDFE3D">
      <w:pPr>
        <w:pStyle w:val="60"/>
        <w:ind w:firstLine="280"/>
        <w:outlineLvl w:val="9"/>
        <w:rPr>
          <w:rFonts w:hint="eastAsia" w:ascii="宋体" w:hAnsi="宋体" w:eastAsia="宋体" w:cs="宋体"/>
          <w:b/>
          <w:szCs w:val="28"/>
        </w:rPr>
      </w:pPr>
      <w:r>
        <w:rPr>
          <w:rFonts w:hint="eastAsia" w:ascii="宋体" w:hAnsi="宋体" w:eastAsia="宋体" w:cs="宋体"/>
        </w:rPr>
        <w:br w:type="page"/>
      </w:r>
      <w:bookmarkEnd w:id="0"/>
      <w:bookmarkEnd w:id="1"/>
      <w:bookmarkEnd w:id="2"/>
    </w:p>
    <w:p w14:paraId="282FC600">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目      录</w:t>
      </w:r>
    </w:p>
    <w:p w14:paraId="383A74C1">
      <w:pPr>
        <w:spacing w:line="360" w:lineRule="auto"/>
        <w:jc w:val="center"/>
        <w:rPr>
          <w:rFonts w:hint="eastAsia" w:ascii="宋体" w:hAnsi="宋体" w:eastAsia="宋体" w:cs="宋体"/>
          <w:b/>
          <w:color w:val="000000"/>
          <w:sz w:val="30"/>
          <w:szCs w:val="30"/>
        </w:rPr>
      </w:pPr>
    </w:p>
    <w:p w14:paraId="6DED3169">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第一章  招标公告</w:t>
      </w:r>
    </w:p>
    <w:p w14:paraId="3AF72349">
      <w:pPr>
        <w:tabs>
          <w:tab w:val="left" w:pos="7740"/>
        </w:tabs>
        <w:spacing w:line="360" w:lineRule="auto"/>
        <w:rPr>
          <w:rFonts w:hint="eastAsia" w:ascii="宋体" w:hAnsi="宋体" w:eastAsia="宋体" w:cs="宋体"/>
          <w:b/>
          <w:color w:val="000000"/>
          <w:sz w:val="30"/>
          <w:szCs w:val="30"/>
        </w:rPr>
      </w:pPr>
    </w:p>
    <w:p w14:paraId="1A69BAAC">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第二章  投标人须知</w:t>
      </w:r>
    </w:p>
    <w:p w14:paraId="47E728F4">
      <w:pPr>
        <w:spacing w:line="360" w:lineRule="auto"/>
        <w:rPr>
          <w:rFonts w:hint="eastAsia" w:ascii="宋体" w:hAnsi="宋体" w:eastAsia="宋体" w:cs="宋体"/>
          <w:b/>
          <w:color w:val="000000"/>
          <w:sz w:val="30"/>
          <w:szCs w:val="30"/>
        </w:rPr>
      </w:pPr>
    </w:p>
    <w:p w14:paraId="591463C6">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第三章  项目需求</w:t>
      </w:r>
    </w:p>
    <w:p w14:paraId="514F208E">
      <w:pPr>
        <w:pStyle w:val="25"/>
        <w:tabs>
          <w:tab w:val="left" w:pos="7740"/>
          <w:tab w:val="left" w:pos="7920"/>
        </w:tabs>
        <w:spacing w:line="360" w:lineRule="auto"/>
        <w:ind w:left="0" w:leftChars="0"/>
        <w:rPr>
          <w:rFonts w:hint="eastAsia" w:ascii="宋体" w:hAnsi="宋体" w:eastAsia="宋体" w:cs="宋体"/>
          <w:b/>
          <w:color w:val="000000"/>
          <w:sz w:val="30"/>
          <w:szCs w:val="30"/>
        </w:rPr>
      </w:pPr>
    </w:p>
    <w:p w14:paraId="289EE3AB">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评审方法和程序</w:t>
      </w:r>
    </w:p>
    <w:p w14:paraId="0443691E">
      <w:pPr>
        <w:spacing w:line="360" w:lineRule="auto"/>
        <w:rPr>
          <w:rFonts w:hint="eastAsia" w:ascii="宋体" w:hAnsi="宋体" w:eastAsia="宋体" w:cs="宋体"/>
          <w:b/>
          <w:color w:val="000000"/>
          <w:sz w:val="30"/>
          <w:szCs w:val="30"/>
        </w:rPr>
      </w:pPr>
    </w:p>
    <w:p w14:paraId="0E94D3B6">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第五章  合同授予</w:t>
      </w:r>
    </w:p>
    <w:p w14:paraId="5D05C76E">
      <w:pPr>
        <w:spacing w:line="360" w:lineRule="auto"/>
        <w:rPr>
          <w:rFonts w:hint="eastAsia" w:ascii="宋体" w:hAnsi="宋体" w:eastAsia="宋体" w:cs="宋体"/>
          <w:b/>
          <w:color w:val="000000"/>
          <w:sz w:val="30"/>
          <w:szCs w:val="30"/>
        </w:rPr>
      </w:pPr>
    </w:p>
    <w:p w14:paraId="7D7105B7">
      <w:pPr>
        <w:tabs>
          <w:tab w:val="left" w:pos="7740"/>
        </w:tabs>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第六章  质疑提出和处理</w:t>
      </w:r>
    </w:p>
    <w:p w14:paraId="5CE91B8A">
      <w:pPr>
        <w:tabs>
          <w:tab w:val="left" w:pos="7740"/>
        </w:tabs>
        <w:spacing w:line="360" w:lineRule="auto"/>
        <w:rPr>
          <w:rFonts w:hint="eastAsia" w:ascii="宋体" w:hAnsi="宋体" w:eastAsia="宋体" w:cs="宋体"/>
          <w:b/>
          <w:color w:val="000000"/>
          <w:sz w:val="28"/>
          <w:szCs w:val="28"/>
        </w:rPr>
      </w:pPr>
    </w:p>
    <w:p w14:paraId="3C8B8A32">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第七章  投标文件组成</w:t>
      </w:r>
    </w:p>
    <w:p w14:paraId="31DE80C7">
      <w:pPr>
        <w:spacing w:line="360" w:lineRule="auto"/>
        <w:rPr>
          <w:rFonts w:hint="eastAsia" w:ascii="宋体" w:hAnsi="宋体" w:eastAsia="宋体" w:cs="宋体"/>
          <w:color w:val="000000"/>
          <w:sz w:val="24"/>
        </w:rPr>
      </w:pPr>
    </w:p>
    <w:p w14:paraId="5C458210">
      <w:pPr>
        <w:snapToGrid w:val="0"/>
        <w:spacing w:line="360" w:lineRule="auto"/>
        <w:jc w:val="center"/>
        <w:outlineLvl w:val="0"/>
        <w:rPr>
          <w:rStyle w:val="122"/>
          <w:rFonts w:hint="eastAsia" w:ascii="宋体" w:hAnsi="宋体" w:eastAsia="宋体" w:cs="宋体"/>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color w:val="000000"/>
          <w:sz w:val="32"/>
          <w:szCs w:val="32"/>
        </w:rPr>
        <w:t xml:space="preserve">第一章  </w:t>
      </w:r>
      <w:bookmarkStart w:id="3" w:name="OLE_LINK2"/>
      <w:bookmarkStart w:id="4" w:name="OLE_LINK4"/>
      <w:bookmarkStart w:id="5" w:name="OLE_LINK1"/>
      <w:bookmarkStart w:id="6" w:name="OLE_LINK3"/>
      <w:bookmarkStart w:id="7" w:name="OLE_LINK5"/>
      <w:r>
        <w:rPr>
          <w:rStyle w:val="122"/>
          <w:rFonts w:hint="eastAsia" w:ascii="宋体" w:hAnsi="宋体" w:eastAsia="宋体" w:cs="宋体"/>
          <w:color w:val="000000"/>
          <w:sz w:val="32"/>
          <w:szCs w:val="32"/>
        </w:rPr>
        <w:t>招标公告</w:t>
      </w:r>
    </w:p>
    <w:p w14:paraId="1DC54466">
      <w:pPr>
        <w:widowControl/>
        <w:snapToGrid w:val="0"/>
        <w:spacing w:line="360" w:lineRule="auto"/>
        <w:jc w:val="left"/>
        <w:rPr>
          <w:rFonts w:hint="eastAsia" w:ascii="宋体" w:hAnsi="宋体" w:eastAsia="宋体" w:cs="宋体"/>
          <w:sz w:val="24"/>
        </w:rPr>
      </w:pPr>
      <w:bookmarkStart w:id="8" w:name="OLE_LINK6"/>
      <w:r>
        <w:rPr>
          <w:rFonts w:hint="eastAsia" w:ascii="宋体" w:hAnsi="宋体" w:eastAsia="宋体" w:cs="宋体"/>
          <w:sz w:val="24"/>
        </w:rPr>
        <w:t>项目概况</w:t>
      </w:r>
    </w:p>
    <w:p w14:paraId="414841E9">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u w:val="single"/>
          <w:lang w:eastAsia="zh-CN"/>
        </w:rPr>
        <w:t>南通职业大学高等学历继续教育管理平台服务采购项目</w:t>
      </w:r>
      <w:r>
        <w:rPr>
          <w:rFonts w:hint="eastAsia" w:ascii="宋体" w:hAnsi="宋体" w:eastAsia="宋体" w:cs="宋体"/>
          <w:sz w:val="24"/>
        </w:rPr>
        <w:t>的潜在</w:t>
      </w:r>
      <w:r>
        <w:rPr>
          <w:rFonts w:hint="eastAsia" w:ascii="宋体" w:hAnsi="宋体" w:eastAsia="宋体" w:cs="宋体"/>
          <w:sz w:val="24"/>
          <w:lang w:eastAsia="zh-CN"/>
        </w:rPr>
        <w:t>投标人</w:t>
      </w:r>
      <w:r>
        <w:rPr>
          <w:rFonts w:hint="eastAsia" w:ascii="宋体" w:hAnsi="宋体" w:eastAsia="宋体" w:cs="宋体"/>
          <w:sz w:val="24"/>
        </w:rPr>
        <w:t>应在</w:t>
      </w:r>
      <w:r>
        <w:rPr>
          <w:rFonts w:hint="eastAsia" w:ascii="宋体" w:hAnsi="宋体" w:eastAsia="宋体" w:cs="宋体"/>
          <w:sz w:val="24"/>
          <w:u w:val="single"/>
        </w:rPr>
        <w:t xml:space="preserve"> </w:t>
      </w:r>
      <w:r>
        <w:rPr>
          <w:rFonts w:hint="eastAsia" w:ascii="宋体" w:hAnsi="宋体" w:eastAsia="宋体" w:cs="宋体"/>
          <w:sz w:val="24"/>
          <w:u w:val="single"/>
          <w:lang w:val="zh-CN"/>
        </w:rPr>
        <w:t>南通职业大学采购与招标信息网</w:t>
      </w:r>
      <w:r>
        <w:rPr>
          <w:rFonts w:hint="eastAsia" w:ascii="宋体" w:hAnsi="宋体" w:eastAsia="宋体" w:cs="宋体"/>
          <w:sz w:val="24"/>
          <w:u w:val="single"/>
          <w:lang w:val="en-US" w:eastAsia="zh-CN"/>
        </w:rPr>
        <w:t xml:space="preserve"> </w:t>
      </w:r>
      <w:r>
        <w:rPr>
          <w:rFonts w:hint="eastAsia" w:ascii="宋体" w:hAnsi="宋体" w:eastAsia="宋体" w:cs="宋体"/>
          <w:sz w:val="24"/>
        </w:rPr>
        <w:t>获取</w:t>
      </w:r>
      <w:r>
        <w:rPr>
          <w:rFonts w:hint="eastAsia" w:ascii="宋体" w:hAnsi="宋体" w:eastAsia="宋体" w:cs="宋体"/>
          <w:sz w:val="24"/>
          <w:lang w:eastAsia="zh-CN"/>
        </w:rPr>
        <w:t>招标文件</w:t>
      </w:r>
      <w:r>
        <w:rPr>
          <w:rFonts w:hint="eastAsia" w:ascii="宋体" w:hAnsi="宋体" w:eastAsia="宋体" w:cs="宋体"/>
          <w:sz w:val="24"/>
        </w:rPr>
        <w:t>，并于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8</w:t>
      </w:r>
      <w:r>
        <w:rPr>
          <w:rFonts w:hint="eastAsia" w:ascii="宋体" w:hAnsi="宋体" w:eastAsia="宋体" w:cs="宋体"/>
          <w:color w:val="auto"/>
          <w:sz w:val="24"/>
          <w:highlight w:val="non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rPr>
        <w:t>北京时间）前提交</w:t>
      </w:r>
      <w:r>
        <w:rPr>
          <w:rFonts w:hint="eastAsia" w:ascii="宋体" w:hAnsi="宋体" w:cs="宋体"/>
          <w:sz w:val="24"/>
          <w:lang w:val="en-US" w:eastAsia="zh-CN"/>
        </w:rPr>
        <w:t>投标</w:t>
      </w:r>
      <w:r>
        <w:rPr>
          <w:rFonts w:hint="eastAsia" w:ascii="宋体" w:hAnsi="宋体" w:eastAsia="宋体" w:cs="宋体"/>
          <w:sz w:val="24"/>
        </w:rPr>
        <w:t>文件。</w:t>
      </w:r>
    </w:p>
    <w:p w14:paraId="2E272F17">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一、项目基本情况</w:t>
      </w:r>
    </w:p>
    <w:p w14:paraId="790ED25A">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项目编号：</w:t>
      </w:r>
      <w:r>
        <w:rPr>
          <w:rFonts w:hint="eastAsia" w:ascii="宋体" w:hAnsi="宋体" w:eastAsia="宋体" w:cs="宋体"/>
          <w:sz w:val="24"/>
          <w:lang w:eastAsia="zh-CN"/>
        </w:rPr>
        <w:t>FW20260003</w:t>
      </w:r>
    </w:p>
    <w:p w14:paraId="7691FF68">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项目名称：</w:t>
      </w:r>
      <w:r>
        <w:rPr>
          <w:rFonts w:hint="eastAsia" w:ascii="宋体" w:hAnsi="宋体" w:eastAsia="宋体" w:cs="宋体"/>
          <w:sz w:val="24"/>
          <w:lang w:eastAsia="zh-CN"/>
        </w:rPr>
        <w:t>南通职业大学高等学历继续教育管理平台服务采购项目</w:t>
      </w:r>
    </w:p>
    <w:p w14:paraId="0F02DBA0">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项目类型：服务</w:t>
      </w:r>
    </w:p>
    <w:p w14:paraId="2B0EAEFE">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预算金额：</w:t>
      </w:r>
      <w:r>
        <w:rPr>
          <w:rFonts w:hint="eastAsia" w:ascii="宋体" w:hAnsi="宋体" w:eastAsia="宋体" w:cs="宋体"/>
          <w:sz w:val="24"/>
          <w:lang w:val="en-US" w:eastAsia="zh-CN"/>
        </w:rPr>
        <w:t>人民币33万</w:t>
      </w:r>
      <w:r>
        <w:rPr>
          <w:rFonts w:hint="eastAsia" w:ascii="宋体" w:hAnsi="宋体" w:eastAsia="宋体" w:cs="宋体"/>
          <w:sz w:val="24"/>
        </w:rPr>
        <w:t>元</w:t>
      </w:r>
    </w:p>
    <w:p w14:paraId="58A8E70A">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最高限价：</w:t>
      </w:r>
      <w:r>
        <w:rPr>
          <w:rFonts w:hint="eastAsia" w:ascii="宋体" w:hAnsi="宋体" w:eastAsia="宋体" w:cs="宋体"/>
          <w:sz w:val="24"/>
          <w:lang w:val="en-US" w:eastAsia="zh-CN"/>
        </w:rPr>
        <w:t>人民币150元/人/届</w:t>
      </w:r>
      <w:r>
        <w:rPr>
          <w:rFonts w:hint="eastAsia" w:ascii="宋体" w:hAnsi="宋体" w:eastAsia="宋体" w:cs="宋体"/>
          <w:sz w:val="24"/>
        </w:rPr>
        <w:t>，投标报价超过本项目最高限价</w:t>
      </w:r>
      <w:r>
        <w:rPr>
          <w:rFonts w:hint="eastAsia" w:ascii="宋体" w:hAnsi="宋体" w:eastAsia="宋体" w:cs="宋体"/>
          <w:sz w:val="24"/>
          <w:lang w:eastAsia="zh-CN"/>
        </w:rPr>
        <w:t>的</w:t>
      </w:r>
      <w:r>
        <w:rPr>
          <w:rFonts w:hint="eastAsia" w:ascii="宋体" w:hAnsi="宋体" w:eastAsia="宋体" w:cs="宋体"/>
          <w:sz w:val="24"/>
        </w:rPr>
        <w:t>作无效</w:t>
      </w:r>
      <w:r>
        <w:rPr>
          <w:rFonts w:hint="eastAsia" w:ascii="宋体" w:hAnsi="宋体" w:eastAsia="宋体" w:cs="宋体"/>
          <w:sz w:val="24"/>
          <w:lang w:val="en-US" w:eastAsia="zh-CN"/>
        </w:rPr>
        <w:t>投标</w:t>
      </w:r>
      <w:r>
        <w:rPr>
          <w:rFonts w:hint="eastAsia" w:ascii="宋体" w:hAnsi="宋体" w:eastAsia="宋体" w:cs="宋体"/>
          <w:sz w:val="24"/>
        </w:rPr>
        <w:t>处理。</w:t>
      </w:r>
    </w:p>
    <w:p w14:paraId="369A58B2">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采购需求：详见招标文件第三</w:t>
      </w:r>
      <w:r>
        <w:rPr>
          <w:rFonts w:hint="eastAsia" w:ascii="宋体" w:hAnsi="宋体" w:eastAsia="宋体" w:cs="宋体"/>
          <w:sz w:val="24"/>
          <w:lang w:val="en-US" w:eastAsia="zh-CN"/>
        </w:rPr>
        <w:t>章</w:t>
      </w:r>
      <w:r>
        <w:rPr>
          <w:rFonts w:hint="eastAsia" w:ascii="宋体" w:hAnsi="宋体" w:eastAsia="宋体" w:cs="宋体"/>
          <w:sz w:val="24"/>
        </w:rPr>
        <w:t>项目需求。</w:t>
      </w:r>
    </w:p>
    <w:p w14:paraId="7A093696">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rPr>
        <w:t>合同履行期限：</w:t>
      </w:r>
      <w:r>
        <w:rPr>
          <w:rFonts w:hint="eastAsia" w:ascii="宋体" w:hAnsi="宋体" w:eastAsia="宋体" w:cs="宋体"/>
          <w:color w:val="000000"/>
          <w:kern w:val="0"/>
          <w:sz w:val="24"/>
        </w:rPr>
        <w:t>自合同签订之日起</w:t>
      </w:r>
      <w:r>
        <w:rPr>
          <w:rFonts w:hint="eastAsia" w:ascii="宋体" w:hAnsi="宋体" w:eastAsia="宋体" w:cs="宋体"/>
          <w:color w:val="000000"/>
          <w:kern w:val="0"/>
          <w:sz w:val="24"/>
          <w:lang w:val="en-US" w:eastAsia="zh-CN"/>
        </w:rPr>
        <w:t>15个工作日</w:t>
      </w:r>
      <w:r>
        <w:rPr>
          <w:rFonts w:hint="eastAsia" w:ascii="宋体" w:hAnsi="宋体" w:eastAsia="宋体" w:cs="宋体"/>
          <w:color w:val="000000"/>
          <w:kern w:val="0"/>
          <w:sz w:val="24"/>
        </w:rPr>
        <w:t>内</w:t>
      </w:r>
      <w:r>
        <w:rPr>
          <w:rFonts w:hint="eastAsia" w:ascii="宋体" w:hAnsi="宋体" w:eastAsia="宋体" w:cs="宋体"/>
          <w:color w:val="000000"/>
          <w:kern w:val="0"/>
          <w:sz w:val="24"/>
          <w:lang w:val="en-US" w:eastAsia="zh-CN"/>
        </w:rPr>
        <w:t>完成</w:t>
      </w:r>
      <w:r>
        <w:rPr>
          <w:rFonts w:hint="eastAsia" w:ascii="宋体" w:hAnsi="宋体" w:eastAsia="宋体" w:cs="宋体"/>
          <w:sz w:val="24"/>
        </w:rPr>
        <w:t>。</w:t>
      </w:r>
    </w:p>
    <w:p w14:paraId="19A8F4B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本项目（是/否）接受联合体：否。</w:t>
      </w:r>
    </w:p>
    <w:p w14:paraId="1B84B65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val="en-US" w:eastAsia="zh-CN"/>
        </w:rPr>
        <w:t>投标人</w:t>
      </w:r>
      <w:r>
        <w:rPr>
          <w:rFonts w:hint="eastAsia" w:ascii="宋体" w:hAnsi="宋体" w:eastAsia="宋体" w:cs="宋体"/>
          <w:b/>
          <w:sz w:val="24"/>
        </w:rPr>
        <w:t>的资格要求：</w:t>
      </w:r>
    </w:p>
    <w:p w14:paraId="68FFC0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满足</w:t>
      </w:r>
      <w:r>
        <w:rPr>
          <w:rFonts w:hint="eastAsia" w:ascii="宋体" w:hAnsi="宋体" w:eastAsia="宋体" w:cs="宋体"/>
          <w:sz w:val="24"/>
          <w:szCs w:val="24"/>
          <w:lang w:val="en-US" w:eastAsia="zh-CN"/>
        </w:rPr>
        <w:t>以下要求</w:t>
      </w:r>
      <w:r>
        <w:rPr>
          <w:rFonts w:hint="eastAsia" w:ascii="宋体" w:hAnsi="宋体" w:eastAsia="宋体" w:cs="宋体"/>
          <w:sz w:val="24"/>
          <w:szCs w:val="24"/>
        </w:rPr>
        <w:t>并提供声明函：</w:t>
      </w:r>
    </w:p>
    <w:p w14:paraId="3682E2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5639883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782ACB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1CD243F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498727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610E32E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78C44699">
      <w:pPr>
        <w:adjustRightInd w:val="0"/>
        <w:snapToGrid w:val="0"/>
        <w:spacing w:line="360" w:lineRule="auto"/>
        <w:ind w:firstLine="480" w:firstLineChars="200"/>
        <w:rPr>
          <w:rFonts w:hint="eastAsia" w:ascii="宋体" w:hAnsi="宋体" w:eastAsia="宋体" w:cs="宋体"/>
          <w:b w:val="0"/>
          <w:bCs w:val="0"/>
          <w:kern w:val="2"/>
          <w:sz w:val="24"/>
          <w:szCs w:val="24"/>
          <w:u w:val="single"/>
          <w:lang w:val="en-US" w:eastAsia="zh-CN"/>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sz w:val="24"/>
        </w:rPr>
        <w:t>本项目的特定资格要求:</w:t>
      </w:r>
      <w:r>
        <w:rPr>
          <w:rFonts w:hint="eastAsia" w:ascii="宋体" w:hAnsi="宋体" w:eastAsia="宋体" w:cs="宋体"/>
          <w:b w:val="0"/>
          <w:bCs w:val="0"/>
          <w:sz w:val="24"/>
          <w:u w:val="single"/>
        </w:rPr>
        <w:t>无</w:t>
      </w:r>
      <w:r>
        <w:rPr>
          <w:rFonts w:hint="eastAsia" w:ascii="宋体" w:hAnsi="宋体" w:eastAsia="宋体" w:cs="宋体"/>
          <w:b w:val="0"/>
          <w:bCs w:val="0"/>
          <w:kern w:val="2"/>
          <w:sz w:val="24"/>
          <w:szCs w:val="24"/>
          <w:highlight w:val="none"/>
          <w:lang w:val="en-US" w:eastAsia="zh-CN"/>
        </w:rPr>
        <w:t>。</w:t>
      </w:r>
    </w:p>
    <w:p w14:paraId="3CB6C7CE">
      <w:pPr>
        <w:widowControl/>
        <w:snapToGrid w:val="0"/>
        <w:spacing w:line="336" w:lineRule="auto"/>
        <w:ind w:firstLine="480" w:firstLineChars="200"/>
        <w:jc w:val="left"/>
        <w:rPr>
          <w:rFonts w:hint="eastAsia" w:ascii="宋体" w:hAnsi="宋体" w:eastAsia="宋体" w:cs="宋体"/>
          <w:kern w:val="2"/>
          <w:sz w:val="24"/>
          <w:szCs w:val="24"/>
        </w:rPr>
      </w:pPr>
      <w:bookmarkStart w:id="9" w:name="OLE_LINK11"/>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rPr>
        <w:t>（</w:t>
      </w:r>
      <w:r>
        <w:rPr>
          <w:rFonts w:hint="eastAsia" w:ascii="宋体" w:hAnsi="宋体" w:cs="宋体"/>
          <w:sz w:val="24"/>
          <w:lang w:val="en-US" w:eastAsia="zh-CN"/>
        </w:rPr>
        <w:t>投标</w:t>
      </w:r>
      <w:r>
        <w:rPr>
          <w:rFonts w:hint="eastAsia" w:ascii="宋体" w:hAnsi="宋体" w:eastAsia="宋体" w:cs="宋体"/>
          <w:sz w:val="24"/>
        </w:rPr>
        <w:t>文件中无需提供材料）</w:t>
      </w:r>
    </w:p>
    <w:bookmarkEnd w:id="9"/>
    <w:p w14:paraId="4B1BF237">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拒绝下述</w:t>
      </w:r>
      <w:r>
        <w:rPr>
          <w:rFonts w:hint="eastAsia" w:ascii="宋体" w:hAnsi="宋体" w:eastAsia="宋体" w:cs="宋体"/>
          <w:sz w:val="24"/>
          <w:szCs w:val="24"/>
          <w:lang w:eastAsia="zh-CN"/>
        </w:rPr>
        <w:t>投标人</w:t>
      </w:r>
      <w:r>
        <w:rPr>
          <w:rFonts w:hint="eastAsia" w:ascii="宋体" w:hAnsi="宋体" w:eastAsia="宋体" w:cs="宋体"/>
          <w:sz w:val="24"/>
          <w:szCs w:val="24"/>
        </w:rPr>
        <w:t>参加本次采购活动：</w:t>
      </w:r>
    </w:p>
    <w:p w14:paraId="0A2813A8">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单位负责人为同一人或者存在直接控股、管理关系的不同</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，不得参加同一合同项下的政府采购活动。</w:t>
      </w:r>
    </w:p>
    <w:p w14:paraId="65CBED7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注：在开标现场，将由</w:t>
      </w:r>
      <w:r>
        <w:rPr>
          <w:rFonts w:hint="eastAsia" w:ascii="宋体" w:hAnsi="宋体" w:eastAsia="宋体" w:cs="宋体"/>
          <w:sz w:val="24"/>
          <w:lang w:val="en-US" w:eastAsia="zh-CN"/>
        </w:rPr>
        <w:t>招标人</w:t>
      </w:r>
      <w:r>
        <w:rPr>
          <w:rFonts w:hint="eastAsia" w:ascii="宋体" w:hAnsi="宋体" w:eastAsia="宋体" w:cs="宋体"/>
          <w:sz w:val="24"/>
        </w:rPr>
        <w:t>或招标代理通过“企查查或天眼查”查询投标单位之间是否存在法定关联性关系。若存在法定关联性关系将按</w:t>
      </w:r>
      <w:r>
        <w:rPr>
          <w:rFonts w:hint="eastAsia" w:ascii="宋体" w:hAnsi="宋体" w:eastAsia="宋体" w:cs="宋体"/>
          <w:b w:val="0"/>
          <w:bCs w:val="0"/>
          <w:sz w:val="24"/>
        </w:rPr>
        <w:t>无效投标处理</w:t>
      </w:r>
      <w:r>
        <w:rPr>
          <w:rFonts w:hint="eastAsia" w:ascii="宋体" w:hAnsi="宋体" w:eastAsia="宋体" w:cs="宋体"/>
          <w:sz w:val="24"/>
        </w:rPr>
        <w:t>。查询结果留存归档。</w:t>
      </w:r>
    </w:p>
    <w:p w14:paraId="57DB30AD">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rPr>
      </w:pPr>
      <w:r>
        <w:rPr>
          <w:rFonts w:hint="eastAsia" w:ascii="Times New Roman" w:hAnsi="Times New Roman"/>
          <w:b/>
          <w:sz w:val="24"/>
          <w:szCs w:val="24"/>
          <w:lang w:val="zh-CN"/>
        </w:rPr>
        <w:t>具体资格要求详见第</w:t>
      </w:r>
      <w:r>
        <w:rPr>
          <w:rFonts w:hint="eastAsia"/>
          <w:b/>
          <w:sz w:val="24"/>
          <w:szCs w:val="24"/>
          <w:lang w:val="en-US" w:eastAsia="zh-CN"/>
        </w:rPr>
        <w:t>七</w:t>
      </w:r>
      <w:r>
        <w:rPr>
          <w:rFonts w:hint="eastAsia" w:ascii="Times New Roman" w:hAnsi="Times New Roman"/>
          <w:b/>
          <w:sz w:val="24"/>
          <w:szCs w:val="24"/>
          <w:lang w:val="zh-CN"/>
        </w:rPr>
        <w:t>章</w:t>
      </w:r>
      <w:r>
        <w:rPr>
          <w:rFonts w:hint="eastAsia"/>
          <w:b/>
          <w:sz w:val="24"/>
          <w:szCs w:val="24"/>
          <w:lang w:val="en-US" w:eastAsia="zh-CN"/>
        </w:rPr>
        <w:t>投标文件组成</w:t>
      </w:r>
      <w:r>
        <w:rPr>
          <w:rFonts w:hint="eastAsia" w:ascii="Times New Roman" w:hAnsi="Times New Roman"/>
          <w:b/>
          <w:sz w:val="24"/>
          <w:szCs w:val="24"/>
          <w:lang w:val="zh-CN"/>
        </w:rPr>
        <w:t>中的“资格审查文件”</w:t>
      </w:r>
    </w:p>
    <w:p w14:paraId="2314906C">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rPr>
      </w:pPr>
      <w:r>
        <w:rPr>
          <w:rFonts w:hint="eastAsia" w:ascii="宋体" w:hAnsi="宋体" w:eastAsia="宋体" w:cs="宋体"/>
          <w:b/>
          <w:sz w:val="24"/>
        </w:rPr>
        <w:t>三、获取招标文件</w:t>
      </w:r>
    </w:p>
    <w:p w14:paraId="68B61E23">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自本招标公告发布之日起至</w:t>
      </w:r>
      <w:r>
        <w:rPr>
          <w:rFonts w:hint="eastAsia" w:ascii="宋体" w:hAnsi="宋体" w:eastAsia="宋体" w:cs="宋体"/>
          <w:sz w:val="24"/>
          <w:szCs w:val="21"/>
          <w:u w:val="single"/>
          <w:lang w:val="en-US" w:eastAsia="zh-CN"/>
        </w:rPr>
        <w:t>2</w:t>
      </w:r>
      <w:r>
        <w:rPr>
          <w:rFonts w:hint="eastAsia" w:ascii="宋体" w:hAnsi="宋体" w:eastAsia="宋体" w:cs="宋体"/>
          <w:sz w:val="24"/>
          <w:szCs w:val="21"/>
          <w:u w:val="single"/>
          <w:lang w:val="zh-CN"/>
        </w:rPr>
        <w:t>026</w:t>
      </w:r>
      <w:r>
        <w:rPr>
          <w:rFonts w:hint="eastAsia" w:ascii="宋体" w:hAnsi="宋体" w:eastAsia="宋体" w:cs="宋体"/>
          <w:sz w:val="24"/>
          <w:szCs w:val="21"/>
          <w:u w:val="none"/>
          <w:lang w:val="zh-CN"/>
        </w:rPr>
        <w:t>年</w:t>
      </w:r>
      <w:r>
        <w:rPr>
          <w:rFonts w:hint="eastAsia" w:ascii="宋体" w:hAnsi="宋体" w:cs="宋体"/>
          <w:sz w:val="24"/>
          <w:szCs w:val="21"/>
          <w:u w:val="single"/>
          <w:lang w:val="en-US" w:eastAsia="zh-CN"/>
        </w:rPr>
        <w:t>5</w:t>
      </w:r>
      <w:r>
        <w:rPr>
          <w:rFonts w:hint="eastAsia" w:ascii="宋体" w:hAnsi="宋体" w:eastAsia="宋体" w:cs="宋体"/>
          <w:sz w:val="24"/>
          <w:szCs w:val="21"/>
          <w:u w:val="none"/>
          <w:lang w:val="zh-CN"/>
        </w:rPr>
        <w:t>月</w:t>
      </w:r>
      <w:bookmarkStart w:id="29" w:name="_GoBack"/>
      <w:bookmarkEnd w:id="29"/>
      <w:r>
        <w:rPr>
          <w:rFonts w:hint="eastAsia" w:ascii="宋体" w:hAnsi="宋体" w:cs="宋体"/>
          <w:sz w:val="24"/>
          <w:szCs w:val="21"/>
          <w:u w:val="single"/>
          <w:lang w:val="en-US" w:eastAsia="zh-CN"/>
        </w:rPr>
        <w:t>8</w:t>
      </w:r>
      <w:r>
        <w:rPr>
          <w:rFonts w:hint="eastAsia" w:ascii="宋体" w:hAnsi="宋体" w:eastAsia="宋体" w:cs="宋体"/>
          <w:sz w:val="24"/>
          <w:szCs w:val="21"/>
          <w:u w:val="none"/>
          <w:lang w:val="zh-CN"/>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lang w:val="zh-CN"/>
        </w:rPr>
        <w:t>。</w:t>
      </w:r>
    </w:p>
    <w:p w14:paraId="0888B773">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68B86147">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3CF639A9">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四、提交投标文件截止时间、开标时间和地点</w:t>
      </w:r>
    </w:p>
    <w:p w14:paraId="5E925CC0">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rPr>
        <w:t>年</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8</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6CB441D2">
      <w:pPr>
        <w:widowControl/>
        <w:snapToGrid w:val="0"/>
        <w:spacing w:line="360" w:lineRule="auto"/>
        <w:ind w:firstLine="470" w:firstLineChars="196"/>
        <w:jc w:val="left"/>
        <w:rPr>
          <w:rFonts w:hint="eastAsia" w:ascii="宋体" w:hAnsi="宋体" w:eastAsia="宋体" w:cs="宋体"/>
          <w:sz w:val="24"/>
          <w:u w:val="single"/>
          <w:shd w:val="pct10" w:color="auto" w:fill="FFFFFF"/>
        </w:rPr>
      </w:pPr>
      <w:r>
        <w:rPr>
          <w:rFonts w:hint="eastAsia" w:ascii="宋体" w:hAnsi="宋体" w:eastAsia="宋体" w:cs="宋体"/>
          <w:sz w:val="24"/>
        </w:rPr>
        <w:t>地点：</w:t>
      </w:r>
      <w:r>
        <w:rPr>
          <w:rFonts w:hint="eastAsia" w:ascii="宋体" w:hAnsi="宋体" w:eastAsia="宋体" w:cs="宋体"/>
          <w:sz w:val="24"/>
          <w:u w:val="single"/>
          <w:lang w:eastAsia="zh-CN"/>
        </w:rPr>
        <w:t>南通职业大学（青年中路89号）主楼1401室</w:t>
      </w:r>
      <w:r>
        <w:rPr>
          <w:rFonts w:hint="eastAsia" w:ascii="宋体" w:hAnsi="宋体" w:eastAsia="宋体" w:cs="宋体"/>
          <w:sz w:val="24"/>
          <w:u w:val="single"/>
        </w:rPr>
        <w:t>，如有变动另行通知。</w:t>
      </w:r>
    </w:p>
    <w:p w14:paraId="133A4E3C">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五、公告期限</w:t>
      </w:r>
    </w:p>
    <w:p w14:paraId="4B23AB02">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自本公告发布之日起5个工作日。</w:t>
      </w:r>
    </w:p>
    <w:p w14:paraId="462E5F93">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六、其他补充事宜</w:t>
      </w:r>
    </w:p>
    <w:p w14:paraId="29E208F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1.保证金：本项目不收取投标保证金。</w:t>
      </w:r>
    </w:p>
    <w:p w14:paraId="1BCCB60C">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2.本项目采用现场开标模式，所有</w:t>
      </w:r>
      <w:r>
        <w:rPr>
          <w:rFonts w:hint="eastAsia" w:ascii="宋体" w:hAnsi="宋体" w:eastAsia="宋体" w:cs="宋体"/>
          <w:sz w:val="24"/>
          <w:lang w:eastAsia="zh-CN"/>
        </w:rPr>
        <w:t>投标人</w:t>
      </w:r>
      <w:r>
        <w:rPr>
          <w:rFonts w:hint="eastAsia" w:ascii="宋体" w:hAnsi="宋体" w:eastAsia="宋体" w:cs="宋体"/>
          <w:sz w:val="24"/>
        </w:rPr>
        <w:t>须将纸质投标文件在截止时间前带至开标现场。</w:t>
      </w:r>
    </w:p>
    <w:p w14:paraId="67ED82D6">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.对项目需求部分(</w:t>
      </w:r>
      <w:r>
        <w:rPr>
          <w:rFonts w:hint="eastAsia" w:ascii="宋体" w:hAnsi="宋体" w:eastAsia="宋体" w:cs="宋体"/>
          <w:sz w:val="24"/>
          <w:lang w:eastAsia="zh-CN"/>
        </w:rPr>
        <w:t>投标人</w:t>
      </w:r>
      <w:r>
        <w:rPr>
          <w:rFonts w:hint="eastAsia" w:ascii="宋体" w:hAnsi="宋体" w:eastAsia="宋体" w:cs="宋体"/>
          <w:sz w:val="24"/>
        </w:rPr>
        <w:t>其他资格要求、项目需求、评分标准)的询问、质疑请向</w:t>
      </w:r>
      <w:r>
        <w:rPr>
          <w:rFonts w:hint="eastAsia" w:ascii="宋体" w:hAnsi="宋体" w:eastAsia="宋体" w:cs="宋体"/>
          <w:sz w:val="24"/>
          <w:lang w:eastAsia="zh-CN"/>
        </w:rPr>
        <w:t>招标人</w:t>
      </w:r>
      <w:r>
        <w:rPr>
          <w:rFonts w:hint="eastAsia" w:ascii="宋体" w:hAnsi="宋体" w:eastAsia="宋体" w:cs="宋体"/>
          <w:sz w:val="24"/>
        </w:rPr>
        <w:t>提出，由</w:t>
      </w:r>
      <w:r>
        <w:rPr>
          <w:rFonts w:hint="eastAsia" w:ascii="宋体" w:hAnsi="宋体" w:eastAsia="宋体" w:cs="宋体"/>
          <w:sz w:val="24"/>
          <w:lang w:eastAsia="zh-CN"/>
        </w:rPr>
        <w:t>招标人</w:t>
      </w:r>
      <w:r>
        <w:rPr>
          <w:rFonts w:hint="eastAsia" w:ascii="宋体" w:hAnsi="宋体" w:eastAsia="宋体" w:cs="宋体"/>
          <w:sz w:val="24"/>
        </w:rPr>
        <w:t>负责答复；对项目招标文件其它部分的询问、质疑请向代理机构提出。</w:t>
      </w:r>
    </w:p>
    <w:p w14:paraId="3561B679">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sz w:val="24"/>
          <w:lang w:eastAsia="zh-CN"/>
        </w:rPr>
        <w:t>投标人</w:t>
      </w:r>
      <w:r>
        <w:rPr>
          <w:rFonts w:hint="eastAsia" w:ascii="宋体" w:hAnsi="宋体" w:eastAsia="宋体" w:cs="宋体"/>
          <w:sz w:val="24"/>
        </w:rPr>
        <w:t>应依照规定提交各类声明函、承诺函，不再同时提供原件备查或提供有关部门出具的相关证明文件。但</w:t>
      </w:r>
      <w:r>
        <w:rPr>
          <w:rFonts w:hint="eastAsia" w:ascii="宋体" w:hAnsi="宋体" w:eastAsia="宋体" w:cs="宋体"/>
          <w:sz w:val="24"/>
          <w:lang w:eastAsia="zh-CN"/>
        </w:rPr>
        <w:t>中标人</w:t>
      </w:r>
      <w:r>
        <w:rPr>
          <w:rFonts w:hint="eastAsia" w:ascii="宋体" w:hAnsi="宋体" w:eastAsia="宋体" w:cs="宋体"/>
          <w:sz w:val="24"/>
        </w:rPr>
        <w:t>应做好提交声明函、承诺函相应原件的核查准备；核查后发现虚假或违背承诺的，将依照相关法律法规规定处理。</w:t>
      </w:r>
    </w:p>
    <w:p w14:paraId="3FAB6EF7">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七、凡对本次采购提出询问，请按以下方式联系。</w:t>
      </w:r>
    </w:p>
    <w:p w14:paraId="1665AE1A">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招标人</w:t>
      </w:r>
      <w:r>
        <w:rPr>
          <w:rFonts w:hint="eastAsia" w:ascii="宋体" w:hAnsi="宋体" w:eastAsia="宋体" w:cs="宋体"/>
          <w:color w:val="000000"/>
          <w:sz w:val="24"/>
        </w:rPr>
        <w:t>信息</w:t>
      </w:r>
    </w:p>
    <w:p w14:paraId="54D421F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color w:val="000000"/>
          <w:sz w:val="24"/>
          <w:lang w:val="zh-CN"/>
        </w:rPr>
        <w:t>南通职业大学</w:t>
      </w:r>
    </w:p>
    <w:p w14:paraId="4CC9F549">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地    址：</w:t>
      </w:r>
      <w:r>
        <w:rPr>
          <w:rFonts w:hint="eastAsia" w:ascii="宋体" w:hAnsi="宋体" w:eastAsia="宋体" w:cs="宋体"/>
          <w:bCs/>
          <w:color w:val="000000"/>
          <w:sz w:val="24"/>
          <w:lang w:eastAsia="zh-CN"/>
        </w:rPr>
        <w:t>江苏省南通市青年中路89号</w:t>
      </w:r>
    </w:p>
    <w:p w14:paraId="135C4F95">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kern w:val="0"/>
          <w:sz w:val="24"/>
        </w:rPr>
        <w:t>联</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系</w:t>
      </w:r>
      <w:r>
        <w:rPr>
          <w:rFonts w:hint="eastAsia" w:ascii="宋体" w:hAnsi="宋体" w:eastAsia="宋体" w:cs="宋体"/>
          <w:kern w:val="0"/>
          <w:sz w:val="24"/>
          <w:lang w:val="en-US" w:eastAsia="zh-CN"/>
        </w:rPr>
        <w:t xml:space="preserve"> 人</w:t>
      </w:r>
      <w:r>
        <w:rPr>
          <w:rFonts w:hint="eastAsia" w:ascii="宋体" w:hAnsi="宋体" w:eastAsia="宋体" w:cs="宋体"/>
          <w:color w:val="000000"/>
          <w:sz w:val="24"/>
        </w:rPr>
        <w:t>：</w:t>
      </w:r>
      <w:r>
        <w:rPr>
          <w:rFonts w:hint="eastAsia" w:ascii="宋体" w:hAnsi="宋体" w:eastAsia="宋体" w:cs="宋体"/>
          <w:sz w:val="24"/>
          <w:lang w:eastAsia="zh-CN"/>
        </w:rPr>
        <w:t>陆老师</w:t>
      </w:r>
    </w:p>
    <w:p w14:paraId="7DD2BD03">
      <w:pPr>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000000"/>
          <w:kern w:val="0"/>
          <w:sz w:val="24"/>
          <w:lang w:val="en-US" w:eastAsia="zh-CN"/>
        </w:rPr>
        <w:t>联系方式：15950809415</w:t>
      </w:r>
    </w:p>
    <w:p w14:paraId="13DE4608">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2.采购代理机构信息</w:t>
      </w:r>
    </w:p>
    <w:p w14:paraId="1BD68D0B">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bCs/>
          <w:sz w:val="24"/>
        </w:rPr>
        <w:t>中通服网盈科技有限公司</w:t>
      </w:r>
    </w:p>
    <w:p w14:paraId="61B7A7D3">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地    址：</w:t>
      </w:r>
      <w:r>
        <w:rPr>
          <w:rFonts w:hint="eastAsia" w:ascii="宋体" w:hAnsi="宋体" w:eastAsia="宋体" w:cs="宋体"/>
          <w:sz w:val="24"/>
          <w:szCs w:val="24"/>
        </w:rPr>
        <w:t>南通市崇川区环城南路11号</w:t>
      </w:r>
    </w:p>
    <w:bookmarkEnd w:id="3"/>
    <w:bookmarkEnd w:id="4"/>
    <w:bookmarkEnd w:id="5"/>
    <w:bookmarkEnd w:id="6"/>
    <w:p w14:paraId="633E200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ascii="宋体" w:hAnsi="宋体" w:eastAsia="宋体" w:cs="宋体"/>
          <w:sz w:val="24"/>
          <w:szCs w:val="24"/>
        </w:rPr>
        <w:t xml:space="preserve"> </w:t>
      </w:r>
    </w:p>
    <w:p w14:paraId="615FDE7F">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联系</w:t>
      </w:r>
      <w:bookmarkStart w:id="10" w:name="_Toc28359087"/>
      <w:bookmarkStart w:id="11" w:name="_Toc28359010"/>
      <w:r>
        <w:rPr>
          <w:rFonts w:hint="eastAsia" w:ascii="宋体" w:hAnsi="宋体" w:eastAsia="宋体" w:cs="宋体"/>
          <w:sz w:val="24"/>
          <w:szCs w:val="24"/>
        </w:rPr>
        <w:t>方式：</w:t>
      </w:r>
      <w:bookmarkEnd w:id="10"/>
      <w:bookmarkEnd w:id="11"/>
      <w:r>
        <w:rPr>
          <w:rFonts w:hint="eastAsia" w:ascii="宋体" w:hAnsi="宋体" w:eastAsia="宋体" w:cs="宋体"/>
          <w:sz w:val="24"/>
          <w:lang w:val="en-US" w:eastAsia="zh-CN"/>
        </w:rPr>
        <w:t>15851254859</w:t>
      </w:r>
    </w:p>
    <w:p w14:paraId="24D108A9">
      <w:pPr>
        <w:pStyle w:val="60"/>
        <w:ind w:firstLine="0" w:firstLineChars="0"/>
        <w:jc w:val="center"/>
        <w:rPr>
          <w:rFonts w:hint="eastAsia" w:ascii="宋体" w:hAnsi="宋体" w:eastAsia="宋体" w:cs="宋体"/>
          <w:kern w:val="0"/>
          <w:sz w:val="24"/>
        </w:rPr>
      </w:pPr>
      <w:r>
        <w:rPr>
          <w:rFonts w:hint="eastAsia" w:ascii="宋体" w:hAnsi="宋体" w:eastAsia="宋体" w:cs="宋体"/>
        </w:rPr>
        <w:br w:type="page"/>
      </w:r>
      <w:bookmarkEnd w:id="7"/>
      <w:bookmarkEnd w:id="8"/>
      <w:bookmarkStart w:id="12" w:name="_Toc182848970"/>
      <w:r>
        <w:rPr>
          <w:rStyle w:val="122"/>
          <w:rFonts w:hint="eastAsia" w:ascii="宋体" w:hAnsi="宋体" w:eastAsia="宋体" w:cs="宋体"/>
          <w:sz w:val="32"/>
          <w:szCs w:val="32"/>
        </w:rPr>
        <w:t>第二章  投标人须知</w:t>
      </w:r>
      <w:bookmarkEnd w:id="12"/>
    </w:p>
    <w:p w14:paraId="78E07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一、说明</w:t>
      </w:r>
    </w:p>
    <w:p w14:paraId="0787E2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本招标文件仅适用于本项目公开招标活动。</w:t>
      </w:r>
    </w:p>
    <w:p w14:paraId="4E9A4A71">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开招标活动及因本次招标产生的合同受中国法律制约和保护。</w:t>
      </w:r>
    </w:p>
    <w:p w14:paraId="72ACBFEF">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招标文件的解释权属于</w:t>
      </w:r>
      <w:r>
        <w:rPr>
          <w:rFonts w:hint="eastAsia" w:ascii="宋体" w:hAnsi="宋体" w:eastAsia="宋体" w:cs="宋体"/>
          <w:color w:val="000000"/>
          <w:kern w:val="0"/>
          <w:sz w:val="24"/>
          <w:lang w:val="en-US" w:eastAsia="zh-CN"/>
        </w:rPr>
        <w:t>招标人</w:t>
      </w:r>
      <w:r>
        <w:rPr>
          <w:rFonts w:hint="eastAsia" w:ascii="宋体" w:hAnsi="宋体" w:eastAsia="宋体" w:cs="宋体"/>
          <w:color w:val="000000"/>
          <w:kern w:val="0"/>
          <w:sz w:val="24"/>
        </w:rPr>
        <w:t>。</w:t>
      </w:r>
    </w:p>
    <w:p w14:paraId="0022FD18">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5A2479FE">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投标人应认真审阅招标文件中所有的事项、格式、条款和规范要求等，如果</w:t>
      </w:r>
      <w:r>
        <w:rPr>
          <w:rFonts w:hint="eastAsia" w:ascii="宋体" w:hAnsi="宋体" w:eastAsia="宋体" w:cs="宋体"/>
          <w:color w:val="000000"/>
          <w:kern w:val="0"/>
          <w:sz w:val="24"/>
          <w:lang w:eastAsia="zh-CN"/>
        </w:rPr>
        <w:t>投标人</w:t>
      </w:r>
      <w:r>
        <w:rPr>
          <w:rFonts w:hint="eastAsia" w:ascii="宋体" w:hAnsi="宋体" w:eastAsia="宋体" w:cs="宋体"/>
          <w:color w:val="000000"/>
          <w:kern w:val="0"/>
          <w:sz w:val="24"/>
        </w:rPr>
        <w:t>没有按照招标文件要求提交响应文件，或者投标文件没有对招标文件做出实质性响应，将被拒绝参与投标。</w:t>
      </w:r>
    </w:p>
    <w:p w14:paraId="7D5CAA47">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二、招标文件的补充说明、澄清、修改、答疑</w:t>
      </w:r>
    </w:p>
    <w:p w14:paraId="5CED4A9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代理机构有权对发出的招标文件进行必要的补充说明、澄清或修改。</w:t>
      </w:r>
    </w:p>
    <w:p w14:paraId="53DC090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招标文件的澄清、修改、补充等内容均以补充公告的形式发布，且以“</w:t>
      </w:r>
      <w:r>
        <w:rPr>
          <w:rFonts w:hint="eastAsia" w:ascii="宋体" w:hAnsi="宋体" w:eastAsia="宋体" w:cs="宋体"/>
          <w:color w:val="000000"/>
          <w:sz w:val="24"/>
          <w:lang w:eastAsia="zh-CN"/>
        </w:rPr>
        <w:t>南通职业大学采购与招标信息网</w:t>
      </w:r>
      <w:r>
        <w:rPr>
          <w:rFonts w:hint="eastAsia" w:ascii="宋体" w:hAnsi="宋体" w:eastAsia="宋体" w:cs="宋体"/>
          <w:color w:val="000000"/>
          <w:sz w:val="24"/>
        </w:rPr>
        <w:t>”发布的信息为准。</w:t>
      </w:r>
    </w:p>
    <w:p w14:paraId="6FF465F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代理机构对招标文件的补充说明、澄清或修改，将构成招标文件的一部分，对投标人具有约束力。</w:t>
      </w:r>
    </w:p>
    <w:p w14:paraId="31BBA1B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补充说明、澄清或修改的内容可能影响到投标文件编制的，代理机构将在提交投标文件截止之日15日前，发布补充说明、澄清或修改公告，不足15日的，应当顺延提交投标文件截止之日。</w:t>
      </w:r>
    </w:p>
    <w:p w14:paraId="78E90BB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除非代理机构以书面的形式对招标文件作出澄清、修改及补充，投标人对涉及招标文件的任何推论、理解和结论所造成的结果，均由投标人自负。</w:t>
      </w:r>
    </w:p>
    <w:p w14:paraId="5CCDACA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视情组织答疑会。如有答疑且对招标文件内容有修改，代理机构将按照本须知有关规定，以补充通知（公告）的方式发出。</w:t>
      </w:r>
    </w:p>
    <w:p w14:paraId="03DAAF1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kern w:val="0"/>
          <w:sz w:val="24"/>
        </w:rPr>
        <w:t>三、</w:t>
      </w:r>
      <w:r>
        <w:rPr>
          <w:rFonts w:hint="eastAsia" w:ascii="宋体" w:hAnsi="宋体" w:eastAsia="宋体" w:cs="宋体"/>
          <w:b/>
          <w:color w:val="000000"/>
          <w:sz w:val="24"/>
        </w:rPr>
        <w:t>投标文件的编写及装订</w:t>
      </w:r>
    </w:p>
    <w:p w14:paraId="4ABDFB9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投标人提交的投标文件以及投标人与代理机构就有关投标的所有来往通知、函件和文件均应使用简体中文。</w:t>
      </w:r>
    </w:p>
    <w:p w14:paraId="0CCA7A6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除技术性能另有规定外，投标文件所使用的度量衡单位，均须采用国家法定计量单位。</w:t>
      </w:r>
    </w:p>
    <w:p w14:paraId="0A5D91D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投标文件的组成（参见第七章），投标人按招标文件要求编写投标文件，并采用A4纸（图纸等除外）牢固装订成册。投标文件不得行间插字、涂改、增删，如修改错漏处，须经投标人法定代表人或被授权人签字。</w:t>
      </w:r>
    </w:p>
    <w:p w14:paraId="3327C429">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四、投标文件的份数和签署</w:t>
      </w:r>
    </w:p>
    <w:p w14:paraId="2A1E1B7E">
      <w:pPr>
        <w:snapToGrid w:val="0"/>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lang w:eastAsia="zh-CN"/>
        </w:rPr>
        <w:t>投标人</w:t>
      </w:r>
      <w:r>
        <w:rPr>
          <w:rFonts w:hint="eastAsia" w:ascii="宋体" w:hAnsi="宋体" w:eastAsia="宋体" w:cs="宋体"/>
          <w:color w:val="000000"/>
          <w:sz w:val="24"/>
        </w:rPr>
        <w:t>应准备</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伍</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份完整的</w:t>
      </w:r>
      <w:r>
        <w:rPr>
          <w:rFonts w:hint="eastAsia" w:ascii="宋体" w:hAnsi="宋体" w:cs="宋体"/>
          <w:color w:val="000000"/>
          <w:sz w:val="24"/>
          <w:lang w:val="en-US" w:eastAsia="zh-CN"/>
        </w:rPr>
        <w:t>纸质</w:t>
      </w:r>
      <w:r>
        <w:rPr>
          <w:rFonts w:hint="eastAsia" w:ascii="宋体" w:hAnsi="宋体" w:eastAsia="宋体" w:cs="宋体"/>
          <w:color w:val="000000"/>
          <w:sz w:val="24"/>
        </w:rPr>
        <w:t>投标文件，其中正本</w:t>
      </w:r>
      <w:r>
        <w:rPr>
          <w:rFonts w:hint="eastAsia" w:ascii="宋体" w:hAnsi="宋体" w:eastAsia="宋体" w:cs="宋体"/>
          <w:b/>
          <w:color w:val="000000"/>
          <w:sz w:val="24"/>
          <w:u w:val="single"/>
        </w:rPr>
        <w:t xml:space="preserve"> 壹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份，并标明“正本”或“副本”字样。</w:t>
      </w:r>
      <w:r>
        <w:rPr>
          <w:rFonts w:hint="eastAsia" w:ascii="宋体" w:hAnsi="宋体" w:eastAsia="宋体" w:cs="宋体"/>
          <w:b/>
          <w:color w:val="000000"/>
          <w:sz w:val="24"/>
        </w:rPr>
        <w:t>投标人可将投标文件正副本统一密封或分别密封，如正本和副本分别密封的，应在封袋上标明正、副本字样。</w:t>
      </w:r>
    </w:p>
    <w:p w14:paraId="47B8E4D7">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投标文件须用不能擦去的墨水书写或打印并按招标文件要求在规定的地方由法定代表人或被授权人签字或盖章，并加盖</w:t>
      </w:r>
      <w:r>
        <w:rPr>
          <w:rFonts w:hint="eastAsia" w:ascii="宋体" w:hAnsi="宋体" w:eastAsia="宋体" w:cs="宋体"/>
          <w:sz w:val="24"/>
        </w:rPr>
        <w:t>投标人公章。本</w:t>
      </w:r>
      <w:r>
        <w:rPr>
          <w:rFonts w:hint="eastAsia" w:ascii="宋体" w:hAnsi="宋体" w:eastAsia="宋体" w:cs="宋体"/>
          <w:sz w:val="24"/>
          <w:lang w:eastAsia="zh-CN"/>
        </w:rPr>
        <w:t>招标文件</w:t>
      </w:r>
      <w:r>
        <w:rPr>
          <w:rFonts w:hint="eastAsia" w:ascii="宋体" w:hAnsi="宋体" w:eastAsia="宋体" w:cs="宋体"/>
          <w:sz w:val="24"/>
        </w:rPr>
        <w:t>所表述（指定）的公章是指法定名称章，不包括合同专用章、业务专用章等印章</w:t>
      </w:r>
      <w:r>
        <w:rPr>
          <w:rFonts w:hint="eastAsia" w:ascii="宋体" w:hAnsi="宋体" w:eastAsia="宋体" w:cs="宋体"/>
          <w:color w:val="000000"/>
          <w:sz w:val="24"/>
        </w:rPr>
        <w:t>。</w:t>
      </w:r>
    </w:p>
    <w:p w14:paraId="4C39E264">
      <w:pPr>
        <w:tabs>
          <w:tab w:val="left" w:pos="360"/>
        </w:tabs>
        <w:spacing w:after="60" w:line="460" w:lineRule="exact"/>
        <w:ind w:firstLine="480" w:firstLineChars="200"/>
        <w:rPr>
          <w:rFonts w:hint="eastAsia" w:ascii="宋体" w:hAnsi="宋体" w:cs="宋体"/>
          <w:sz w:val="24"/>
          <w:lang w:val="en-US" w:eastAsia="zh-CN"/>
        </w:rPr>
      </w:pPr>
      <w:r>
        <w:rPr>
          <w:rFonts w:hint="eastAsia" w:ascii="宋体" w:hAnsi="宋体" w:cs="宋体"/>
          <w:color w:val="000000"/>
          <w:sz w:val="24"/>
          <w:lang w:val="en-US" w:eastAsia="zh-CN"/>
        </w:rPr>
        <w:t>3.</w:t>
      </w:r>
      <w:r>
        <w:rPr>
          <w:rFonts w:hint="eastAsia" w:ascii="宋体" w:hAnsi="宋体" w:cs="宋体"/>
          <w:b/>
          <w:bCs/>
          <w:sz w:val="24"/>
          <w:lang w:val="en-US" w:eastAsia="zh-CN"/>
        </w:rPr>
        <w:t>本项目要求提供电子投标文件一份</w:t>
      </w:r>
      <w:r>
        <w:rPr>
          <w:rFonts w:hint="eastAsia" w:ascii="宋体" w:hAnsi="宋体" w:cs="宋体"/>
          <w:sz w:val="24"/>
          <w:lang w:val="en-US" w:eastAsia="zh-CN"/>
        </w:rPr>
        <w:t>，电子投标文件的内容为资格审查文件、商务技术标、价格标打印盖章后的投标文件的扫描件（资格审查文件、商务技术标、价格标需分别逐页连续扫描为三个独立的PDF文件）以及演示文件，采取U盘方式提交，需单独密封提交。</w:t>
      </w:r>
    </w:p>
    <w:p w14:paraId="5B39C51C">
      <w:pPr>
        <w:snapToGrid w:val="0"/>
        <w:spacing w:line="360" w:lineRule="auto"/>
        <w:ind w:firstLine="480" w:firstLineChars="200"/>
        <w:rPr>
          <w:rFonts w:hint="default" w:ascii="宋体" w:hAnsi="宋体" w:eastAsia="宋体" w:cs="宋体"/>
          <w:color w:val="000000"/>
          <w:sz w:val="24"/>
          <w:lang w:val="en-US" w:eastAsia="zh-CN"/>
        </w:rPr>
      </w:pPr>
      <w:r>
        <w:rPr>
          <w:rFonts w:hint="eastAsia" w:ascii="宋体" w:hAnsi="宋体" w:cs="宋体"/>
          <w:sz w:val="24"/>
          <w:lang w:val="en-US" w:eastAsia="zh-CN"/>
        </w:rPr>
        <w:t>电子投标文件内容应与提交的纸质投标文件内容一致。否则，由此产生的后果投标人自负。</w:t>
      </w:r>
    </w:p>
    <w:p w14:paraId="33521171">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五、投标文件的密封及标记</w:t>
      </w:r>
    </w:p>
    <w:p w14:paraId="1F1ED2FF">
      <w:pPr>
        <w:snapToGrid w:val="0"/>
        <w:spacing w:line="360" w:lineRule="auto"/>
        <w:ind w:firstLine="480" w:firstLineChars="200"/>
        <w:rPr>
          <w:rFonts w:hint="eastAsia" w:ascii="宋体" w:hAnsi="宋体" w:eastAsia="宋体" w:cs="宋体"/>
          <w:color w:val="000000"/>
          <w:sz w:val="24"/>
        </w:rPr>
      </w:pPr>
      <w:r>
        <w:rPr>
          <w:rFonts w:hint="eastAsia" w:ascii="宋体" w:hAnsi="宋体" w:cs="宋体"/>
          <w:sz w:val="24"/>
          <w:lang w:val="en-US" w:eastAsia="zh-CN"/>
        </w:rPr>
        <w:t>投标</w:t>
      </w:r>
      <w:r>
        <w:rPr>
          <w:rFonts w:hint="eastAsia" w:ascii="宋体" w:hAnsi="宋体" w:cs="宋体"/>
          <w:sz w:val="24"/>
        </w:rPr>
        <w:t>文件由：</w:t>
      </w:r>
      <w:r>
        <w:rPr>
          <w:rFonts w:hint="eastAsia" w:ascii="宋体" w:hAnsi="宋体" w:cs="宋体"/>
          <w:b/>
          <w:bCs/>
          <w:sz w:val="24"/>
          <w:u w:val="single"/>
        </w:rPr>
        <w:t>1、资格审查文件2、</w:t>
      </w:r>
      <w:r>
        <w:rPr>
          <w:rFonts w:hint="eastAsia" w:ascii="宋体" w:hAnsi="宋体" w:cs="宋体"/>
          <w:b/>
          <w:bCs/>
          <w:sz w:val="24"/>
          <w:u w:val="single"/>
          <w:lang w:val="en-US" w:eastAsia="zh-CN"/>
        </w:rPr>
        <w:t xml:space="preserve">商务技术标 </w:t>
      </w:r>
      <w:r>
        <w:rPr>
          <w:rFonts w:hint="eastAsia" w:ascii="宋体" w:hAnsi="宋体" w:cs="宋体"/>
          <w:b/>
          <w:bCs/>
          <w:sz w:val="24"/>
          <w:u w:val="single"/>
        </w:rPr>
        <w:t>3、</w:t>
      </w:r>
      <w:r>
        <w:rPr>
          <w:rFonts w:hint="eastAsia" w:ascii="宋体" w:hAnsi="宋体" w:cs="宋体"/>
          <w:b/>
          <w:bCs/>
          <w:sz w:val="24"/>
          <w:u w:val="single"/>
          <w:lang w:val="en-US" w:eastAsia="zh-CN"/>
        </w:rPr>
        <w:t>价格标 4、电子投标文件</w:t>
      </w:r>
      <w:r>
        <w:rPr>
          <w:rFonts w:hint="eastAsia" w:ascii="宋体" w:hAnsi="宋体" w:cs="宋体"/>
          <w:b/>
          <w:bCs/>
          <w:sz w:val="24"/>
          <w:u w:val="none"/>
        </w:rPr>
        <w:t>，</w:t>
      </w:r>
      <w:r>
        <w:rPr>
          <w:rFonts w:hint="eastAsia" w:ascii="宋体" w:hAnsi="宋体" w:cs="宋体"/>
          <w:sz w:val="24"/>
        </w:rPr>
        <w:t>共</w:t>
      </w:r>
      <w:r>
        <w:rPr>
          <w:rFonts w:hint="eastAsia" w:ascii="宋体" w:hAnsi="宋体" w:cs="宋体"/>
          <w:sz w:val="24"/>
          <w:lang w:val="en-US" w:eastAsia="zh-CN"/>
        </w:rPr>
        <w:t>4</w:t>
      </w:r>
      <w:r>
        <w:rPr>
          <w:rFonts w:hint="eastAsia" w:ascii="宋体" w:hAnsi="宋体" w:cs="宋体"/>
          <w:sz w:val="24"/>
        </w:rPr>
        <w:t>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w:t>
      </w:r>
      <w:r>
        <w:rPr>
          <w:rFonts w:hint="eastAsia" w:ascii="宋体" w:hAnsi="宋体" w:cs="宋体"/>
          <w:sz w:val="24"/>
          <w:lang w:val="en-US" w:eastAsia="zh-CN"/>
        </w:rPr>
        <w:t>投标</w:t>
      </w:r>
      <w:r>
        <w:rPr>
          <w:rFonts w:hint="eastAsia" w:ascii="宋体" w:hAnsi="宋体" w:cs="宋体"/>
          <w:sz w:val="24"/>
        </w:rPr>
        <w:t>文件中。</w:t>
      </w:r>
    </w:p>
    <w:p w14:paraId="49A6327C">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密封后应标明投标文件项目名称、投标人名称，封袋上应加盖投标人公章。</w:t>
      </w:r>
    </w:p>
    <w:p w14:paraId="52F883D5">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六、投标报价</w:t>
      </w:r>
    </w:p>
    <w:p w14:paraId="790BADD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本项目不接受任何有选择的报价。</w:t>
      </w:r>
    </w:p>
    <w:p w14:paraId="7716531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投标报价均以人民币为报价的币种。</w:t>
      </w:r>
    </w:p>
    <w:p w14:paraId="10AFE9D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5E4F5C1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包括但不限于服务费、维护费、人员薪酬、利润、税费等一切费用。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504170C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一次报定的投标报价为</w:t>
      </w:r>
      <w:r>
        <w:rPr>
          <w:rFonts w:hint="eastAsia" w:ascii="宋体" w:hAnsi="宋体" w:eastAsia="宋体" w:cs="宋体"/>
          <w:color w:val="000000"/>
          <w:sz w:val="24"/>
          <w:lang w:val="en-US" w:eastAsia="zh-CN"/>
        </w:rPr>
        <w:t>中标</w:t>
      </w:r>
      <w:r>
        <w:rPr>
          <w:rFonts w:hint="eastAsia" w:ascii="宋体" w:hAnsi="宋体" w:eastAsia="宋体" w:cs="宋体"/>
          <w:color w:val="000000"/>
          <w:sz w:val="24"/>
        </w:rPr>
        <w:t>价，同时，中标单位的中标单价在合同实施期间不因市场变化因素而变动。</w:t>
      </w:r>
    </w:p>
    <w:p w14:paraId="465119F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详细阅读招标文件的全部内容，根据采购项目需求，准确制定相关工作方案等，必须对本招标项目全部进行报价，如有漏项，视同对本项目的优惠。不按招标文件的要求提供投标响应文件，导致报价无效，按无效投标处理。</w:t>
      </w:r>
    </w:p>
    <w:p w14:paraId="74384FE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招标文件未列明，而投标人认为必需的费用也需列入报价。</w:t>
      </w:r>
    </w:p>
    <w:p w14:paraId="04976F6C">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七、投标保证金</w:t>
      </w:r>
    </w:p>
    <w:p w14:paraId="5EA850A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本项目不收取投标保证金。</w:t>
      </w:r>
    </w:p>
    <w:p w14:paraId="2D4A8C2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八、投标文件的递交、修改与撤回</w:t>
      </w:r>
    </w:p>
    <w:p w14:paraId="6DFE0E67">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投标人应在招标文件规定的投标截止时间前递交投标文件。不论中标与否，所有已开启的投标文件均予不退，未开启的投标文件可退回。</w:t>
      </w:r>
    </w:p>
    <w:p w14:paraId="41E20A1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在投标截止时间前，投标人可以修改或撤回已递交的投标文件，但应以书面形式通知</w:t>
      </w:r>
      <w:r>
        <w:rPr>
          <w:rFonts w:hint="eastAsia" w:ascii="宋体" w:hAnsi="宋体" w:eastAsia="宋体" w:cs="宋体"/>
          <w:color w:val="000000"/>
          <w:sz w:val="24"/>
          <w:lang w:eastAsia="zh-CN"/>
        </w:rPr>
        <w:t>招标人</w:t>
      </w:r>
      <w:r>
        <w:rPr>
          <w:rFonts w:hint="eastAsia" w:ascii="宋体" w:hAnsi="宋体" w:eastAsia="宋体" w:cs="宋体"/>
          <w:color w:val="000000"/>
          <w:sz w:val="24"/>
        </w:rPr>
        <w:t>。</w:t>
      </w:r>
    </w:p>
    <w:p w14:paraId="6FAFFCF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投标人修改或撤回已递交投标文件的书面通知应按照本招标文件的要求签字或盖章。</w:t>
      </w:r>
      <w:r>
        <w:rPr>
          <w:rFonts w:hint="eastAsia" w:ascii="宋体" w:hAnsi="宋体" w:eastAsia="宋体" w:cs="宋体"/>
          <w:color w:val="000000"/>
          <w:sz w:val="24"/>
          <w:lang w:eastAsia="zh-CN"/>
        </w:rPr>
        <w:t>招标人</w:t>
      </w:r>
      <w:r>
        <w:rPr>
          <w:rFonts w:hint="eastAsia" w:ascii="宋体" w:hAnsi="宋体" w:eastAsia="宋体" w:cs="宋体"/>
          <w:color w:val="000000"/>
          <w:sz w:val="24"/>
        </w:rPr>
        <w:t>收到书面通知后，向投标人出具签收凭证。</w:t>
      </w:r>
    </w:p>
    <w:p w14:paraId="5FAE34A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修改的内容为投标文件的组成部分。修改的投标文件应按照本招标文件的规定进行编制、密封、标记和递交，并标明“修改”字样。</w:t>
      </w:r>
    </w:p>
    <w:p w14:paraId="46CFCFD1">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九、投标有效期</w:t>
      </w:r>
    </w:p>
    <w:p w14:paraId="3E1001F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投标有效期为</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规定的开标之日后</w:t>
      </w:r>
      <w:r>
        <w:rPr>
          <w:rFonts w:hint="eastAsia" w:ascii="宋体" w:hAnsi="宋体" w:eastAsia="宋体" w:cs="宋体"/>
          <w:bCs/>
          <w:color w:val="000000"/>
          <w:sz w:val="24"/>
          <w:u w:val="single"/>
        </w:rPr>
        <w:t>六十(60)天</w:t>
      </w:r>
      <w:r>
        <w:rPr>
          <w:rFonts w:hint="eastAsia" w:ascii="宋体" w:hAnsi="宋体" w:eastAsia="宋体" w:cs="宋体"/>
          <w:bCs/>
          <w:color w:val="000000"/>
          <w:sz w:val="24"/>
        </w:rPr>
        <w:t>。投标有效期比规定短的将被视为非响应性投标而予以拒绝。</w:t>
      </w:r>
    </w:p>
    <w:p w14:paraId="59B5840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在特殊情况下，</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42EC34A6">
      <w:pPr>
        <w:snapToGrid w:val="0"/>
        <w:spacing w:line="360" w:lineRule="auto"/>
        <w:ind w:firstLine="482" w:firstLineChars="200"/>
        <w:outlineLvl w:val="1"/>
        <w:rPr>
          <w:rFonts w:hint="eastAsia" w:ascii="宋体" w:hAnsi="宋体" w:eastAsia="宋体" w:cs="宋体"/>
          <w:b/>
          <w:color w:val="000000"/>
          <w:sz w:val="24"/>
        </w:rPr>
      </w:pPr>
      <w:bookmarkStart w:id="14" w:name="_Toc20823302"/>
      <w:bookmarkStart w:id="15" w:name="_Toc16938546"/>
      <w:bookmarkStart w:id="16" w:name="_Toc513029230"/>
      <w:r>
        <w:rPr>
          <w:rFonts w:hint="eastAsia" w:ascii="宋体" w:hAnsi="宋体" w:eastAsia="宋体" w:cs="宋体"/>
          <w:b/>
          <w:color w:val="000000"/>
          <w:sz w:val="24"/>
        </w:rPr>
        <w:t>十、开标</w:t>
      </w:r>
      <w:bookmarkEnd w:id="14"/>
      <w:bookmarkEnd w:id="15"/>
      <w:bookmarkEnd w:id="16"/>
    </w:p>
    <w:p w14:paraId="0C4C84D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代理机构将在招标公告中规定的时间和地点组织公开开标。投标人应委派携带有效证件的代表准时参加，参加开标的代表需签名以证明其出席。</w:t>
      </w:r>
    </w:p>
    <w:p w14:paraId="5329938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开标仪式由代理机构组织，投标人代表、公证员（必要时）、监管代表（必要时）等参加。</w:t>
      </w:r>
    </w:p>
    <w:p w14:paraId="7931A82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按照规定同意撤回的投标将不予开封。</w:t>
      </w:r>
    </w:p>
    <w:p w14:paraId="6352895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开标时请公证人员或投标人代表或监管代表查验投标文件密封情况，确认无误后，进入评标区评审。</w:t>
      </w:r>
    </w:p>
    <w:p w14:paraId="2132FE2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5、代理机构将指定专人负责开标记录并存档备查。</w:t>
      </w:r>
    </w:p>
    <w:p w14:paraId="2AAFDCF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十一、评标委员会</w:t>
      </w:r>
    </w:p>
    <w:p w14:paraId="0160E2B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开标后，代理机构将立即组织评标委员会（以下简称评委会）进行评标。</w:t>
      </w:r>
    </w:p>
    <w:p w14:paraId="30FB7E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评委会由有关技术、经济等方面的专家组成，且人员构成符合招标有关规定。</w:t>
      </w:r>
    </w:p>
    <w:p w14:paraId="264A779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评委会独立工作，负责评审所有投标文件并推荐中候选标人。</w:t>
      </w:r>
    </w:p>
    <w:p w14:paraId="0BD2853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十二、评标过程的保密与公正</w:t>
      </w:r>
    </w:p>
    <w:p w14:paraId="182B090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公开开标后，直至向中标的投标人授予合同时止，凡是与审查、澄清、评价和比较投标的有关资料以及授标建议等，</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、评委、代理机构均不得向投标人或与评标无关的其他人员透露。</w:t>
      </w:r>
    </w:p>
    <w:p w14:paraId="457EE22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在评标过程中，投标人不得以任何行为影响评标过程，否则其投标文件将被作为无效投标文件。</w:t>
      </w:r>
    </w:p>
    <w:p w14:paraId="459A861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在评标期间，代理机构将设专门人员与投标人联系。</w:t>
      </w:r>
    </w:p>
    <w:p w14:paraId="26BFC9D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代理机构和评标委员会不得向落标的投标人解释未中标原因，也不公布评标过程中的相关细节。</w:t>
      </w:r>
    </w:p>
    <w:p w14:paraId="0A8FB57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十三、投标澄清</w:t>
      </w:r>
    </w:p>
    <w:p w14:paraId="14E0427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评标期间，为有助于对投标文件的审查、评价和比较，评委会有权以书面形式要求投标人对其投标文件进行澄清，但并非对每个投标人都作澄清要求。</w:t>
      </w:r>
    </w:p>
    <w:p w14:paraId="2DCBC64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851BE5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接到评委会澄清要求的投标人如未按规定做出澄清，其风险由投标人自行承担。</w:t>
      </w:r>
    </w:p>
    <w:p w14:paraId="05517473">
      <w:pPr>
        <w:snapToGrid w:val="0"/>
        <w:spacing w:line="360" w:lineRule="auto"/>
        <w:ind w:firstLine="482" w:firstLineChars="200"/>
        <w:outlineLvl w:val="1"/>
        <w:rPr>
          <w:rFonts w:hint="eastAsia" w:ascii="宋体" w:hAnsi="宋体" w:eastAsia="宋体" w:cs="宋体"/>
          <w:b/>
          <w:color w:val="000000"/>
          <w:sz w:val="24"/>
        </w:rPr>
      </w:pPr>
      <w:bookmarkStart w:id="17" w:name="_Toc16938549"/>
      <w:bookmarkStart w:id="18" w:name="_Toc20823305"/>
      <w:bookmarkStart w:id="19" w:name="_Toc513029233"/>
      <w:r>
        <w:rPr>
          <w:rFonts w:hint="eastAsia" w:ascii="宋体" w:hAnsi="宋体" w:eastAsia="宋体" w:cs="宋体"/>
          <w:b/>
          <w:color w:val="000000"/>
          <w:sz w:val="24"/>
        </w:rPr>
        <w:t>十四、投标文件的初审</w:t>
      </w:r>
      <w:bookmarkEnd w:id="17"/>
      <w:bookmarkEnd w:id="18"/>
      <w:bookmarkEnd w:id="19"/>
    </w:p>
    <w:p w14:paraId="5BEC3A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投标文件初审分为资格性检查和符合性检查。</w:t>
      </w:r>
    </w:p>
    <w:p w14:paraId="7266761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资格性检查：依据法律法规和招标文件的规定，</w:t>
      </w:r>
      <w:r>
        <w:rPr>
          <w:rFonts w:hint="eastAsia" w:ascii="宋体" w:hAnsi="宋体" w:cs="宋体"/>
          <w:bCs/>
          <w:color w:val="000000"/>
          <w:sz w:val="24"/>
          <w:lang w:val="en-US" w:eastAsia="zh-CN"/>
        </w:rPr>
        <w:t>由招标人代表</w:t>
      </w:r>
      <w:r>
        <w:rPr>
          <w:rFonts w:hint="eastAsia" w:ascii="宋体" w:hAnsi="宋体" w:eastAsia="宋体" w:cs="宋体"/>
          <w:bCs/>
          <w:color w:val="000000"/>
          <w:sz w:val="24"/>
        </w:rPr>
        <w:t>对投标文件中的资格证明文件进行审查，以确定</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是否具备投标资格。</w:t>
      </w:r>
    </w:p>
    <w:p w14:paraId="5F18F75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43AC6E5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符合性检查：依据招标文件的规定，</w:t>
      </w:r>
      <w:r>
        <w:rPr>
          <w:rFonts w:hint="eastAsia" w:ascii="宋体" w:hAnsi="宋体" w:cs="宋体"/>
          <w:bCs/>
          <w:color w:val="000000"/>
          <w:sz w:val="24"/>
          <w:lang w:val="en-US" w:eastAsia="zh-CN"/>
        </w:rPr>
        <w:t>评委会</w:t>
      </w:r>
      <w:r>
        <w:rPr>
          <w:rFonts w:hint="eastAsia" w:ascii="宋体" w:hAnsi="宋体" w:eastAsia="宋体" w:cs="宋体"/>
          <w:bCs/>
          <w:color w:val="000000"/>
          <w:sz w:val="24"/>
        </w:rPr>
        <w:t>从投标文件的有效性、完整性和对招标文件的响应程度进行审查，以确定是否对招标文件的实质性要求作出响应。</w:t>
      </w:r>
    </w:p>
    <w:p w14:paraId="0CCD81AE">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781E618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4353C68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如果投标文件实质上没有响应招标文件的要求，评委会将予以拒绝，投标人不得通过修改或撤销不合要求的偏离或保留而使其投标成为实质性响应的投标。</w:t>
      </w:r>
    </w:p>
    <w:p w14:paraId="66C2C5B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评委会将对确定为实质性响应的投标进行进一步审核，对投标文件中大小写金额不一致等问题的评审原则如下：</w:t>
      </w:r>
    </w:p>
    <w:p w14:paraId="13E9290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9E8ED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5</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评委会将按上述修正错误的方法调整投标文件中的投标报价，调整后的价格应对投标人具有约束力。如果投标人不接受修正后的价格，则其投标将被拒绝。</w:t>
      </w:r>
    </w:p>
    <w:p w14:paraId="2B178EE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46B75B9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十五、无效投标条款和废标条款</w:t>
      </w:r>
    </w:p>
    <w:p w14:paraId="6596FAD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无效投标条款</w:t>
      </w:r>
    </w:p>
    <w:p w14:paraId="1A52091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1.1未按照招标文件规定要求密封、签署、盖章的；</w:t>
      </w:r>
    </w:p>
    <w:p w14:paraId="2771D2A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1.2投标人在报价时采用选择性报价；</w:t>
      </w:r>
    </w:p>
    <w:p w14:paraId="5C14249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1.3投标人不具备招标文件中规定资格要求的；</w:t>
      </w:r>
    </w:p>
    <w:p w14:paraId="0D66A1E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1.4投标人的报价超过了采购预算的；</w:t>
      </w:r>
    </w:p>
    <w:p w14:paraId="04D23D3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1.5未通过符合性检查的；</w:t>
      </w:r>
    </w:p>
    <w:p w14:paraId="0566BCA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1.6不符合招标文件中规定的其他实质性要求和条件的；</w:t>
      </w:r>
    </w:p>
    <w:p w14:paraId="1F29BBEF">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1.7投标文件含有</w:t>
      </w:r>
      <w:r>
        <w:rPr>
          <w:rFonts w:hint="eastAsia" w:ascii="宋体" w:hAnsi="宋体" w:eastAsia="宋体" w:cs="宋体"/>
          <w:bCs/>
          <w:sz w:val="24"/>
          <w:lang w:eastAsia="zh-CN"/>
        </w:rPr>
        <w:t>招标人</w:t>
      </w:r>
      <w:r>
        <w:rPr>
          <w:rFonts w:hint="eastAsia" w:ascii="宋体" w:hAnsi="宋体" w:eastAsia="宋体" w:cs="宋体"/>
          <w:bCs/>
          <w:sz w:val="24"/>
        </w:rPr>
        <w:t>不能接受的附加条件的</w:t>
      </w:r>
      <w:r>
        <w:rPr>
          <w:rFonts w:hint="eastAsia" w:ascii="宋体" w:hAnsi="宋体" w:cs="宋体"/>
          <w:bCs/>
          <w:sz w:val="24"/>
          <w:lang w:eastAsia="zh-CN"/>
        </w:rPr>
        <w:t>；</w:t>
      </w:r>
    </w:p>
    <w:p w14:paraId="6E4E6AF3">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lang w:eastAsia="zh-CN"/>
        </w:rPr>
        <w:t>；</w:t>
      </w:r>
    </w:p>
    <w:p w14:paraId="78D4B820">
      <w:pPr>
        <w:snapToGrid w:val="0"/>
        <w:spacing w:line="360" w:lineRule="auto"/>
        <w:ind w:firstLine="482" w:firstLineChars="200"/>
        <w:rPr>
          <w:rFonts w:hint="eastAsia" w:ascii="宋体" w:hAnsi="宋体" w:eastAsia="宋体" w:cs="宋体"/>
          <w:b/>
          <w:bCs w:val="0"/>
          <w:sz w:val="24"/>
        </w:rPr>
      </w:pPr>
      <w:r>
        <w:rPr>
          <w:rFonts w:hint="eastAsia" w:ascii="宋体" w:hAnsi="宋体" w:eastAsia="宋体" w:cs="宋体"/>
          <w:b/>
          <w:bCs w:val="0"/>
          <w:sz w:val="24"/>
        </w:rPr>
        <w:t>1.9</w:t>
      </w:r>
      <w:r>
        <w:rPr>
          <w:rFonts w:hint="eastAsia" w:ascii="宋体" w:hAnsi="宋体" w:eastAsia="宋体" w:cs="宋体"/>
          <w:b/>
          <w:bCs w:val="0"/>
          <w:sz w:val="24"/>
          <w:lang w:eastAsia="zh-CN"/>
        </w:rPr>
        <w:t>投标人</w:t>
      </w:r>
      <w:r>
        <w:rPr>
          <w:rFonts w:hint="eastAsia" w:ascii="宋体" w:hAnsi="宋体" w:eastAsia="宋体" w:cs="宋体"/>
          <w:b/>
          <w:bCs w:val="0"/>
          <w:sz w:val="24"/>
        </w:rPr>
        <w:t>的商务技术标得分低于招标文件商务技术标</w:t>
      </w:r>
      <w:r>
        <w:rPr>
          <w:rFonts w:hint="eastAsia" w:ascii="宋体" w:hAnsi="宋体" w:eastAsia="宋体" w:cs="宋体"/>
          <w:b/>
          <w:bCs w:val="0"/>
          <w:sz w:val="24"/>
          <w:lang w:val="en-US" w:eastAsia="zh-CN"/>
        </w:rPr>
        <w:t>总分值</w:t>
      </w:r>
      <w:r>
        <w:rPr>
          <w:rFonts w:hint="eastAsia" w:ascii="宋体" w:hAnsi="宋体" w:eastAsia="宋体" w:cs="宋体"/>
          <w:b/>
          <w:bCs w:val="0"/>
          <w:sz w:val="24"/>
        </w:rPr>
        <w:t>的50%</w:t>
      </w:r>
      <w:r>
        <w:rPr>
          <w:rFonts w:hint="eastAsia" w:ascii="宋体" w:hAnsi="宋体" w:cs="宋体"/>
          <w:b/>
          <w:bCs w:val="0"/>
          <w:sz w:val="24"/>
          <w:lang w:eastAsia="zh-CN"/>
        </w:rPr>
        <w:t>的</w:t>
      </w:r>
      <w:r>
        <w:rPr>
          <w:rFonts w:hint="eastAsia" w:ascii="宋体" w:hAnsi="宋体" w:eastAsia="宋体" w:cs="宋体"/>
          <w:b/>
          <w:bCs w:val="0"/>
          <w:sz w:val="24"/>
        </w:rPr>
        <w:t>；</w:t>
      </w:r>
    </w:p>
    <w:p w14:paraId="3D65BF4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10</w:t>
      </w:r>
      <w:r>
        <w:rPr>
          <w:rFonts w:hint="eastAsia" w:ascii="宋体" w:hAnsi="宋体" w:eastAsia="宋体" w:cs="宋体"/>
          <w:sz w:val="24"/>
        </w:rPr>
        <w:t>在开标现场，通过“企查查或天眼查”查询投标单位之间存在法定的关联性关系；</w:t>
      </w:r>
    </w:p>
    <w:p w14:paraId="21C6368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11</w:t>
      </w:r>
      <w:r>
        <w:rPr>
          <w:rFonts w:hint="eastAsia" w:ascii="宋体" w:hAnsi="宋体" w:eastAsia="宋体" w:cs="宋体"/>
          <w:bCs/>
          <w:sz w:val="24"/>
        </w:rPr>
        <w:t>其他法律、法规及本招标文件规定的属无效投标的情形。</w:t>
      </w:r>
    </w:p>
    <w:p w14:paraId="5FE426C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废标条款：</w:t>
      </w:r>
    </w:p>
    <w:p w14:paraId="3508CFB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2.1符合专业条件的</w:t>
      </w:r>
      <w:r>
        <w:rPr>
          <w:rFonts w:hint="eastAsia" w:ascii="宋体" w:hAnsi="宋体" w:eastAsia="宋体" w:cs="宋体"/>
          <w:bCs/>
          <w:sz w:val="24"/>
          <w:lang w:eastAsia="zh-CN"/>
        </w:rPr>
        <w:t>投标人</w:t>
      </w:r>
      <w:r>
        <w:rPr>
          <w:rFonts w:hint="eastAsia" w:ascii="宋体" w:hAnsi="宋体" w:eastAsia="宋体" w:cs="宋体"/>
          <w:bCs/>
          <w:sz w:val="24"/>
        </w:rPr>
        <w:t>或者对招标文件作实质响应的</w:t>
      </w:r>
      <w:r>
        <w:rPr>
          <w:rFonts w:hint="eastAsia" w:ascii="宋体" w:hAnsi="宋体" w:eastAsia="宋体" w:cs="宋体"/>
          <w:bCs/>
          <w:sz w:val="24"/>
          <w:lang w:eastAsia="zh-CN"/>
        </w:rPr>
        <w:t>投标人</w:t>
      </w:r>
      <w:r>
        <w:rPr>
          <w:rFonts w:hint="eastAsia" w:ascii="宋体" w:hAnsi="宋体" w:eastAsia="宋体" w:cs="宋体"/>
          <w:bCs/>
          <w:sz w:val="24"/>
        </w:rPr>
        <w:t>不足三家的；</w:t>
      </w:r>
    </w:p>
    <w:p w14:paraId="065DCC3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2.2出现影响采购公正的违法、违规行为的；</w:t>
      </w:r>
    </w:p>
    <w:p w14:paraId="145B10C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2.3投标人的报价均超过预算，</w:t>
      </w:r>
      <w:r>
        <w:rPr>
          <w:rFonts w:hint="eastAsia" w:ascii="宋体" w:hAnsi="宋体" w:eastAsia="宋体" w:cs="宋体"/>
          <w:bCs/>
          <w:sz w:val="24"/>
          <w:lang w:eastAsia="zh-CN"/>
        </w:rPr>
        <w:t>招标人</w:t>
      </w:r>
      <w:r>
        <w:rPr>
          <w:rFonts w:hint="eastAsia" w:ascii="宋体" w:hAnsi="宋体" w:eastAsia="宋体" w:cs="宋体"/>
          <w:bCs/>
          <w:sz w:val="24"/>
        </w:rPr>
        <w:t>不能支付的；</w:t>
      </w:r>
    </w:p>
    <w:p w14:paraId="3BD198B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2.4因重大变故，采购任务取消的；</w:t>
      </w:r>
    </w:p>
    <w:p w14:paraId="7B921F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2.5评标委员会认定招标文件存在歧义、重大缺陷导致评审工作无法进行。</w:t>
      </w:r>
    </w:p>
    <w:p w14:paraId="183D78D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投标截止时间结束后参加投标的</w:t>
      </w:r>
      <w:r>
        <w:rPr>
          <w:rFonts w:hint="eastAsia" w:ascii="宋体" w:hAnsi="宋体" w:eastAsia="宋体" w:cs="宋体"/>
          <w:bCs/>
          <w:sz w:val="24"/>
          <w:lang w:eastAsia="zh-CN"/>
        </w:rPr>
        <w:t>投标人</w:t>
      </w:r>
      <w:r>
        <w:rPr>
          <w:rFonts w:hint="eastAsia" w:ascii="宋体" w:hAnsi="宋体" w:eastAsia="宋体" w:cs="宋体"/>
          <w:bCs/>
          <w:sz w:val="24"/>
        </w:rPr>
        <w:t>不足三家的按照财政部第87号令第四十三条的规定执行。</w:t>
      </w:r>
    </w:p>
    <w:p w14:paraId="0AFAFD75">
      <w:pPr>
        <w:snapToGrid w:val="0"/>
        <w:spacing w:line="360" w:lineRule="auto"/>
        <w:ind w:firstLine="482" w:firstLineChars="200"/>
        <w:outlineLvl w:val="1"/>
        <w:rPr>
          <w:rFonts w:hint="eastAsia" w:ascii="宋体" w:hAnsi="宋体" w:eastAsia="宋体" w:cs="宋体"/>
          <w:b/>
          <w:bCs/>
          <w:sz w:val="24"/>
        </w:rPr>
      </w:pPr>
      <w:bookmarkStart w:id="20" w:name="_Toc513029238"/>
      <w:bookmarkStart w:id="21" w:name="_Toc20823310"/>
      <w:bookmarkStart w:id="22" w:name="_Toc16938554"/>
      <w:r>
        <w:rPr>
          <w:rFonts w:hint="eastAsia" w:ascii="宋体" w:hAnsi="宋体" w:eastAsia="宋体" w:cs="宋体"/>
          <w:b/>
          <w:bCs/>
          <w:sz w:val="24"/>
        </w:rPr>
        <w:t>十六、</w:t>
      </w:r>
      <w:bookmarkEnd w:id="20"/>
      <w:r>
        <w:rPr>
          <w:rFonts w:hint="eastAsia" w:ascii="宋体" w:hAnsi="宋体" w:eastAsia="宋体" w:cs="宋体"/>
          <w:b/>
          <w:bCs/>
          <w:sz w:val="24"/>
        </w:rPr>
        <w:t>确定</w:t>
      </w:r>
      <w:bookmarkEnd w:id="21"/>
      <w:bookmarkEnd w:id="22"/>
      <w:r>
        <w:rPr>
          <w:rFonts w:hint="eastAsia" w:ascii="宋体" w:hAnsi="宋体" w:eastAsia="宋体" w:cs="宋体"/>
          <w:b/>
          <w:bCs/>
          <w:sz w:val="24"/>
        </w:rPr>
        <w:t>中标单位</w:t>
      </w:r>
    </w:p>
    <w:p w14:paraId="4D7DF0C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评委会根据本招标文件规定评分办法与评分标准评出中标人。</w:t>
      </w:r>
    </w:p>
    <w:p w14:paraId="75D68A2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代理机构将在“</w:t>
      </w:r>
      <w:r>
        <w:rPr>
          <w:rFonts w:hint="eastAsia" w:ascii="宋体" w:hAnsi="宋体" w:eastAsia="宋体" w:cs="宋体"/>
          <w:bCs/>
          <w:sz w:val="24"/>
          <w:lang w:eastAsia="zh-CN"/>
        </w:rPr>
        <w:t>南通职业大学采购与招标信息网</w:t>
      </w:r>
      <w:r>
        <w:rPr>
          <w:rFonts w:hint="eastAsia" w:ascii="宋体" w:hAnsi="宋体" w:eastAsia="宋体" w:cs="宋体"/>
          <w:bCs/>
          <w:sz w:val="24"/>
        </w:rPr>
        <w:t>”发布中标公告，公告期限为1个工作日。</w:t>
      </w:r>
    </w:p>
    <w:p w14:paraId="1B35D63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若有充分证据证明，中标人出现下列情况之一的，一经查实，将被取消中标资格：</w:t>
      </w:r>
    </w:p>
    <w:p w14:paraId="55D59BE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3.1提供虚假材料谋取中标的；</w:t>
      </w:r>
    </w:p>
    <w:p w14:paraId="12E7D74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3.2向</w:t>
      </w:r>
      <w:r>
        <w:rPr>
          <w:rFonts w:hint="eastAsia" w:ascii="宋体" w:hAnsi="宋体" w:eastAsia="宋体" w:cs="宋体"/>
          <w:bCs/>
          <w:sz w:val="24"/>
          <w:lang w:eastAsia="zh-CN"/>
        </w:rPr>
        <w:t>招标人</w:t>
      </w:r>
      <w:r>
        <w:rPr>
          <w:rFonts w:hint="eastAsia" w:ascii="宋体" w:hAnsi="宋体" w:eastAsia="宋体" w:cs="宋体"/>
          <w:bCs/>
          <w:sz w:val="24"/>
        </w:rPr>
        <w:t>、代理机构行贿或者提供其他不正当利益的；</w:t>
      </w:r>
    </w:p>
    <w:p w14:paraId="4EFCBDB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3.3恶意竞争，投标总报价明显低于其自身合理成本且又无法提供证明的；</w:t>
      </w:r>
    </w:p>
    <w:p w14:paraId="4068D47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3.4属于本文件规定的无效条件，但在评标过程中又未被评委会发现的；</w:t>
      </w:r>
    </w:p>
    <w:p w14:paraId="13B6073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3.5与</w:t>
      </w:r>
      <w:r>
        <w:rPr>
          <w:rFonts w:hint="eastAsia" w:ascii="宋体" w:hAnsi="宋体" w:eastAsia="宋体" w:cs="宋体"/>
          <w:bCs/>
          <w:sz w:val="24"/>
          <w:lang w:eastAsia="zh-CN"/>
        </w:rPr>
        <w:t>招标人</w:t>
      </w:r>
      <w:r>
        <w:rPr>
          <w:rFonts w:hint="eastAsia" w:ascii="宋体" w:hAnsi="宋体" w:eastAsia="宋体" w:cs="宋体"/>
          <w:bCs/>
          <w:sz w:val="24"/>
        </w:rPr>
        <w:t>或者其他</w:t>
      </w:r>
      <w:r>
        <w:rPr>
          <w:rFonts w:hint="eastAsia" w:ascii="宋体" w:hAnsi="宋体" w:eastAsia="宋体" w:cs="宋体"/>
          <w:bCs/>
          <w:sz w:val="24"/>
          <w:lang w:eastAsia="zh-CN"/>
        </w:rPr>
        <w:t>投标人</w:t>
      </w:r>
      <w:r>
        <w:rPr>
          <w:rFonts w:hint="eastAsia" w:ascii="宋体" w:hAnsi="宋体" w:eastAsia="宋体" w:cs="宋体"/>
          <w:bCs/>
          <w:sz w:val="24"/>
        </w:rPr>
        <w:t>恶意串通的；</w:t>
      </w:r>
    </w:p>
    <w:p w14:paraId="536D5EE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3.6采取不正当手段诋毁、排挤其他</w:t>
      </w:r>
      <w:r>
        <w:rPr>
          <w:rFonts w:hint="eastAsia" w:ascii="宋体" w:hAnsi="宋体" w:eastAsia="宋体" w:cs="宋体"/>
          <w:bCs/>
          <w:sz w:val="24"/>
          <w:lang w:eastAsia="zh-CN"/>
        </w:rPr>
        <w:t>投标人</w:t>
      </w:r>
      <w:r>
        <w:rPr>
          <w:rFonts w:hint="eastAsia" w:ascii="宋体" w:hAnsi="宋体" w:eastAsia="宋体" w:cs="宋体"/>
          <w:bCs/>
          <w:sz w:val="24"/>
        </w:rPr>
        <w:t>的；</w:t>
      </w:r>
    </w:p>
    <w:p w14:paraId="0D3FC98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3.7不符合法律、法规的规定的。</w:t>
      </w:r>
    </w:p>
    <w:p w14:paraId="1853E7D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w:t>
      </w:r>
      <w:r>
        <w:rPr>
          <w:rFonts w:hint="eastAsia" w:ascii="宋体" w:hAnsi="宋体" w:eastAsia="宋体" w:cs="宋体"/>
          <w:bCs/>
          <w:sz w:val="24"/>
        </w:rPr>
        <w:t>有下列情形之一的，属于恶意串通：</w:t>
      </w:r>
    </w:p>
    <w:p w14:paraId="00A16D2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投标人</w:t>
      </w:r>
      <w:r>
        <w:rPr>
          <w:rFonts w:hint="eastAsia" w:ascii="宋体" w:hAnsi="宋体" w:eastAsia="宋体" w:cs="宋体"/>
          <w:bCs/>
          <w:sz w:val="24"/>
        </w:rPr>
        <w:t>直接或者间接从</w:t>
      </w:r>
      <w:r>
        <w:rPr>
          <w:rFonts w:hint="eastAsia" w:ascii="宋体" w:hAnsi="宋体" w:eastAsia="宋体" w:cs="宋体"/>
          <w:bCs/>
          <w:sz w:val="24"/>
          <w:lang w:eastAsia="zh-CN"/>
        </w:rPr>
        <w:t>招标人</w:t>
      </w:r>
      <w:r>
        <w:rPr>
          <w:rFonts w:hint="eastAsia" w:ascii="宋体" w:hAnsi="宋体" w:eastAsia="宋体" w:cs="宋体"/>
          <w:bCs/>
          <w:sz w:val="24"/>
        </w:rPr>
        <w:t>或者采购代理机构处获得其他</w:t>
      </w:r>
      <w:r>
        <w:rPr>
          <w:rFonts w:hint="eastAsia" w:ascii="宋体" w:hAnsi="宋体" w:eastAsia="宋体" w:cs="宋体"/>
          <w:bCs/>
          <w:sz w:val="24"/>
          <w:lang w:eastAsia="zh-CN"/>
        </w:rPr>
        <w:t>投标人</w:t>
      </w:r>
      <w:r>
        <w:rPr>
          <w:rFonts w:hint="eastAsia" w:ascii="宋体" w:hAnsi="宋体" w:eastAsia="宋体" w:cs="宋体"/>
          <w:bCs/>
          <w:sz w:val="24"/>
        </w:rPr>
        <w:t>的相关情况并修改其投标文件或者响应文件；</w:t>
      </w:r>
    </w:p>
    <w:p w14:paraId="60EF1BE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投标人</w:t>
      </w:r>
      <w:r>
        <w:rPr>
          <w:rFonts w:hint="eastAsia" w:ascii="宋体" w:hAnsi="宋体" w:eastAsia="宋体" w:cs="宋体"/>
          <w:bCs/>
          <w:sz w:val="24"/>
        </w:rPr>
        <w:t>按照</w:t>
      </w:r>
      <w:r>
        <w:rPr>
          <w:rFonts w:hint="eastAsia" w:ascii="宋体" w:hAnsi="宋体" w:eastAsia="宋体" w:cs="宋体"/>
          <w:bCs/>
          <w:sz w:val="24"/>
          <w:lang w:eastAsia="zh-CN"/>
        </w:rPr>
        <w:t>招标人</w:t>
      </w:r>
      <w:r>
        <w:rPr>
          <w:rFonts w:hint="eastAsia" w:ascii="宋体" w:hAnsi="宋体" w:eastAsia="宋体" w:cs="宋体"/>
          <w:bCs/>
          <w:sz w:val="24"/>
        </w:rPr>
        <w:t>或者采购代理机构的授意撤换、修改投标文件或者响应文件；</w:t>
      </w:r>
    </w:p>
    <w:p w14:paraId="328AF60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w:t>
      </w:r>
      <w:r>
        <w:rPr>
          <w:rFonts w:hint="eastAsia" w:ascii="宋体" w:hAnsi="宋体" w:eastAsia="宋体" w:cs="宋体"/>
          <w:bCs/>
          <w:sz w:val="24"/>
          <w:lang w:eastAsia="zh-CN"/>
        </w:rPr>
        <w:t>投标人</w:t>
      </w:r>
      <w:r>
        <w:rPr>
          <w:rFonts w:hint="eastAsia" w:ascii="宋体" w:hAnsi="宋体" w:eastAsia="宋体" w:cs="宋体"/>
          <w:bCs/>
          <w:sz w:val="24"/>
        </w:rPr>
        <w:t>之间协商报价、技术方案等投标文件或者响应文件的实质性内容；</w:t>
      </w:r>
    </w:p>
    <w:p w14:paraId="459146F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4.4属于同一集团、协会、商会等组织成员的</w:t>
      </w:r>
      <w:r>
        <w:rPr>
          <w:rFonts w:hint="eastAsia" w:ascii="宋体" w:hAnsi="宋体" w:eastAsia="宋体" w:cs="宋体"/>
          <w:bCs/>
          <w:sz w:val="24"/>
          <w:lang w:eastAsia="zh-CN"/>
        </w:rPr>
        <w:t>投标人</w:t>
      </w:r>
      <w:r>
        <w:rPr>
          <w:rFonts w:hint="eastAsia" w:ascii="宋体" w:hAnsi="宋体" w:eastAsia="宋体" w:cs="宋体"/>
          <w:bCs/>
          <w:sz w:val="24"/>
        </w:rPr>
        <w:t>按照该组织要求协同参加采购活动；</w:t>
      </w:r>
    </w:p>
    <w:p w14:paraId="4C83118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w:t>
      </w:r>
      <w:r>
        <w:rPr>
          <w:rFonts w:hint="eastAsia" w:ascii="宋体" w:hAnsi="宋体" w:eastAsia="宋体" w:cs="宋体"/>
          <w:bCs/>
          <w:sz w:val="24"/>
          <w:lang w:eastAsia="zh-CN"/>
        </w:rPr>
        <w:t>投标人</w:t>
      </w:r>
      <w:r>
        <w:rPr>
          <w:rFonts w:hint="eastAsia" w:ascii="宋体" w:hAnsi="宋体" w:eastAsia="宋体" w:cs="宋体"/>
          <w:bCs/>
          <w:sz w:val="24"/>
        </w:rPr>
        <w:t>之间事先约定由某一特定</w:t>
      </w:r>
      <w:r>
        <w:rPr>
          <w:rFonts w:hint="eastAsia" w:ascii="宋体" w:hAnsi="宋体" w:eastAsia="宋体" w:cs="宋体"/>
          <w:bCs/>
          <w:sz w:val="24"/>
          <w:lang w:eastAsia="zh-CN"/>
        </w:rPr>
        <w:t>投标人</w:t>
      </w:r>
      <w:r>
        <w:rPr>
          <w:rFonts w:hint="eastAsia" w:ascii="宋体" w:hAnsi="宋体" w:eastAsia="宋体" w:cs="宋体"/>
          <w:bCs/>
          <w:sz w:val="24"/>
        </w:rPr>
        <w:t>中标、成交；</w:t>
      </w:r>
    </w:p>
    <w:p w14:paraId="4659890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w:t>
      </w:r>
      <w:r>
        <w:rPr>
          <w:rFonts w:hint="eastAsia" w:ascii="宋体" w:hAnsi="宋体" w:eastAsia="宋体" w:cs="宋体"/>
          <w:bCs/>
          <w:sz w:val="24"/>
          <w:lang w:eastAsia="zh-CN"/>
        </w:rPr>
        <w:t>投标人</w:t>
      </w:r>
      <w:r>
        <w:rPr>
          <w:rFonts w:hint="eastAsia" w:ascii="宋体" w:hAnsi="宋体" w:eastAsia="宋体" w:cs="宋体"/>
          <w:bCs/>
          <w:sz w:val="24"/>
        </w:rPr>
        <w:t>之间商定部分</w:t>
      </w:r>
      <w:r>
        <w:rPr>
          <w:rFonts w:hint="eastAsia" w:ascii="宋体" w:hAnsi="宋体" w:eastAsia="宋体" w:cs="宋体"/>
          <w:bCs/>
          <w:sz w:val="24"/>
          <w:lang w:eastAsia="zh-CN"/>
        </w:rPr>
        <w:t>投标人</w:t>
      </w:r>
      <w:r>
        <w:rPr>
          <w:rFonts w:hint="eastAsia" w:ascii="宋体" w:hAnsi="宋体" w:eastAsia="宋体" w:cs="宋体"/>
          <w:bCs/>
          <w:sz w:val="24"/>
        </w:rPr>
        <w:t>放弃参加采购活动或者放弃中标、成交；</w:t>
      </w:r>
    </w:p>
    <w:p w14:paraId="6792575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4.7</w:t>
      </w:r>
      <w:r>
        <w:rPr>
          <w:rFonts w:hint="eastAsia" w:ascii="宋体" w:hAnsi="宋体" w:eastAsia="宋体" w:cs="宋体"/>
          <w:bCs/>
          <w:sz w:val="24"/>
          <w:lang w:eastAsia="zh-CN"/>
        </w:rPr>
        <w:t>投标人</w:t>
      </w:r>
      <w:r>
        <w:rPr>
          <w:rFonts w:hint="eastAsia" w:ascii="宋体" w:hAnsi="宋体" w:eastAsia="宋体" w:cs="宋体"/>
          <w:bCs/>
          <w:sz w:val="24"/>
        </w:rPr>
        <w:t>与</w:t>
      </w:r>
      <w:r>
        <w:rPr>
          <w:rFonts w:hint="eastAsia" w:ascii="宋体" w:hAnsi="宋体" w:eastAsia="宋体" w:cs="宋体"/>
          <w:bCs/>
          <w:sz w:val="24"/>
          <w:lang w:eastAsia="zh-CN"/>
        </w:rPr>
        <w:t>招标人</w:t>
      </w:r>
      <w:r>
        <w:rPr>
          <w:rFonts w:hint="eastAsia" w:ascii="宋体" w:hAnsi="宋体" w:eastAsia="宋体" w:cs="宋体"/>
          <w:bCs/>
          <w:sz w:val="24"/>
        </w:rPr>
        <w:t>或者采购代理机构之间、</w:t>
      </w:r>
      <w:r>
        <w:rPr>
          <w:rFonts w:hint="eastAsia" w:ascii="宋体" w:hAnsi="宋体" w:eastAsia="宋体" w:cs="宋体"/>
          <w:bCs/>
          <w:sz w:val="24"/>
          <w:lang w:eastAsia="zh-CN"/>
        </w:rPr>
        <w:t>投标人</w:t>
      </w:r>
      <w:r>
        <w:rPr>
          <w:rFonts w:hint="eastAsia" w:ascii="宋体" w:hAnsi="宋体" w:eastAsia="宋体" w:cs="宋体"/>
          <w:bCs/>
          <w:sz w:val="24"/>
        </w:rPr>
        <w:t>相互之间，为谋求特定</w:t>
      </w:r>
      <w:r>
        <w:rPr>
          <w:rFonts w:hint="eastAsia" w:ascii="宋体" w:hAnsi="宋体" w:eastAsia="宋体" w:cs="宋体"/>
          <w:bCs/>
          <w:sz w:val="24"/>
          <w:lang w:eastAsia="zh-CN"/>
        </w:rPr>
        <w:t>投标人</w:t>
      </w:r>
      <w:r>
        <w:rPr>
          <w:rFonts w:hint="eastAsia" w:ascii="宋体" w:hAnsi="宋体" w:eastAsia="宋体" w:cs="宋体"/>
          <w:bCs/>
          <w:sz w:val="24"/>
        </w:rPr>
        <w:t>中标、成交或者排斥其他</w:t>
      </w:r>
      <w:r>
        <w:rPr>
          <w:rFonts w:hint="eastAsia" w:ascii="宋体" w:hAnsi="宋体" w:eastAsia="宋体" w:cs="宋体"/>
          <w:bCs/>
          <w:sz w:val="24"/>
          <w:lang w:eastAsia="zh-CN"/>
        </w:rPr>
        <w:t>投标人</w:t>
      </w:r>
      <w:r>
        <w:rPr>
          <w:rFonts w:hint="eastAsia" w:ascii="宋体" w:hAnsi="宋体" w:eastAsia="宋体" w:cs="宋体"/>
          <w:bCs/>
          <w:sz w:val="24"/>
        </w:rPr>
        <w:t>的其他串通行为。</w:t>
      </w:r>
    </w:p>
    <w:p w14:paraId="1567328D">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十七、中标通知书</w:t>
      </w:r>
    </w:p>
    <w:p w14:paraId="39B94FF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w:t>
      </w:r>
      <w:r>
        <w:rPr>
          <w:rFonts w:hint="eastAsia" w:ascii="宋体" w:hAnsi="宋体" w:eastAsia="宋体" w:cs="宋体"/>
          <w:bCs/>
          <w:sz w:val="24"/>
        </w:rPr>
        <w:t>向</w:t>
      </w:r>
      <w:r>
        <w:rPr>
          <w:rFonts w:hint="eastAsia" w:ascii="宋体" w:hAnsi="宋体" w:eastAsia="宋体" w:cs="宋体"/>
          <w:bCs/>
          <w:sz w:val="24"/>
          <w:lang w:eastAsia="zh-CN"/>
        </w:rPr>
        <w:t>中标人</w:t>
      </w:r>
      <w:r>
        <w:rPr>
          <w:rFonts w:hint="eastAsia" w:ascii="宋体" w:hAnsi="宋体" w:eastAsia="宋体" w:cs="宋体"/>
          <w:bCs/>
          <w:sz w:val="24"/>
        </w:rPr>
        <w:t>发出中标通知书。</w:t>
      </w:r>
    </w:p>
    <w:p w14:paraId="486A149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中标通知书将是合同的一个组成部分。对</w:t>
      </w:r>
      <w:r>
        <w:rPr>
          <w:rFonts w:hint="eastAsia" w:ascii="宋体" w:hAnsi="宋体" w:eastAsia="宋体" w:cs="宋体"/>
          <w:bCs/>
          <w:sz w:val="24"/>
          <w:lang w:eastAsia="zh-CN"/>
        </w:rPr>
        <w:t>招标人</w:t>
      </w:r>
      <w:r>
        <w:rPr>
          <w:rFonts w:hint="eastAsia" w:ascii="宋体" w:hAnsi="宋体" w:eastAsia="宋体" w:cs="宋体"/>
          <w:bCs/>
          <w:sz w:val="24"/>
        </w:rPr>
        <w:t>和</w:t>
      </w:r>
      <w:r>
        <w:rPr>
          <w:rFonts w:hint="eastAsia" w:ascii="宋体" w:hAnsi="宋体" w:eastAsia="宋体" w:cs="宋体"/>
          <w:bCs/>
          <w:sz w:val="24"/>
          <w:lang w:eastAsia="zh-CN"/>
        </w:rPr>
        <w:t>中标人</w:t>
      </w:r>
      <w:r>
        <w:rPr>
          <w:rFonts w:hint="eastAsia" w:ascii="宋体" w:hAnsi="宋体" w:eastAsia="宋体" w:cs="宋体"/>
          <w:bCs/>
          <w:sz w:val="24"/>
        </w:rPr>
        <w:t>均具有法律效力。中标通知书发出后，</w:t>
      </w:r>
      <w:r>
        <w:rPr>
          <w:rFonts w:hint="eastAsia" w:ascii="宋体" w:hAnsi="宋体" w:eastAsia="宋体" w:cs="宋体"/>
          <w:bCs/>
          <w:sz w:val="24"/>
          <w:lang w:eastAsia="zh-CN"/>
        </w:rPr>
        <w:t>招标人</w:t>
      </w:r>
      <w:r>
        <w:rPr>
          <w:rFonts w:hint="eastAsia" w:ascii="宋体" w:hAnsi="宋体" w:eastAsia="宋体" w:cs="宋体"/>
          <w:bCs/>
          <w:sz w:val="24"/>
        </w:rPr>
        <w:t>改变中标结果的，或者</w:t>
      </w:r>
      <w:r>
        <w:rPr>
          <w:rFonts w:hint="eastAsia" w:ascii="宋体" w:hAnsi="宋体" w:eastAsia="宋体" w:cs="宋体"/>
          <w:bCs/>
          <w:sz w:val="24"/>
          <w:lang w:eastAsia="zh-CN"/>
        </w:rPr>
        <w:t>中标人</w:t>
      </w:r>
      <w:r>
        <w:rPr>
          <w:rFonts w:hint="eastAsia" w:ascii="宋体" w:hAnsi="宋体" w:eastAsia="宋体" w:cs="宋体"/>
          <w:bCs/>
          <w:sz w:val="24"/>
        </w:rPr>
        <w:t>放弃中标项目的，应当依法承担法律责任。</w:t>
      </w:r>
    </w:p>
    <w:p w14:paraId="512EC9DE">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十八、签订合同</w:t>
      </w:r>
    </w:p>
    <w:p w14:paraId="43FB463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中标人应按中标通知书规定的时间、地点,按照招标文件确定的事项与</w:t>
      </w:r>
      <w:r>
        <w:rPr>
          <w:rFonts w:hint="eastAsia" w:ascii="宋体" w:hAnsi="宋体" w:eastAsia="宋体" w:cs="宋体"/>
          <w:bCs/>
          <w:sz w:val="24"/>
          <w:lang w:eastAsia="zh-CN"/>
        </w:rPr>
        <w:t>招标人</w:t>
      </w:r>
      <w:r>
        <w:rPr>
          <w:rFonts w:hint="eastAsia" w:ascii="宋体" w:hAnsi="宋体" w:eastAsia="宋体" w:cs="宋体"/>
          <w:bCs/>
          <w:sz w:val="24"/>
        </w:rPr>
        <w:t>签订采购合同（中标人在签订合同前须先向招标人缴纳符合招标文件要求的合同履约保证金，否则，招标人有权拒绝与中标人签订合同且不属招标人违约），且不得迟于中标通知书发出之日</w:t>
      </w:r>
      <w:r>
        <w:rPr>
          <w:rFonts w:hint="eastAsia" w:ascii="宋体" w:hAnsi="宋体" w:eastAsia="宋体" w:cs="宋体"/>
          <w:bCs/>
          <w:sz w:val="24"/>
          <w:highlight w:val="none"/>
        </w:rPr>
        <w:t>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w:t>
      </w:r>
      <w:r>
        <w:rPr>
          <w:rFonts w:hint="eastAsia" w:ascii="宋体" w:hAnsi="宋体" w:eastAsia="宋体" w:cs="宋体"/>
          <w:bCs/>
          <w:sz w:val="24"/>
        </w:rPr>
        <w:t>，否则给</w:t>
      </w:r>
      <w:r>
        <w:rPr>
          <w:rFonts w:hint="eastAsia" w:ascii="宋体" w:hAnsi="宋体" w:eastAsia="宋体" w:cs="宋体"/>
          <w:bCs/>
          <w:sz w:val="24"/>
          <w:lang w:eastAsia="zh-CN"/>
        </w:rPr>
        <w:t>招标人</w:t>
      </w:r>
      <w:r>
        <w:rPr>
          <w:rFonts w:hint="eastAsia" w:ascii="宋体" w:hAnsi="宋体" w:eastAsia="宋体" w:cs="宋体"/>
          <w:bCs/>
          <w:sz w:val="24"/>
        </w:rPr>
        <w:t>造成损失的，中标人还应承担赔偿责任。</w:t>
      </w:r>
    </w:p>
    <w:p w14:paraId="08562FE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招标文件、中标人的投标文件及招标过程中有关澄清、承诺文件均应作为合同附件。</w:t>
      </w:r>
    </w:p>
    <w:p w14:paraId="0019AFB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签订合同后，中标人不得将服务及其他相关服务进行转包。未经</w:t>
      </w:r>
      <w:r>
        <w:rPr>
          <w:rFonts w:hint="eastAsia" w:ascii="宋体" w:hAnsi="宋体" w:eastAsia="宋体" w:cs="宋体"/>
          <w:bCs/>
          <w:sz w:val="24"/>
          <w:lang w:eastAsia="zh-CN"/>
        </w:rPr>
        <w:t>招标人</w:t>
      </w:r>
      <w:r>
        <w:rPr>
          <w:rFonts w:hint="eastAsia" w:ascii="宋体" w:hAnsi="宋体" w:eastAsia="宋体" w:cs="宋体"/>
          <w:bCs/>
          <w:sz w:val="24"/>
        </w:rPr>
        <w:t>同意，中标人也不得采用分包的形式履行合同，否则</w:t>
      </w:r>
      <w:r>
        <w:rPr>
          <w:rFonts w:hint="eastAsia" w:ascii="宋体" w:hAnsi="宋体" w:eastAsia="宋体" w:cs="宋体"/>
          <w:bCs/>
          <w:sz w:val="24"/>
          <w:lang w:eastAsia="zh-CN"/>
        </w:rPr>
        <w:t>招标人</w:t>
      </w:r>
      <w:r>
        <w:rPr>
          <w:rFonts w:hint="eastAsia" w:ascii="宋体" w:hAnsi="宋体" w:eastAsia="宋体" w:cs="宋体"/>
          <w:bCs/>
          <w:sz w:val="24"/>
        </w:rPr>
        <w:t>有权终止合同，中标人的履约保证金将不予退还。转包或分包造成</w:t>
      </w:r>
      <w:r>
        <w:rPr>
          <w:rFonts w:hint="eastAsia" w:ascii="宋体" w:hAnsi="宋体" w:eastAsia="宋体" w:cs="宋体"/>
          <w:bCs/>
          <w:sz w:val="24"/>
          <w:lang w:eastAsia="zh-CN"/>
        </w:rPr>
        <w:t>招标人</w:t>
      </w:r>
      <w:r>
        <w:rPr>
          <w:rFonts w:hint="eastAsia" w:ascii="宋体" w:hAnsi="宋体" w:eastAsia="宋体" w:cs="宋体"/>
          <w:bCs/>
          <w:sz w:val="24"/>
        </w:rPr>
        <w:t>损失的，中标人应承担相应赔偿责任。</w:t>
      </w:r>
    </w:p>
    <w:p w14:paraId="1948900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十九、货物和服务的追加、减少和添购</w:t>
      </w:r>
    </w:p>
    <w:p w14:paraId="278580E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采购合同履行中，</w:t>
      </w:r>
      <w:r>
        <w:rPr>
          <w:rFonts w:hint="eastAsia" w:ascii="宋体" w:hAnsi="宋体" w:eastAsia="宋体" w:cs="宋体"/>
          <w:bCs/>
          <w:sz w:val="24"/>
          <w:lang w:eastAsia="zh-CN"/>
        </w:rPr>
        <w:t>招标人</w:t>
      </w:r>
      <w:r>
        <w:rPr>
          <w:rFonts w:hint="eastAsia" w:ascii="宋体" w:hAnsi="宋体" w:eastAsia="宋体" w:cs="宋体"/>
          <w:bCs/>
          <w:sz w:val="24"/>
        </w:rPr>
        <w:t>需追加与合同标的相同的货物和服务的，在不改变合同其他条款及预算充足的前提下，可以与中标人协商签订补充合同，但所有补充合同的采购金额不超过原合同金额10%。</w:t>
      </w:r>
    </w:p>
    <w:p w14:paraId="35F597A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采购结束后，</w:t>
      </w:r>
      <w:r>
        <w:rPr>
          <w:rFonts w:hint="eastAsia" w:ascii="宋体" w:hAnsi="宋体" w:eastAsia="宋体" w:cs="宋体"/>
          <w:bCs/>
          <w:sz w:val="24"/>
          <w:lang w:eastAsia="zh-CN"/>
        </w:rPr>
        <w:t>招标人</w:t>
      </w:r>
      <w:r>
        <w:rPr>
          <w:rFonts w:hint="eastAsia" w:ascii="宋体" w:hAnsi="宋体" w:eastAsia="宋体" w:cs="宋体"/>
          <w:bCs/>
          <w:sz w:val="24"/>
        </w:rPr>
        <w:t>若由于各种客观原因，必须对采购项目所牵涉的货物、和服务进行适当的减少时，在双方协商一致的前提下，可以按照招标采购时的价格水平做相应的调减，并据此签订补充合同。</w:t>
      </w:r>
    </w:p>
    <w:p w14:paraId="759D0961">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rPr>
      </w:pPr>
      <w:r>
        <w:rPr>
          <w:rFonts w:hint="eastAsia" w:ascii="宋体" w:hAnsi="宋体" w:eastAsia="宋体" w:cs="宋体"/>
          <w:b/>
          <w:sz w:val="24"/>
        </w:rPr>
        <w:t>二十、履约保证金</w:t>
      </w:r>
    </w:p>
    <w:p w14:paraId="04CB75A2">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lang w:val="zh-CN"/>
        </w:rPr>
      </w:pPr>
      <w:r>
        <w:rPr>
          <w:rFonts w:hint="eastAsia" w:ascii="宋体" w:hAnsi="宋体" w:eastAsia="宋体" w:cs="宋体"/>
          <w:kern w:val="0"/>
          <w:sz w:val="24"/>
          <w:lang w:val="en-US" w:eastAsia="zh-CN"/>
        </w:rPr>
        <w:t>1.</w:t>
      </w:r>
      <w:r>
        <w:rPr>
          <w:rFonts w:hint="eastAsia" w:ascii="宋体" w:hAnsi="宋体" w:eastAsia="宋体" w:cs="宋体"/>
          <w:sz w:val="24"/>
        </w:rPr>
        <w:t>中标人</w:t>
      </w:r>
      <w:r>
        <w:rPr>
          <w:rFonts w:hint="eastAsia" w:ascii="宋体" w:hAnsi="宋体" w:eastAsia="宋体" w:cs="宋体"/>
          <w:kern w:val="0"/>
          <w:sz w:val="24"/>
          <w:lang w:val="zh-CN"/>
        </w:rPr>
        <w:t>需于中标后签订合同前支付给招标人履约保证金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kern w:val="0"/>
          <w:sz w:val="24"/>
          <w:lang w:val="zh-CN"/>
        </w:rPr>
        <w:t>（转至招标人指定账户。户名：南通市财政局，账号：513902006610906，开户行：招商银行南通分行，备注：南通职大继教平台履约保证金），免费维保期结束后，招标人全额返还</w:t>
      </w:r>
      <w:r>
        <w:rPr>
          <w:rFonts w:hint="eastAsia" w:ascii="宋体" w:hAnsi="宋体" w:eastAsia="宋体" w:cs="宋体"/>
          <w:sz w:val="24"/>
        </w:rPr>
        <w:t>中标人</w:t>
      </w:r>
      <w:r>
        <w:rPr>
          <w:rFonts w:hint="eastAsia" w:ascii="宋体" w:hAnsi="宋体" w:eastAsia="宋体" w:cs="宋体"/>
          <w:kern w:val="0"/>
          <w:sz w:val="24"/>
          <w:lang w:val="zh-CN"/>
        </w:rPr>
        <w:t>。</w:t>
      </w:r>
    </w:p>
    <w:p w14:paraId="53FDAFA5">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kern w:val="0"/>
          <w:sz w:val="24"/>
          <w:lang w:val="en-US" w:eastAsia="zh-CN"/>
        </w:rPr>
        <w:t>2.</w:t>
      </w:r>
      <w:r>
        <w:rPr>
          <w:rFonts w:hint="eastAsia" w:ascii="宋体" w:hAnsi="宋体" w:eastAsia="宋体" w:cs="宋体"/>
          <w:kern w:val="0"/>
          <w:sz w:val="24"/>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w:t>
      </w:r>
      <w:r>
        <w:rPr>
          <w:rFonts w:hint="eastAsia" w:ascii="宋体" w:hAnsi="宋体" w:eastAsia="宋体" w:cs="宋体"/>
          <w:sz w:val="24"/>
        </w:rPr>
        <w:t>中标人</w:t>
      </w:r>
      <w:r>
        <w:rPr>
          <w:rFonts w:hint="eastAsia" w:ascii="宋体" w:hAnsi="宋体" w:eastAsia="宋体" w:cs="宋体"/>
          <w:kern w:val="0"/>
          <w:sz w:val="24"/>
          <w:lang w:val="zh-CN"/>
        </w:rPr>
        <w:t>缴纳的履约保证金。</w:t>
      </w:r>
    </w:p>
    <w:p w14:paraId="57D48BC5">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rPr>
      </w:pPr>
      <w:r>
        <w:rPr>
          <w:rFonts w:hint="eastAsia" w:ascii="宋体" w:hAnsi="宋体" w:eastAsia="宋体" w:cs="宋体"/>
          <w:b/>
          <w:color w:val="000000"/>
          <w:sz w:val="24"/>
        </w:rPr>
        <w:t>二十一、有关费用</w:t>
      </w:r>
    </w:p>
    <w:p w14:paraId="39AB52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招标代理费：本项目招标代理费收取标准以中标价(按成交单价乘以预估数量）为基准，乘以招标代理收费费率，由</w:t>
      </w:r>
      <w:r>
        <w:rPr>
          <w:rFonts w:hint="eastAsia" w:ascii="宋体" w:hAnsi="宋体" w:eastAsia="宋体" w:cs="宋体"/>
          <w:kern w:val="2"/>
          <w:lang w:eastAsia="zh-CN"/>
        </w:rPr>
        <w:t>中标人</w:t>
      </w:r>
      <w:r>
        <w:rPr>
          <w:rFonts w:hint="eastAsia" w:ascii="宋体" w:hAnsi="宋体" w:eastAsia="宋体" w:cs="宋体"/>
          <w:kern w:val="2"/>
        </w:rPr>
        <w:t>支付，</w:t>
      </w:r>
      <w:r>
        <w:rPr>
          <w:rFonts w:hint="eastAsia" w:ascii="宋体" w:hAnsi="宋体" w:eastAsia="宋体" w:cs="宋体"/>
          <w:kern w:val="2"/>
          <w:lang w:eastAsia="zh-CN"/>
        </w:rPr>
        <w:t>投标人</w:t>
      </w:r>
      <w:r>
        <w:rPr>
          <w:rFonts w:hint="eastAsia" w:ascii="宋体" w:hAnsi="宋体" w:eastAsia="宋体" w:cs="宋体"/>
          <w:kern w:val="2"/>
        </w:rPr>
        <w:t>综合考虑在报价内（不单列）。</w:t>
      </w:r>
    </w:p>
    <w:p w14:paraId="330C1C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78031018">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代理费定标后由中标人支付给代理机构。因中标人原因导致中标结果变更或取消中标资格等，代理费不予退还。</w:t>
      </w:r>
    </w:p>
    <w:p w14:paraId="3687527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653C9FA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号：75594024621070100005117</w:t>
      </w:r>
    </w:p>
    <w:p w14:paraId="10FE0AF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rPr>
        <w:t>投标截止时间前</w:t>
      </w:r>
      <w:r>
        <w:rPr>
          <w:rFonts w:hint="eastAsia" w:ascii="宋体" w:hAnsi="宋体" w:eastAsia="宋体" w:cs="宋体"/>
          <w:sz w:val="24"/>
          <w:lang w:eastAsia="zh-CN"/>
        </w:rPr>
        <w:t>，</w:t>
      </w:r>
      <w:r>
        <w:rPr>
          <w:rFonts w:hint="eastAsia" w:ascii="宋体" w:hAnsi="宋体" w:eastAsia="宋体" w:cs="宋体"/>
          <w:sz w:val="24"/>
          <w:lang w:val="en-US" w:eastAsia="zh-CN"/>
        </w:rPr>
        <w:t>对投标人工本费缴纳情况进行核查，未按以上方式缴纳不予认可</w:t>
      </w:r>
      <w:r>
        <w:rPr>
          <w:rFonts w:hint="eastAsia" w:ascii="宋体" w:hAnsi="宋体" w:eastAsia="宋体" w:cs="宋体"/>
          <w:sz w:val="24"/>
          <w:highlight w:val="none"/>
        </w:rPr>
        <w:t>。</w:t>
      </w:r>
    </w:p>
    <w:p w14:paraId="6B287921">
      <w:pPr>
        <w:numPr>
          <w:ilvl w:val="0"/>
          <w:numId w:val="0"/>
        </w:numPr>
        <w:topLinePunct/>
        <w:snapToGrid w:val="0"/>
        <w:spacing w:line="360" w:lineRule="auto"/>
        <w:ind w:firstLine="635" w:firstLineChars="200"/>
        <w:jc w:val="center"/>
        <w:outlineLvl w:val="0"/>
        <w:rPr>
          <w:rStyle w:val="122"/>
          <w:rFonts w:hint="eastAsia" w:ascii="宋体" w:hAnsi="宋体" w:eastAsia="宋体" w:cs="宋体"/>
          <w:bCs/>
          <w:color w:val="000000"/>
          <w:sz w:val="32"/>
          <w:szCs w:val="32"/>
        </w:rPr>
      </w:pPr>
      <w:r>
        <w:rPr>
          <w:rFonts w:hint="eastAsia" w:ascii="宋体" w:hAnsi="宋体" w:eastAsia="宋体" w:cs="宋体"/>
          <w:b/>
          <w:bCs/>
          <w:color w:val="000000"/>
          <w:spacing w:val="-2"/>
          <w:kern w:val="2"/>
          <w:sz w:val="32"/>
          <w:szCs w:val="32"/>
          <w:lang w:val="en-US" w:eastAsia="zh-CN" w:bidi="ar-SA"/>
        </w:rPr>
        <w:t xml:space="preserve">第三章 </w:t>
      </w:r>
      <w:r>
        <w:rPr>
          <w:rStyle w:val="122"/>
          <w:rFonts w:hint="eastAsia" w:ascii="宋体" w:hAnsi="宋体" w:eastAsia="宋体" w:cs="宋体"/>
          <w:bCs/>
          <w:color w:val="000000"/>
          <w:sz w:val="32"/>
          <w:szCs w:val="32"/>
        </w:rPr>
        <w:t>项目需求</w:t>
      </w:r>
      <w:r>
        <w:rPr>
          <w:rStyle w:val="122"/>
          <w:rFonts w:hint="eastAsia" w:ascii="宋体" w:hAnsi="宋体" w:eastAsia="宋体" w:cs="宋体"/>
          <w:bCs/>
          <w:color w:val="000000"/>
          <w:sz w:val="32"/>
          <w:szCs w:val="32"/>
        </w:rPr>
        <w:tab/>
      </w:r>
      <w:r>
        <w:rPr>
          <w:rStyle w:val="122"/>
          <w:rFonts w:hint="eastAsia" w:ascii="宋体" w:hAnsi="宋体" w:eastAsia="宋体" w:cs="宋体"/>
          <w:bCs/>
          <w:color w:val="000000"/>
          <w:sz w:val="32"/>
          <w:szCs w:val="32"/>
        </w:rPr>
        <w:tab/>
      </w:r>
    </w:p>
    <w:p w14:paraId="3E68FC6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项目属性：服务类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rPr>
        <w:t>本章采购需求中</w:t>
      </w:r>
      <w:r>
        <w:rPr>
          <w:rFonts w:hint="eastAsia" w:ascii="宋体" w:hAnsi="宋体" w:cs="宋体"/>
          <w:b/>
          <w:bCs/>
          <w:color w:val="FF0000"/>
          <w:kern w:val="2"/>
          <w:sz w:val="24"/>
          <w:szCs w:val="24"/>
          <w:lang w:val="en-US" w:eastAsia="zh-CN"/>
        </w:rPr>
        <w:t>标记</w:t>
      </w:r>
      <w:r>
        <w:rPr>
          <w:rFonts w:hint="eastAsia" w:ascii="宋体" w:hAnsi="宋体" w:eastAsia="宋体" w:cs="宋体"/>
          <w:b/>
          <w:bCs/>
          <w:color w:val="FF0000"/>
          <w:kern w:val="2"/>
          <w:sz w:val="24"/>
          <w:szCs w:val="24"/>
          <w:lang w:val="en-US" w:eastAsia="zh-CN"/>
        </w:rPr>
        <w:t>为</w:t>
      </w:r>
      <w:r>
        <w:rPr>
          <w:rFonts w:hint="eastAsia" w:ascii="宋体" w:hAnsi="宋体" w:eastAsia="宋体" w:cs="宋体"/>
          <w:b/>
          <w:bCs/>
          <w:color w:val="FF0000"/>
          <w:kern w:val="2"/>
          <w:sz w:val="24"/>
          <w:szCs w:val="24"/>
          <w:lang w:eastAsia="zh-CN"/>
        </w:rPr>
        <w:t>“</w:t>
      </w:r>
      <w:r>
        <w:rPr>
          <w:rFonts w:hint="eastAsia" w:ascii="宋体" w:hAnsi="宋体" w:eastAsia="宋体" w:cs="宋体"/>
          <w:b/>
          <w:bCs/>
          <w:color w:val="FF0000"/>
          <w:kern w:val="2"/>
          <w:sz w:val="24"/>
          <w:szCs w:val="24"/>
          <w:lang w:val="en-US" w:eastAsia="zh-CN"/>
        </w:rPr>
        <w:t>★</w:t>
      </w:r>
      <w:r>
        <w:rPr>
          <w:rFonts w:hint="eastAsia" w:ascii="宋体" w:hAnsi="宋体" w:eastAsia="宋体" w:cs="宋体"/>
          <w:b/>
          <w:bCs/>
          <w:color w:val="FF0000"/>
          <w:kern w:val="2"/>
          <w:sz w:val="24"/>
          <w:szCs w:val="24"/>
          <w:lang w:eastAsia="zh-CN"/>
        </w:rPr>
        <w:t>”</w:t>
      </w:r>
      <w:r>
        <w:rPr>
          <w:rFonts w:hint="eastAsia" w:ascii="宋体" w:hAnsi="宋体" w:cs="宋体"/>
          <w:b/>
          <w:bCs/>
          <w:color w:val="FF0000"/>
          <w:kern w:val="2"/>
          <w:sz w:val="24"/>
          <w:szCs w:val="24"/>
          <w:lang w:eastAsia="zh-CN"/>
        </w:rPr>
        <w:t>的</w:t>
      </w:r>
      <w:r>
        <w:rPr>
          <w:rFonts w:hint="eastAsia" w:ascii="宋体" w:hAnsi="宋体" w:eastAsia="宋体" w:cs="宋体"/>
          <w:b/>
          <w:bCs/>
          <w:color w:val="FF0000"/>
          <w:kern w:val="2"/>
          <w:sz w:val="24"/>
          <w:szCs w:val="24"/>
        </w:rPr>
        <w:t>条款为实质性响应条款，</w:t>
      </w:r>
      <w:r>
        <w:rPr>
          <w:rFonts w:hint="eastAsia" w:ascii="宋体" w:hAnsi="宋体" w:cs="宋体"/>
          <w:b/>
          <w:bCs/>
          <w:color w:val="FF0000"/>
          <w:kern w:val="2"/>
          <w:sz w:val="24"/>
          <w:szCs w:val="24"/>
          <w:lang w:val="en-US" w:eastAsia="zh-CN"/>
        </w:rPr>
        <w:t>投标人</w:t>
      </w:r>
      <w:r>
        <w:rPr>
          <w:rFonts w:hint="eastAsia" w:ascii="宋体" w:hAnsi="宋体" w:eastAsia="宋体" w:cs="宋体"/>
          <w:b/>
          <w:bCs/>
          <w:color w:val="FF0000"/>
          <w:kern w:val="2"/>
          <w:sz w:val="24"/>
          <w:szCs w:val="24"/>
        </w:rPr>
        <w:t>不得负偏离响应，如负偏离响应认定为无效</w:t>
      </w:r>
      <w:r>
        <w:rPr>
          <w:rFonts w:hint="eastAsia" w:ascii="宋体" w:hAnsi="宋体" w:cs="宋体"/>
          <w:b/>
          <w:bCs/>
          <w:color w:val="FF0000"/>
          <w:kern w:val="2"/>
          <w:sz w:val="24"/>
          <w:szCs w:val="24"/>
          <w:lang w:val="en-US" w:eastAsia="zh-CN"/>
        </w:rPr>
        <w:t>投标</w:t>
      </w:r>
      <w:r>
        <w:rPr>
          <w:rFonts w:hint="eastAsia" w:ascii="宋体" w:hAnsi="宋体" w:eastAsia="宋体" w:cs="宋体"/>
          <w:b/>
          <w:bCs/>
          <w:color w:val="FF0000"/>
          <w:kern w:val="2"/>
          <w:sz w:val="24"/>
          <w:szCs w:val="24"/>
        </w:rPr>
        <w:t>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p w14:paraId="1633B744">
      <w:pPr>
        <w:numPr>
          <w:ilvl w:val="0"/>
          <w:numId w:val="0"/>
        </w:numPr>
        <w:spacing w:line="460" w:lineRule="exact"/>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lang w:val="en-US" w:eastAsia="zh-CN" w:bidi="ar-SA"/>
        </w:rPr>
        <w:t>一、</w:t>
      </w:r>
      <w:r>
        <w:rPr>
          <w:rFonts w:hint="eastAsia" w:ascii="宋体" w:hAnsi="宋体" w:eastAsia="宋体" w:cs="宋体"/>
          <w:b/>
          <w:color w:val="auto"/>
          <w:sz w:val="24"/>
          <w:szCs w:val="24"/>
          <w:highlight w:val="none"/>
          <w:lang w:val="en-US" w:eastAsia="zh-CN"/>
        </w:rPr>
        <w:t>项目需求及技术参数</w:t>
      </w:r>
    </w:p>
    <w:p w14:paraId="35A503E2">
      <w:pPr>
        <w:keepNext w:val="0"/>
        <w:keepLines w:val="0"/>
        <w:pageBreakBefore w:val="0"/>
        <w:kinsoku/>
        <w:wordWrap/>
        <w:overflowPunct/>
        <w:topLinePunct w:val="0"/>
        <w:autoSpaceDE/>
        <w:autoSpaceDN/>
        <w:bidi w:val="0"/>
        <w:adjustRightInd/>
        <w:spacing w:line="460" w:lineRule="exact"/>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1.平台性能要求</w:t>
      </w:r>
    </w:p>
    <w:p w14:paraId="2651DFE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p>
    <w:p w14:paraId="62ECA1E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（2）技术架构：平台支持主流操作系统和数据库部署运行。平台系统版本成熟、稳定，支持单机或集群部署方案。 </w:t>
      </w:r>
    </w:p>
    <w:p w14:paraId="4E36EF4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（3）兼容性：至少满足win10</w:t>
      </w:r>
      <w:r>
        <w:rPr>
          <w:rFonts w:hint="eastAsia" w:ascii="宋体" w:hAnsi="宋体" w:cs="宋体"/>
          <w:color w:val="auto"/>
          <w:sz w:val="24"/>
          <w:szCs w:val="24"/>
          <w:highlight w:val="none"/>
          <w:lang w:val="en-US" w:eastAsia="zh-CN"/>
        </w:rPr>
        <w:t>、win11</w:t>
      </w:r>
      <w:r>
        <w:rPr>
          <w:rFonts w:hint="eastAsia" w:ascii="宋体" w:hAnsi="宋体" w:eastAsia="宋体" w:cs="宋体"/>
          <w:color w:val="auto"/>
          <w:sz w:val="24"/>
          <w:szCs w:val="24"/>
          <w:highlight w:val="none"/>
          <w:lang w:val="en-US" w:eastAsia="zh-CN"/>
        </w:rPr>
        <w:t>，32与64位系统、linux、MacOS等系统访问。浏览器应至少兼容谷歌，火狐，360，Edge、Safari等浏览器访问。支持跨平台操作，移动端应至少支持Android</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IOS</w:t>
      </w:r>
      <w:r>
        <w:rPr>
          <w:rFonts w:hint="eastAsia" w:ascii="宋体" w:hAnsi="宋体" w:cs="宋体"/>
          <w:color w:val="auto"/>
          <w:sz w:val="24"/>
          <w:szCs w:val="24"/>
          <w:highlight w:val="none"/>
          <w:lang w:val="en-US" w:eastAsia="zh-CN"/>
        </w:rPr>
        <w:t>和鸿蒙</w:t>
      </w:r>
      <w:r>
        <w:rPr>
          <w:rFonts w:hint="eastAsia" w:ascii="宋体" w:hAnsi="宋体" w:eastAsia="宋体" w:cs="宋体"/>
          <w:color w:val="auto"/>
          <w:sz w:val="24"/>
          <w:szCs w:val="24"/>
          <w:highlight w:val="none"/>
          <w:lang w:val="en-US" w:eastAsia="zh-CN"/>
        </w:rPr>
        <w:t xml:space="preserve">系统使用，并与web端数据同步。 </w:t>
      </w:r>
    </w:p>
    <w:p w14:paraId="4D40CA7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（4）可靠性：在高负荷状态下能不间断、可靠、稳定运行。容量到达规定及超出规定的极限时，系统不因崩溃、异常退出等原因而导致数据错误或丢失。 </w:t>
      </w:r>
    </w:p>
    <w:p w14:paraId="0E8752A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（5）扩展性：提供统一的系统版本。支持随用户使用量的增大而只需增加相应的硬件即可，支持服务器集群部署。 </w:t>
      </w:r>
    </w:p>
    <w:p w14:paraId="3633D68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3FB1B8CF">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（7）系统管理：具备系统管理员维护功能，如导入模板设置、通用规则设置、角色管理、用户管理、菜单管理、各项业务参数管理等。 </w:t>
      </w:r>
    </w:p>
    <w:p w14:paraId="3AD0E68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（8）数据输出要求：除提供多种格式规范的业务报表之外，还应提供数据导出功能，能导出电子表格文件、DBF文件等。 </w:t>
      </w:r>
    </w:p>
    <w:p w14:paraId="4BC7553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（9）安全性 </w:t>
      </w:r>
    </w:p>
    <w:p w14:paraId="4871012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 对于敏感数据需提供操作日志供用户</w:t>
      </w:r>
      <w:r>
        <w:rPr>
          <w:rFonts w:hint="eastAsia" w:ascii="宋体" w:hAnsi="宋体" w:cs="宋体"/>
          <w:color w:val="auto"/>
          <w:sz w:val="24"/>
          <w:szCs w:val="24"/>
          <w:highlight w:val="none"/>
          <w:lang w:val="en-US" w:eastAsia="zh-CN"/>
        </w:rPr>
        <w:t>至少六个月</w:t>
      </w:r>
      <w:r>
        <w:rPr>
          <w:rFonts w:hint="eastAsia" w:ascii="宋体" w:hAnsi="宋体" w:eastAsia="宋体" w:cs="宋体"/>
          <w:color w:val="auto"/>
          <w:sz w:val="24"/>
          <w:szCs w:val="24"/>
          <w:highlight w:val="none"/>
          <w:lang w:val="en-US" w:eastAsia="zh-CN"/>
        </w:rPr>
        <w:t xml:space="preserve">通过平台随时查看。 </w:t>
      </w:r>
    </w:p>
    <w:p w14:paraId="3F9690C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可实现数据库定期备份，包括手动备份和自动备份。 </w:t>
      </w:r>
    </w:p>
    <w:p w14:paraId="410CDE3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须提供系统监控平台，可7×24小时监控平台运行状况与各性能指标。 </w:t>
      </w:r>
    </w:p>
    <w:p w14:paraId="59319E2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学员信息应严格保密，需签订保密协议。 </w:t>
      </w:r>
    </w:p>
    <w:p w14:paraId="13179567">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（10）用户数：满足平台≥2万注册用户，同时在线人数≥5000人。</w:t>
      </w:r>
    </w:p>
    <w:p w14:paraId="572B1F48">
      <w:pPr>
        <w:keepNext w:val="0"/>
        <w:keepLines w:val="0"/>
        <w:pageBreakBefore w:val="0"/>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2.平台功能需求</w:t>
      </w:r>
    </w:p>
    <w:p w14:paraId="1903809C">
      <w:pPr>
        <w:keepNext w:val="0"/>
        <w:keepLines w:val="0"/>
        <w:pageBreakBefore w:val="0"/>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color w:val="auto"/>
          <w:sz w:val="24"/>
          <w:szCs w:val="24"/>
          <w:highlight w:val="none"/>
          <w:lang w:val="en-US" w:eastAsia="zh-CN"/>
        </w:rPr>
        <w:t>平台功能包含①管理、②教学、③学习（含课程资源）等功能，④支持移动端。⑤平台需与学校合作银行对接，实现线上缴费并生成电子发票，除学历继续教育学生缴费外，还需支持非成教生缴费，满足学校各部门的各类收费需求。⑥平台应包括非学历教育（培训）项目统计功能，或免费提供非学历培训平台供学校使用，满足学校对二级学院培训项目的数据统计需求。⑦平台（或非学历培训平台）需为学校提供网络安全、国家安全等专题课程（不</w:t>
      </w:r>
      <w:r>
        <w:rPr>
          <w:rFonts w:hint="eastAsia" w:ascii="宋体" w:hAnsi="宋体" w:cs="宋体"/>
          <w:color w:val="auto"/>
          <w:sz w:val="24"/>
          <w:szCs w:val="24"/>
          <w:highlight w:val="none"/>
          <w:lang w:val="en-US" w:eastAsia="zh-CN"/>
        </w:rPr>
        <w:t>少于</w:t>
      </w:r>
      <w:r>
        <w:rPr>
          <w:rFonts w:hint="eastAsia" w:ascii="宋体" w:hAnsi="宋体" w:eastAsia="宋体" w:cs="宋体"/>
          <w:color w:val="auto"/>
          <w:sz w:val="24"/>
          <w:szCs w:val="24"/>
          <w:highlight w:val="none"/>
          <w:lang w:val="en-US" w:eastAsia="zh-CN"/>
        </w:rPr>
        <w:t>5门）在线学习服务，每门课程每年不少于10学时，供全校师生学习使用，记录学习数据并能生成结业证书，由此产生的平台、支持、服务器及流量储存成本由中标方承担。</w:t>
      </w:r>
    </w:p>
    <w:p w14:paraId="036BE35E">
      <w:pPr>
        <w:keepNext w:val="0"/>
        <w:keepLines w:val="0"/>
        <w:pageBreakBefore w:val="0"/>
        <w:shd w:val="clear"/>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b/>
          <w:bCs/>
          <w:color w:val="FF0000"/>
          <w:sz w:val="24"/>
          <w:szCs w:val="24"/>
          <w:highlight w:val="none"/>
          <w:lang w:val="en-US" w:eastAsia="zh-CN"/>
        </w:rPr>
      </w:pPr>
      <w:r>
        <w:rPr>
          <w:rFonts w:hint="eastAsia" w:ascii="宋体" w:hAnsi="宋体" w:cs="宋体"/>
          <w:b/>
          <w:bCs/>
          <w:i w:val="0"/>
          <w:iCs w:val="0"/>
          <w:color w:val="FF0000"/>
          <w:sz w:val="24"/>
          <w:szCs w:val="24"/>
          <w:highlight w:val="none"/>
          <w:u w:val="single"/>
          <w:lang w:val="en-US" w:eastAsia="zh-CN"/>
        </w:rPr>
        <w:t>注：</w:t>
      </w:r>
      <w:r>
        <w:rPr>
          <w:rFonts w:hint="eastAsia" w:ascii="宋体" w:hAnsi="宋体" w:eastAsia="宋体" w:cs="宋体"/>
          <w:b/>
          <w:bCs/>
          <w:i w:val="0"/>
          <w:iCs w:val="0"/>
          <w:color w:val="FF0000"/>
          <w:sz w:val="24"/>
          <w:szCs w:val="24"/>
          <w:highlight w:val="none"/>
          <w:u w:val="single"/>
          <w:lang w:val="en-US" w:eastAsia="zh-CN"/>
        </w:rPr>
        <w:t>以上</w:t>
      </w:r>
      <w:r>
        <w:rPr>
          <w:rFonts w:hint="eastAsia" w:ascii="宋体" w:hAnsi="宋体" w:cs="宋体"/>
          <w:b/>
          <w:bCs/>
          <w:i w:val="0"/>
          <w:iCs w:val="0"/>
          <w:color w:val="FF0000"/>
          <w:sz w:val="24"/>
          <w:szCs w:val="24"/>
          <w:highlight w:val="none"/>
          <w:u w:val="single"/>
          <w:lang w:val="en-US" w:eastAsia="zh-CN"/>
        </w:rPr>
        <w:t>平台功能需求中</w:t>
      </w:r>
      <w:r>
        <w:rPr>
          <w:rFonts w:hint="eastAsia" w:ascii="宋体" w:hAnsi="宋体" w:eastAsia="宋体" w:cs="宋体"/>
          <w:b/>
          <w:bCs/>
          <w:i w:val="0"/>
          <w:iCs w:val="0"/>
          <w:color w:val="FF0000"/>
          <w:sz w:val="24"/>
          <w:szCs w:val="24"/>
          <w:highlight w:val="none"/>
          <w:u w:val="single"/>
          <w:lang w:val="en-US" w:eastAsia="zh-CN"/>
        </w:rPr>
        <w:t>①-⑦涉及的7</w:t>
      </w:r>
      <w:r>
        <w:rPr>
          <w:rFonts w:hint="eastAsia" w:ascii="宋体" w:hAnsi="宋体" w:cs="宋体"/>
          <w:b/>
          <w:bCs/>
          <w:i w:val="0"/>
          <w:iCs w:val="0"/>
          <w:color w:val="FF0000"/>
          <w:sz w:val="24"/>
          <w:szCs w:val="24"/>
          <w:highlight w:val="none"/>
          <w:u w:val="single"/>
          <w:lang w:val="en-US" w:eastAsia="zh-CN"/>
        </w:rPr>
        <w:t>项功能中投标人投标时</w:t>
      </w:r>
      <w:r>
        <w:rPr>
          <w:rFonts w:hint="eastAsia" w:ascii="宋体" w:hAnsi="宋体" w:eastAsia="宋体" w:cs="宋体"/>
          <w:b/>
          <w:bCs/>
          <w:i w:val="0"/>
          <w:iCs w:val="0"/>
          <w:color w:val="FF0000"/>
          <w:sz w:val="24"/>
          <w:szCs w:val="24"/>
          <w:highlight w:val="none"/>
          <w:u w:val="single"/>
          <w:lang w:val="en-US" w:eastAsia="zh-CN"/>
        </w:rPr>
        <w:t>已实现的提供演示视频；未实现的，提供承诺书，承诺合同签订后15个工作日内完成</w:t>
      </w:r>
      <w:r>
        <w:rPr>
          <w:rFonts w:hint="eastAsia" w:ascii="宋体" w:hAnsi="宋体" w:cs="宋体"/>
          <w:b/>
          <w:bCs/>
          <w:i w:val="0"/>
          <w:iCs w:val="0"/>
          <w:color w:val="FF0000"/>
          <w:sz w:val="24"/>
          <w:szCs w:val="24"/>
          <w:highlight w:val="none"/>
          <w:u w:val="single"/>
          <w:lang w:val="en-US" w:eastAsia="zh-CN"/>
        </w:rPr>
        <w:t>。投标人如未</w:t>
      </w:r>
      <w:r>
        <w:rPr>
          <w:rFonts w:hint="eastAsia" w:ascii="宋体" w:hAnsi="宋体" w:eastAsia="宋体" w:cs="宋体"/>
          <w:b/>
          <w:bCs/>
          <w:i w:val="0"/>
          <w:iCs w:val="0"/>
          <w:color w:val="FF0000"/>
          <w:sz w:val="24"/>
          <w:szCs w:val="24"/>
          <w:highlight w:val="none"/>
          <w:u w:val="single"/>
          <w:lang w:val="en-US" w:eastAsia="zh-CN"/>
        </w:rPr>
        <w:t>提供</w:t>
      </w:r>
      <w:r>
        <w:rPr>
          <w:rFonts w:hint="eastAsia" w:ascii="宋体" w:hAnsi="宋体" w:cs="宋体"/>
          <w:b/>
          <w:bCs/>
          <w:i w:val="0"/>
          <w:iCs w:val="0"/>
          <w:color w:val="FF0000"/>
          <w:sz w:val="24"/>
          <w:szCs w:val="24"/>
          <w:highlight w:val="none"/>
          <w:u w:val="single"/>
          <w:lang w:val="en-US" w:eastAsia="zh-CN"/>
        </w:rPr>
        <w:t>演示</w:t>
      </w:r>
      <w:r>
        <w:rPr>
          <w:rFonts w:hint="eastAsia" w:ascii="宋体" w:hAnsi="宋体" w:eastAsia="宋体" w:cs="宋体"/>
          <w:b/>
          <w:bCs/>
          <w:i w:val="0"/>
          <w:iCs w:val="0"/>
          <w:color w:val="FF0000"/>
          <w:sz w:val="24"/>
          <w:szCs w:val="24"/>
          <w:highlight w:val="none"/>
          <w:u w:val="single"/>
          <w:lang w:val="en-US" w:eastAsia="zh-CN"/>
        </w:rPr>
        <w:t>视频</w:t>
      </w:r>
      <w:r>
        <w:rPr>
          <w:rFonts w:hint="eastAsia" w:ascii="宋体" w:hAnsi="宋体" w:cs="宋体"/>
          <w:b/>
          <w:bCs/>
          <w:i w:val="0"/>
          <w:iCs w:val="0"/>
          <w:color w:val="FF0000"/>
          <w:sz w:val="24"/>
          <w:szCs w:val="24"/>
          <w:highlight w:val="none"/>
          <w:u w:val="single"/>
          <w:lang w:val="en-US" w:eastAsia="zh-CN"/>
        </w:rPr>
        <w:t>且未提供</w:t>
      </w:r>
      <w:r>
        <w:rPr>
          <w:rFonts w:hint="eastAsia" w:ascii="宋体" w:hAnsi="宋体" w:eastAsia="宋体" w:cs="宋体"/>
          <w:b/>
          <w:bCs/>
          <w:i w:val="0"/>
          <w:iCs w:val="0"/>
          <w:color w:val="FF0000"/>
          <w:sz w:val="24"/>
          <w:szCs w:val="24"/>
          <w:highlight w:val="none"/>
          <w:u w:val="single"/>
          <w:lang w:val="en-US" w:eastAsia="zh-CN"/>
        </w:rPr>
        <w:t>承诺书的</w:t>
      </w:r>
      <w:r>
        <w:rPr>
          <w:rFonts w:hint="eastAsia" w:ascii="宋体" w:hAnsi="宋体" w:cs="宋体"/>
          <w:b/>
          <w:bCs/>
          <w:i w:val="0"/>
          <w:iCs w:val="0"/>
          <w:color w:val="FF0000"/>
          <w:sz w:val="24"/>
          <w:szCs w:val="24"/>
          <w:highlight w:val="none"/>
          <w:u w:val="single"/>
          <w:lang w:val="en-US" w:eastAsia="zh-CN"/>
        </w:rPr>
        <w:t>作</w:t>
      </w:r>
      <w:r>
        <w:rPr>
          <w:rFonts w:hint="eastAsia" w:ascii="宋体" w:hAnsi="宋体" w:eastAsia="宋体" w:cs="宋体"/>
          <w:b/>
          <w:bCs/>
          <w:i w:val="0"/>
          <w:iCs w:val="0"/>
          <w:color w:val="FF0000"/>
          <w:sz w:val="24"/>
          <w:szCs w:val="24"/>
          <w:highlight w:val="none"/>
          <w:u w:val="single"/>
          <w:lang w:val="en-US" w:eastAsia="zh-CN"/>
        </w:rPr>
        <w:t>无效投标处理</w:t>
      </w:r>
      <w:r>
        <w:rPr>
          <w:rFonts w:hint="eastAsia" w:ascii="宋体" w:hAnsi="宋体" w:cs="宋体"/>
          <w:b/>
          <w:bCs/>
          <w:i w:val="0"/>
          <w:iCs w:val="0"/>
          <w:color w:val="FF0000"/>
          <w:sz w:val="24"/>
          <w:szCs w:val="24"/>
          <w:highlight w:val="none"/>
          <w:u w:val="single"/>
          <w:lang w:val="en-US" w:eastAsia="zh-CN"/>
        </w:rPr>
        <w:t>。</w:t>
      </w:r>
      <w:r>
        <w:rPr>
          <w:rFonts w:hint="eastAsia" w:ascii="宋体" w:hAnsi="宋体" w:eastAsia="宋体" w:cs="宋体"/>
          <w:b w:val="0"/>
          <w:bCs w:val="0"/>
          <w:i w:val="0"/>
          <w:iCs w:val="0"/>
          <w:color w:val="FF0000"/>
          <w:sz w:val="24"/>
          <w:szCs w:val="24"/>
          <w:highlight w:val="none"/>
          <w:shd w:val="clear"/>
          <w:lang w:val="en-US" w:eastAsia="zh-CN"/>
        </w:rPr>
        <w:t>演示内容必须为实际软件录屏或无剪辑拍摄视频，不接受PPT演示及DEMO演示。投标人将演示文件（</w:t>
      </w:r>
      <w:r>
        <w:rPr>
          <w:rFonts w:hint="eastAsia" w:ascii="宋体" w:hAnsi="宋体" w:cs="宋体"/>
          <w:b w:val="0"/>
          <w:bCs w:val="0"/>
          <w:i w:val="0"/>
          <w:iCs w:val="0"/>
          <w:color w:val="FF0000"/>
          <w:sz w:val="24"/>
          <w:szCs w:val="24"/>
          <w:highlight w:val="none"/>
          <w:shd w:val="clear"/>
          <w:lang w:val="en-US" w:eastAsia="zh-CN"/>
        </w:rPr>
        <w:t>应能由</w:t>
      </w:r>
      <w:r>
        <w:rPr>
          <w:rFonts w:hint="eastAsia" w:ascii="宋体" w:hAnsi="宋体" w:eastAsia="宋体" w:cs="宋体"/>
          <w:b w:val="0"/>
          <w:bCs w:val="0"/>
          <w:i w:val="0"/>
          <w:iCs w:val="0"/>
          <w:color w:val="FF0000"/>
          <w:sz w:val="24"/>
          <w:szCs w:val="24"/>
          <w:highlight w:val="none"/>
          <w:shd w:val="clear"/>
          <w:lang w:val="en-US" w:eastAsia="zh-CN"/>
        </w:rPr>
        <w:t>Windows操作系统自带的Windows  Media Player支持播放）存储至电子投标文件中，演示人员自行携带演示电子设备及投标人出具的授权委托书，因投标人U盘或文件格式问题导致演示视频无法播放的，由投标人自行承担一切风险和责任。演示顺序按投标人签到顺序倒序进行</w:t>
      </w:r>
      <w:r>
        <w:rPr>
          <w:rFonts w:hint="eastAsia" w:ascii="宋体" w:hAnsi="宋体" w:eastAsia="宋体" w:cs="宋体"/>
          <w:b w:val="0"/>
          <w:bCs w:val="0"/>
          <w:color w:val="FF0000"/>
          <w:sz w:val="24"/>
          <w:szCs w:val="24"/>
          <w:highlight w:val="none"/>
          <w:shd w:val="clear"/>
          <w:lang w:val="en-US" w:eastAsia="zh-CN"/>
        </w:rPr>
        <w:t>。</w:t>
      </w:r>
    </w:p>
    <w:p w14:paraId="507BFE0F">
      <w:pPr>
        <w:keepNext w:val="0"/>
        <w:keepLines w:val="0"/>
        <w:pageBreakBefore w:val="0"/>
        <w:shd w:val="clear"/>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功能具体要求如下：</w:t>
      </w:r>
    </w:p>
    <w:p w14:paraId="1D1AC01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（1）管理平台</w:t>
      </w:r>
    </w:p>
    <w:p w14:paraId="1F488E7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要求管理平台功能设计应包括但不限于管理工作台、系统管理、基础数据、待办通知、招生录取、学籍管理、教务管理、学务管理、考务管理、毕业管理、财务管理、数据统计等模块。</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1965"/>
        <w:gridCol w:w="4834"/>
      </w:tblGrid>
      <w:tr w14:paraId="3611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5911ADE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965" w:type="dxa"/>
            <w:noWrap w:val="0"/>
            <w:vAlign w:val="top"/>
          </w:tcPr>
          <w:p w14:paraId="472F827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4834" w:type="dxa"/>
            <w:noWrap w:val="0"/>
            <w:vAlign w:val="top"/>
          </w:tcPr>
          <w:p w14:paraId="53B7237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3A02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A930141">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管理工作台</w:t>
            </w:r>
          </w:p>
        </w:tc>
        <w:tc>
          <w:tcPr>
            <w:tcW w:w="1965" w:type="dxa"/>
            <w:noWrap w:val="0"/>
            <w:vAlign w:val="top"/>
          </w:tcPr>
          <w:p w14:paraId="450FEE42">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快速链接</w:t>
            </w:r>
          </w:p>
          <w:p w14:paraId="6B8818CD">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个性化设置</w:t>
            </w:r>
          </w:p>
          <w:p w14:paraId="6DE140F1">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角色切换</w:t>
            </w:r>
          </w:p>
        </w:tc>
        <w:tc>
          <w:tcPr>
            <w:tcW w:w="4834" w:type="dxa"/>
            <w:noWrap w:val="0"/>
            <w:vAlign w:val="top"/>
          </w:tcPr>
          <w:p w14:paraId="413ABF9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096D006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2.实现在线咨询及智能问答功能</w:t>
            </w:r>
          </w:p>
          <w:p w14:paraId="5D5FCB9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3.无需重新登录实现多重角色切换功能</w:t>
            </w:r>
          </w:p>
          <w:p w14:paraId="0C13C16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4.实现常用功能收藏区，提升操作效率</w:t>
            </w:r>
          </w:p>
        </w:tc>
      </w:tr>
      <w:tr w14:paraId="2678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70514BC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▲系统设置</w:t>
            </w:r>
          </w:p>
        </w:tc>
        <w:tc>
          <w:tcPr>
            <w:tcW w:w="1965" w:type="dxa"/>
            <w:noWrap w:val="0"/>
            <w:vAlign w:val="top"/>
          </w:tcPr>
          <w:p w14:paraId="3AD14B8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1.教学设置</w:t>
            </w:r>
          </w:p>
          <w:p w14:paraId="4AC9CD6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2.日志管理</w:t>
            </w:r>
          </w:p>
          <w:p w14:paraId="1A34DC6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3.工作流设置</w:t>
            </w:r>
          </w:p>
        </w:tc>
        <w:tc>
          <w:tcPr>
            <w:tcW w:w="4834" w:type="dxa"/>
            <w:noWrap w:val="0"/>
            <w:vAlign w:val="top"/>
          </w:tcPr>
          <w:p w14:paraId="6E0E4E8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1.实现开课设置、教材设置、学期设置、生源设置、登录设置等功能，助于教学工作开展</w:t>
            </w:r>
          </w:p>
          <w:p w14:paraId="293305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2.日志管理包括不限于登录日志、操作日志、异常日志等</w:t>
            </w:r>
          </w:p>
          <w:p w14:paraId="1B6930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vertAlign w:val="baseline"/>
                <w:lang w:val="en-US" w:eastAsia="zh-CN"/>
              </w:rPr>
              <w:t>支持常用工作流自定义</w:t>
            </w:r>
          </w:p>
          <w:p w14:paraId="499DC68F">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包括但不限于学籍异动申请、毕业申请等，可添加多级审核节点，支持审核流程关联相应的业务表单。</w:t>
            </w:r>
          </w:p>
        </w:tc>
      </w:tr>
      <w:tr w14:paraId="3383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6E833C8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▲基础数据</w:t>
            </w:r>
          </w:p>
        </w:tc>
        <w:tc>
          <w:tcPr>
            <w:tcW w:w="1965" w:type="dxa"/>
            <w:noWrap w:val="0"/>
            <w:vAlign w:val="top"/>
          </w:tcPr>
          <w:p w14:paraId="01EF72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1.角色管理</w:t>
            </w:r>
          </w:p>
          <w:p w14:paraId="422936F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2.权限管理</w:t>
            </w:r>
          </w:p>
          <w:p w14:paraId="243658C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3.教学点管理</w:t>
            </w:r>
          </w:p>
          <w:p w14:paraId="4342EB0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4.专业管理</w:t>
            </w:r>
          </w:p>
          <w:p w14:paraId="2421C31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5.报表管理</w:t>
            </w:r>
          </w:p>
          <w:p w14:paraId="2F6D091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6.打印模板管理</w:t>
            </w:r>
          </w:p>
        </w:tc>
        <w:tc>
          <w:tcPr>
            <w:tcW w:w="4834" w:type="dxa"/>
            <w:noWrap w:val="0"/>
            <w:vAlign w:val="top"/>
          </w:tcPr>
          <w:p w14:paraId="5286B67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1.支持用户分级管理以及角色自定义</w:t>
            </w:r>
          </w:p>
          <w:p w14:paraId="4C42C28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2.支持数据权限依照角色设定</w:t>
            </w:r>
          </w:p>
          <w:p w14:paraId="1AFE434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3.支持教学点信息维护及备案</w:t>
            </w:r>
          </w:p>
          <w:p w14:paraId="1D0C381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4.实现专业信息维护</w:t>
            </w:r>
          </w:p>
          <w:p w14:paraId="25203B50">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支持自定义报表及推送</w:t>
            </w:r>
          </w:p>
          <w:p w14:paraId="6B497DC8">
            <w:pPr>
              <w:numPr>
                <w:ilvl w:val="0"/>
                <w:numId w:val="0"/>
              </w:numPr>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支持新增自定义报表，显示范围是高校或者教学点。报表组件库包括学校所需数据，并能支持随意拖动显示所需报表。</w:t>
            </w:r>
          </w:p>
          <w:p w14:paraId="2CD4153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6.内置多种常用打印模板，包括学籍卡、登记卡、成绩单、毕业生登记表、学籍异动申请表等，同时支持打印模板自定义</w:t>
            </w:r>
          </w:p>
        </w:tc>
      </w:tr>
      <w:tr w14:paraId="67B1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30184BF7">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待办通知</w:t>
            </w:r>
          </w:p>
        </w:tc>
        <w:tc>
          <w:tcPr>
            <w:tcW w:w="1965" w:type="dxa"/>
            <w:noWrap w:val="0"/>
            <w:vAlign w:val="top"/>
          </w:tcPr>
          <w:p w14:paraId="1E6C082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1.创建待办</w:t>
            </w:r>
          </w:p>
          <w:p w14:paraId="7206194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2.设置通知</w:t>
            </w:r>
          </w:p>
          <w:p w14:paraId="4565A2B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3.处理提醒</w:t>
            </w:r>
          </w:p>
        </w:tc>
        <w:tc>
          <w:tcPr>
            <w:tcW w:w="4834" w:type="dxa"/>
            <w:noWrap w:val="0"/>
            <w:vAlign w:val="top"/>
          </w:tcPr>
          <w:p w14:paraId="4A3BD2F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1.支持对指定用户发布通知公告，可进行弹窗提醒</w:t>
            </w:r>
          </w:p>
          <w:p w14:paraId="2CAC02F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2.支持查阅统计详情及阅读状态</w:t>
            </w:r>
          </w:p>
          <w:p w14:paraId="591B776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3.实现待办处理功能</w:t>
            </w:r>
          </w:p>
        </w:tc>
      </w:tr>
      <w:tr w14:paraId="299A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166D80C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▲招生录取</w:t>
            </w:r>
          </w:p>
        </w:tc>
        <w:tc>
          <w:tcPr>
            <w:tcW w:w="1965" w:type="dxa"/>
            <w:noWrap w:val="0"/>
            <w:vAlign w:val="top"/>
          </w:tcPr>
          <w:p w14:paraId="142F43C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1.招生计划</w:t>
            </w:r>
          </w:p>
          <w:p w14:paraId="6C82EE3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2.生源组织</w:t>
            </w:r>
          </w:p>
          <w:p w14:paraId="3726D0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3.学生录取报名</w:t>
            </w:r>
          </w:p>
        </w:tc>
        <w:tc>
          <w:tcPr>
            <w:tcW w:w="4834" w:type="dxa"/>
            <w:noWrap w:val="0"/>
            <w:vAlign w:val="top"/>
          </w:tcPr>
          <w:p w14:paraId="05511B59">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1.支持招生计划制定及申报，可设定招生登记模板</w:t>
            </w:r>
          </w:p>
          <w:p w14:paraId="0DD0647E">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2.实现招生匹配功能</w:t>
            </w:r>
          </w:p>
          <w:p w14:paraId="283C7FF9">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3.支持查看各教学点的招生统计信息</w:t>
            </w:r>
          </w:p>
          <w:p w14:paraId="11E647DA">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4.可按照DBF或EXCEL格式导入学生录取信息，实现录取名册的管理与维护</w:t>
            </w:r>
          </w:p>
          <w:p w14:paraId="68D333B2">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5.支持学员自主入学报到</w:t>
            </w:r>
          </w:p>
          <w:p w14:paraId="70438818">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6.支持批量导入学籍照片及入学登记表</w:t>
            </w:r>
          </w:p>
          <w:p w14:paraId="2B1F9218">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7.实现学号分配规则自定义</w:t>
            </w:r>
          </w:p>
          <w:p w14:paraId="093F78D2">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8.支持在线自定义设计录取通知书模板，可对录取通知书实现批量下载及打印操作</w:t>
            </w:r>
          </w:p>
          <w:p w14:paraId="7499C956">
            <w:pPr>
              <w:numPr>
                <w:ilvl w:val="0"/>
                <w:numId w:val="0"/>
              </w:numPr>
              <w:ind w:left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实现入学核验功能</w:t>
            </w:r>
          </w:p>
          <w:p w14:paraId="68367885">
            <w:pPr>
              <w:numPr>
                <w:ilvl w:val="0"/>
                <w:numId w:val="0"/>
              </w:numPr>
              <w:ind w:leftChars="0"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支持学校导入学生录取信息后，自动同步到待核验列表，可设置是否开启入学核验、入学核验开放的年级、开放的时间、是否关联到注册；如果开启关联注册必须通过入学核验才能注册。系统可自动生成核验地址和移动端核验的二维码，核验二维码能提供不同尺寸大小的二维码下载，满足学校不同场景使用需求。支持学生PC端和移动端进行身份核验。支持人脸识别、可对录取照片、采集照片进行比对，给予比对意见，比对不通过的支持手动上传、修改。 </w:t>
            </w:r>
          </w:p>
        </w:tc>
      </w:tr>
      <w:tr w14:paraId="5C7F2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547A7AB7">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▲学籍管理</w:t>
            </w:r>
          </w:p>
        </w:tc>
        <w:tc>
          <w:tcPr>
            <w:tcW w:w="1965" w:type="dxa"/>
            <w:noWrap w:val="0"/>
            <w:vAlign w:val="top"/>
          </w:tcPr>
          <w:p w14:paraId="74B44B2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1.学籍注册</w:t>
            </w:r>
          </w:p>
          <w:p w14:paraId="1D85978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2.学生信息管理</w:t>
            </w:r>
          </w:p>
          <w:p w14:paraId="397CE8A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3.学籍异动</w:t>
            </w:r>
          </w:p>
        </w:tc>
        <w:tc>
          <w:tcPr>
            <w:tcW w:w="4834" w:type="dxa"/>
            <w:noWrap w:val="0"/>
            <w:vAlign w:val="top"/>
          </w:tcPr>
          <w:p w14:paraId="017B7E8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1.支持批量学籍注册</w:t>
            </w:r>
          </w:p>
          <w:p w14:paraId="5921418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2.实现全面灵活的在籍学生信息导出功能</w:t>
            </w:r>
          </w:p>
          <w:p w14:paraId="788174B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3.支持学生信息管理以及学员模拟登录</w:t>
            </w:r>
          </w:p>
          <w:p w14:paraId="043F92B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4.支持多种异动类型包括但不限于休退学、复学、留级、转专业、转教学点等</w:t>
            </w:r>
          </w:p>
          <w:p w14:paraId="1957002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5.学员可自主申请异动或管理员代申请，支持在线签名或电子签章。</w:t>
            </w:r>
          </w:p>
          <w:p w14:paraId="3F08B68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6.实现学籍异动前后的成绩转换功能</w:t>
            </w:r>
          </w:p>
        </w:tc>
      </w:tr>
      <w:tr w14:paraId="3556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C9F9D79">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▲教务管理</w:t>
            </w:r>
          </w:p>
        </w:tc>
        <w:tc>
          <w:tcPr>
            <w:tcW w:w="1965" w:type="dxa"/>
            <w:noWrap w:val="0"/>
            <w:vAlign w:val="top"/>
          </w:tcPr>
          <w:p w14:paraId="2F1C9CD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1.教学计划</w:t>
            </w:r>
          </w:p>
          <w:p w14:paraId="3977AE4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2.教学实施进程</w:t>
            </w:r>
          </w:p>
          <w:p w14:paraId="276461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3.班级管理</w:t>
            </w:r>
          </w:p>
          <w:p w14:paraId="42C46D3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4.课程管理</w:t>
            </w:r>
          </w:p>
          <w:p w14:paraId="16C83E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5.师资管理</w:t>
            </w:r>
          </w:p>
          <w:p w14:paraId="1240E5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6.实训实习管理</w:t>
            </w:r>
          </w:p>
          <w:p w14:paraId="04C1F71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7.督导管理</w:t>
            </w:r>
          </w:p>
        </w:tc>
        <w:tc>
          <w:tcPr>
            <w:tcW w:w="4834" w:type="dxa"/>
            <w:noWrap w:val="0"/>
            <w:vAlign w:val="top"/>
          </w:tcPr>
          <w:p w14:paraId="260D8A86">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default" w:ascii="宋体" w:hAnsi="宋体" w:eastAsia="宋体" w:cs="宋体"/>
                <w:kern w:val="2"/>
                <w:sz w:val="24"/>
                <w:szCs w:val="24"/>
                <w:vertAlign w:val="baseline"/>
                <w:lang w:val="en-US" w:eastAsia="zh-CN" w:bidi="ar-SA"/>
              </w:rPr>
              <w:t>1.</w:t>
            </w:r>
            <w:r>
              <w:rPr>
                <w:rFonts w:hint="eastAsia" w:ascii="宋体" w:hAnsi="宋体" w:eastAsia="宋体" w:cs="宋体"/>
                <w:sz w:val="24"/>
                <w:szCs w:val="24"/>
                <w:vertAlign w:val="baseline"/>
                <w:lang w:val="en-US" w:eastAsia="zh-CN"/>
              </w:rPr>
              <w:t>支持设定各专业层次教学计划以及各教学点的特定教学计划，实现个性化教学</w:t>
            </w:r>
          </w:p>
          <w:p w14:paraId="1902D8E4">
            <w:pPr>
              <w:numPr>
                <w:ilvl w:val="0"/>
                <w:numId w:val="0"/>
              </w:numPr>
              <w:ind w:left="0" w:leftChars="0" w:firstLine="0" w:firstLineChars="0"/>
              <w:jc w:val="both"/>
              <w:rPr>
                <w:rFonts w:hint="eastAsia" w:ascii="宋体" w:hAnsi="宋体" w:eastAsia="宋体" w:cs="宋体"/>
                <w:color w:val="auto"/>
                <w:sz w:val="24"/>
                <w:szCs w:val="24"/>
                <w:vertAlign w:val="baseline"/>
                <w:lang w:val="en-US" w:eastAsia="zh-CN"/>
              </w:rPr>
            </w:pPr>
            <w:r>
              <w:rPr>
                <w:rFonts w:hint="default" w:ascii="宋体" w:hAnsi="宋体" w:eastAsia="宋体" w:cs="宋体"/>
                <w:color w:val="auto"/>
                <w:kern w:val="2"/>
                <w:sz w:val="24"/>
                <w:szCs w:val="24"/>
                <w:vertAlign w:val="baseline"/>
                <w:lang w:val="en-US" w:eastAsia="zh-CN" w:bidi="ar-SA"/>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可实现教学实施进程表的自动生成及导出</w:t>
            </w:r>
          </w:p>
          <w:p w14:paraId="0E7E4600">
            <w:pPr>
              <w:numPr>
                <w:ilvl w:val="0"/>
                <w:numId w:val="0"/>
              </w:numPr>
              <w:ind w:leftChars="0"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实现自动生成标准化的教学实施进程管理框架，也可按照系统提供的导入模板一键导入教学实施进程表。支持教学实施进程表的一键导出，导出的文件格式与省教育厅要求的文件格式一致。</w:t>
            </w:r>
          </w:p>
          <w:p w14:paraId="3B9DD12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3.实现导入分班信息以及设定班主任功能，支持手动调班</w:t>
            </w:r>
          </w:p>
          <w:p w14:paraId="11F0AC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lang w:val="en-US" w:eastAsia="zh-CN"/>
              </w:rPr>
              <w:t>实现排课管理</w:t>
            </w:r>
          </w:p>
          <w:p w14:paraId="3D48D62C">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实现对线下面授课表的上传，支持通过Excel格式批量导入已有的课表数据，同时提供手动新增课表功能，提供月视图和表格视图两种课表展示模式，可对排课规则和避免冲突的条件进行详细设置，可实现快速排课。支持对已排课次进行调整。</w:t>
            </w:r>
          </w:p>
          <w:p w14:paraId="4C78D77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5.支持教师提交调课申请</w:t>
            </w:r>
          </w:p>
          <w:p w14:paraId="4F88939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6.支持师资录入及审核，教师可担任多种教学角色，实现教师的管辖范围设定</w:t>
            </w:r>
          </w:p>
          <w:p w14:paraId="17B01AD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vertAlign w:val="baseline"/>
                <w:lang w:val="en-US" w:eastAsia="zh-CN"/>
              </w:rPr>
              <w:t>实现学生在线提交实训实习报告以及教师评阅功能</w:t>
            </w:r>
          </w:p>
          <w:p w14:paraId="5A1C1D71">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对学员实训实习报告进行管理，管理员可按照课程设定需要学员提交的数据表单，并设置表单提交开始及截止时间。支持汇总查看学员的提交记录，可在线查看学员提交的实训实习报告内容，填写审核意见并对报告进行评分。</w:t>
            </w:r>
          </w:p>
          <w:p w14:paraId="4B581C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8.实现对教师的教学评教功能</w:t>
            </w:r>
          </w:p>
          <w:p w14:paraId="691C24F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9.实现教学预警在线督导功能，支持自定义督导条件</w:t>
            </w:r>
          </w:p>
        </w:tc>
      </w:tr>
      <w:tr w14:paraId="0382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63E5EC8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▲学务管理</w:t>
            </w:r>
          </w:p>
        </w:tc>
        <w:tc>
          <w:tcPr>
            <w:tcW w:w="1965" w:type="dxa"/>
            <w:noWrap w:val="0"/>
            <w:vAlign w:val="top"/>
          </w:tcPr>
          <w:p w14:paraId="45F2565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1.在线学习</w:t>
            </w:r>
          </w:p>
          <w:p w14:paraId="3813C4B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2.直播课管理</w:t>
            </w:r>
          </w:p>
          <w:p w14:paraId="7485050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3.练习作业</w:t>
            </w:r>
          </w:p>
          <w:p w14:paraId="001A43B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4.考勤管理</w:t>
            </w:r>
          </w:p>
        </w:tc>
        <w:tc>
          <w:tcPr>
            <w:tcW w:w="4834" w:type="dxa"/>
            <w:noWrap w:val="0"/>
            <w:vAlign w:val="top"/>
          </w:tcPr>
          <w:p w14:paraId="37EB2F2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1.实现学员学习情况记录及统计，支持多维度展现</w:t>
            </w:r>
          </w:p>
          <w:p w14:paraId="7B9B43B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2.实现自建课管理功能</w:t>
            </w:r>
          </w:p>
          <w:p w14:paraId="278D27B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3.教师可创建直播课程，在线发起直播，直播间配备指导手册，直播件具备硬件设备检测、上传直播课件、教学画面共享、师生互动等功能</w:t>
            </w:r>
          </w:p>
          <w:p w14:paraId="770E8AB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4.支持直播后自动生成回放，可对录播视频进行在线剪辑操作</w:t>
            </w:r>
          </w:p>
          <w:p w14:paraId="630FC2A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5.实现直播辅助及课程旁听功能</w:t>
            </w:r>
          </w:p>
          <w:p w14:paraId="74530E6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6.实现在线作业及在线练习功能</w:t>
            </w:r>
          </w:p>
          <w:p w14:paraId="1FAACEC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7.支持辅导资料下发</w:t>
            </w:r>
          </w:p>
          <w:p w14:paraId="3E8F18B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8.实现课程考勤功能，考勤方式包括在线考勤或线下考勤记录导入</w:t>
            </w:r>
          </w:p>
        </w:tc>
      </w:tr>
      <w:tr w14:paraId="09D7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4D3D5F1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▲考务管理</w:t>
            </w:r>
          </w:p>
        </w:tc>
        <w:tc>
          <w:tcPr>
            <w:tcW w:w="1965" w:type="dxa"/>
            <w:noWrap w:val="0"/>
            <w:vAlign w:val="top"/>
          </w:tcPr>
          <w:p w14:paraId="05B083D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1.在线考试</w:t>
            </w:r>
          </w:p>
          <w:p w14:paraId="70C2E83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2.线下考试</w:t>
            </w:r>
          </w:p>
          <w:p w14:paraId="0089791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3.成绩管理</w:t>
            </w:r>
          </w:p>
          <w:p w14:paraId="2990CD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4.缓考补考</w:t>
            </w:r>
          </w:p>
        </w:tc>
        <w:tc>
          <w:tcPr>
            <w:tcW w:w="4834" w:type="dxa"/>
            <w:noWrap w:val="0"/>
            <w:vAlign w:val="top"/>
          </w:tcPr>
          <w:p w14:paraId="5E1FC4F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1.实现高校题库建设及管理功能，支持多题型导入</w:t>
            </w:r>
            <w:r>
              <w:rPr>
                <w:rFonts w:hint="eastAsia" w:ascii="宋体" w:hAnsi="宋体" w:eastAsia="宋体" w:cs="宋体"/>
                <w:color w:val="auto"/>
                <w:sz w:val="24"/>
                <w:szCs w:val="24"/>
                <w:vertAlign w:val="baseline"/>
                <w:lang w:val="en-US" w:eastAsia="zh-CN"/>
              </w:rPr>
              <w:t>，系统可自动去重校验</w:t>
            </w:r>
          </w:p>
          <w:p w14:paraId="09DEE45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2.支持从题库中进行随机组卷或手动组卷，可将组卷完成的试卷进行预览、导出及在线打印</w:t>
            </w:r>
          </w:p>
          <w:p w14:paraId="1F48905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3.支持组织多种类型的考试及在线排考</w:t>
            </w:r>
          </w:p>
          <w:p w14:paraId="42E2313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highlight w:val="none"/>
                <w:vertAlign w:val="baseline"/>
                <w:lang w:val="en-US" w:eastAsia="zh-CN"/>
              </w:rPr>
              <w:t>实现考试设置，包括但不限于智能防作弊、人脸识别等</w:t>
            </w:r>
          </w:p>
          <w:p w14:paraId="3A42FD6E">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kern w:val="0"/>
                <w:sz w:val="24"/>
                <w:szCs w:val="24"/>
                <w:highlight w:val="none"/>
                <w:lang w:eastAsia="zh-Hans"/>
              </w:rPr>
              <w:t>支持设置允许考试的次数并可以启用人脸识别功能；启动笔记本摄像头并通过人脸识别进入考试，考试过程中系统可以随机截取考试图像保存至服务器；考试异常中断或关闭浏览器，再次登录可以保留答题记录继续完成考试。</w:t>
            </w:r>
          </w:p>
          <w:p w14:paraId="045E314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5.实现考试结果客观题自动批阅，主观题由教师批阅，以及考试成绩发布功能</w:t>
            </w:r>
          </w:p>
          <w:p w14:paraId="32F6C0A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6.实现自动生成补考名单</w:t>
            </w:r>
          </w:p>
          <w:p w14:paraId="430F708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7.支持学生提交缓考或补考申请。</w:t>
            </w:r>
          </w:p>
        </w:tc>
      </w:tr>
      <w:tr w14:paraId="7BDC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3D78A83F">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▲毕业管理</w:t>
            </w:r>
          </w:p>
        </w:tc>
        <w:tc>
          <w:tcPr>
            <w:tcW w:w="1965" w:type="dxa"/>
            <w:noWrap w:val="0"/>
            <w:vAlign w:val="top"/>
          </w:tcPr>
          <w:p w14:paraId="5381EFE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1.论文管理</w:t>
            </w:r>
          </w:p>
          <w:p w14:paraId="4DBDA77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2.毕业审核</w:t>
            </w:r>
          </w:p>
          <w:p w14:paraId="6FC7C57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3.毕业生管理</w:t>
            </w:r>
          </w:p>
        </w:tc>
        <w:tc>
          <w:tcPr>
            <w:tcW w:w="4834" w:type="dxa"/>
            <w:noWrap w:val="0"/>
            <w:vAlign w:val="top"/>
          </w:tcPr>
          <w:p w14:paraId="7820EFA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1.可自定义论文提交设置</w:t>
            </w:r>
          </w:p>
          <w:p w14:paraId="012E172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2.实现论文批次及流程设置，包括开题报告、论文初稿、论文终稿等</w:t>
            </w:r>
          </w:p>
          <w:p w14:paraId="4365195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3.实现论文方向管理</w:t>
            </w:r>
          </w:p>
          <w:p w14:paraId="6D08298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4.实现论文指导教师管理</w:t>
            </w:r>
          </w:p>
          <w:p w14:paraId="73ECDB0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5.实现论文答辩管理，支持创建答辩批次、设置答辩委员会、分配答辩学员，答辩方式包括直播答辩或现场答辩，可在线导出答辩评审表</w:t>
            </w:r>
          </w:p>
          <w:p w14:paraId="75B5977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6.实现学员论文成绩的提交和批量导入导出操作</w:t>
            </w:r>
          </w:p>
          <w:p w14:paraId="04F694C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7.实现论文抽查管理</w:t>
            </w:r>
          </w:p>
          <w:p w14:paraId="0B279E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lang w:val="en-US" w:eastAsia="zh-CN"/>
              </w:rPr>
              <w:t>实现毕业审核管理</w:t>
            </w:r>
          </w:p>
          <w:p w14:paraId="0CBEB762">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支持设置毕业审核条件，可自动筛选未达毕业条件学生名单，支持自动显示预毕业学生名单。</w:t>
            </w:r>
          </w:p>
          <w:p w14:paraId="54ECDBC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9.实现毕业登记表功能</w:t>
            </w:r>
          </w:p>
          <w:p w14:paraId="5FEABE3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10.支持优秀毕业生管理</w:t>
            </w:r>
          </w:p>
        </w:tc>
      </w:tr>
      <w:tr w14:paraId="59EC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0C7324F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▲财务管理</w:t>
            </w:r>
          </w:p>
        </w:tc>
        <w:tc>
          <w:tcPr>
            <w:tcW w:w="1965" w:type="dxa"/>
            <w:noWrap w:val="0"/>
            <w:vAlign w:val="top"/>
          </w:tcPr>
          <w:p w14:paraId="0C5AD1C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1.学生缴费</w:t>
            </w:r>
          </w:p>
          <w:p w14:paraId="2B10F18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2.财务对账</w:t>
            </w:r>
          </w:p>
          <w:p w14:paraId="0E96A16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3.学费返款</w:t>
            </w:r>
          </w:p>
        </w:tc>
        <w:tc>
          <w:tcPr>
            <w:tcW w:w="4834" w:type="dxa"/>
            <w:noWrap w:val="0"/>
            <w:vAlign w:val="top"/>
          </w:tcPr>
          <w:p w14:paraId="2DAD6AA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1.实现多种缴费类型的自定义设置</w:t>
            </w:r>
          </w:p>
          <w:p w14:paraId="36B27F5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2.缴费类型支持线上缴费及线下缴费导入</w:t>
            </w:r>
          </w:p>
          <w:p w14:paraId="57B0732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3.支持缴费对账单的生成及导出，查看缴费明细</w:t>
            </w:r>
          </w:p>
        </w:tc>
      </w:tr>
      <w:tr w14:paraId="7073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BCE1AA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▲数据统计</w:t>
            </w:r>
          </w:p>
        </w:tc>
        <w:tc>
          <w:tcPr>
            <w:tcW w:w="1965" w:type="dxa"/>
            <w:noWrap w:val="0"/>
            <w:vAlign w:val="top"/>
          </w:tcPr>
          <w:p w14:paraId="577AF9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1.统计报表及导出</w:t>
            </w:r>
          </w:p>
        </w:tc>
        <w:tc>
          <w:tcPr>
            <w:tcW w:w="4834" w:type="dxa"/>
            <w:noWrap w:val="0"/>
            <w:vAlign w:val="top"/>
          </w:tcPr>
          <w:p w14:paraId="69FA932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1.提供全面精准的数据统计能力，提供多维度统计报告并支持导出</w:t>
            </w:r>
          </w:p>
          <w:p w14:paraId="1D1B851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提供数据看板功能</w:t>
            </w:r>
          </w:p>
          <w:p w14:paraId="6576AEA1">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对各年级学生数、专业分布、课程通过率，在线学习完成度等数据进行数据化、图形化的动态分析。</w:t>
            </w:r>
          </w:p>
        </w:tc>
      </w:tr>
    </w:tbl>
    <w:p w14:paraId="7251462B">
      <w:pPr>
        <w:rPr>
          <w:rFonts w:hint="eastAsia" w:ascii="宋体" w:hAnsi="宋体" w:eastAsia="宋体" w:cs="宋体"/>
          <w:sz w:val="24"/>
          <w:szCs w:val="24"/>
          <w:lang w:val="en-US" w:eastAsia="zh-CN"/>
        </w:rPr>
      </w:pPr>
    </w:p>
    <w:p w14:paraId="05999F8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（2）教学平台</w:t>
      </w:r>
    </w:p>
    <w:p w14:paraId="73EF449F">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要求教学平台功能设计应包括但不限于教师工作台、课程管理、课件学习、面授课堂管理、直播授课管理、作业练习管理、论文指导及评阅等模块。</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6"/>
        <w:gridCol w:w="1917"/>
        <w:gridCol w:w="5241"/>
      </w:tblGrid>
      <w:tr w14:paraId="1ED5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77BA3FD9">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939" w:type="dxa"/>
            <w:noWrap w:val="0"/>
            <w:vAlign w:val="top"/>
          </w:tcPr>
          <w:p w14:paraId="497110DF">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5309" w:type="dxa"/>
            <w:noWrap w:val="0"/>
            <w:vAlign w:val="top"/>
          </w:tcPr>
          <w:p w14:paraId="3BD0F0B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7226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612CA98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教师工作台</w:t>
            </w:r>
          </w:p>
        </w:tc>
        <w:tc>
          <w:tcPr>
            <w:tcW w:w="1939" w:type="dxa"/>
            <w:noWrap w:val="0"/>
            <w:vAlign w:val="top"/>
          </w:tcPr>
          <w:p w14:paraId="3AC20FB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1.快速链接</w:t>
            </w:r>
          </w:p>
          <w:p w14:paraId="58B00DB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2.个性化设置</w:t>
            </w:r>
          </w:p>
          <w:p w14:paraId="0850A44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3.角色切换</w:t>
            </w:r>
          </w:p>
        </w:tc>
        <w:tc>
          <w:tcPr>
            <w:tcW w:w="5309" w:type="dxa"/>
            <w:noWrap w:val="0"/>
            <w:vAlign w:val="top"/>
          </w:tcPr>
          <w:p w14:paraId="0631E4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4078175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2.实现在线咨询及智能问答功能</w:t>
            </w:r>
          </w:p>
          <w:p w14:paraId="50C5D4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3.无需重新登录实现多重角色切换功能</w:t>
            </w:r>
          </w:p>
          <w:p w14:paraId="78C2807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4.实现常用功能收藏区，提升操作效率</w:t>
            </w:r>
          </w:p>
        </w:tc>
      </w:tr>
      <w:tr w14:paraId="33EE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4F05E114">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课程管理</w:t>
            </w:r>
          </w:p>
        </w:tc>
        <w:tc>
          <w:tcPr>
            <w:tcW w:w="1939" w:type="dxa"/>
            <w:noWrap w:val="0"/>
            <w:vAlign w:val="top"/>
          </w:tcPr>
          <w:p w14:paraId="5C7E8DE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1.课程资源管理</w:t>
            </w:r>
          </w:p>
          <w:p w14:paraId="475299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2.自建课</w:t>
            </w:r>
          </w:p>
          <w:p w14:paraId="039C9A2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3.学生学习管理</w:t>
            </w:r>
          </w:p>
        </w:tc>
        <w:tc>
          <w:tcPr>
            <w:tcW w:w="5309" w:type="dxa"/>
            <w:noWrap w:val="0"/>
            <w:vAlign w:val="top"/>
          </w:tcPr>
          <w:p w14:paraId="756458E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1.支持课程资源上传、资源检索和资源共享</w:t>
            </w:r>
          </w:p>
          <w:p w14:paraId="663A659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sz w:val="24"/>
                <w:szCs w:val="24"/>
                <w:vertAlign w:val="baseline"/>
                <w:lang w:val="en-US" w:eastAsia="zh-CN"/>
              </w:rPr>
              <w:t>支持教师自建课程并维护</w:t>
            </w:r>
          </w:p>
          <w:p w14:paraId="71DFD3D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3.可实现教学资源的预览以及查看学员学习情况，对未达学习进度的学员可进行督导</w:t>
            </w:r>
          </w:p>
        </w:tc>
      </w:tr>
      <w:tr w14:paraId="6B00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71A4B74C">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面授课堂管理</w:t>
            </w:r>
          </w:p>
        </w:tc>
        <w:tc>
          <w:tcPr>
            <w:tcW w:w="1939" w:type="dxa"/>
            <w:noWrap w:val="0"/>
            <w:vAlign w:val="top"/>
          </w:tcPr>
          <w:p w14:paraId="5A20F4E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1.管理教案</w:t>
            </w:r>
          </w:p>
          <w:p w14:paraId="5C71375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2.添加教学活动</w:t>
            </w:r>
          </w:p>
          <w:p w14:paraId="46EF2ED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3.课程签到</w:t>
            </w:r>
          </w:p>
          <w:p w14:paraId="5C84BC97">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4.课程报告</w:t>
            </w:r>
          </w:p>
        </w:tc>
        <w:tc>
          <w:tcPr>
            <w:tcW w:w="5309" w:type="dxa"/>
            <w:noWrap w:val="0"/>
            <w:vAlign w:val="top"/>
          </w:tcPr>
          <w:p w14:paraId="0855DAB3">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1.支持教师编辑或导入教案信息，并关联教学目标</w:t>
            </w:r>
          </w:p>
          <w:p w14:paraId="2FE0C47A">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2.支持在各个教学环节添加教学活动，实现教学互动功能</w:t>
            </w:r>
          </w:p>
          <w:p w14:paraId="7B3EFA43">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3.支持发起签到并统计签到信息</w:t>
            </w:r>
          </w:p>
          <w:p w14:paraId="37D2FE47">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4.可查看课堂报告</w:t>
            </w:r>
          </w:p>
        </w:tc>
      </w:tr>
      <w:tr w14:paraId="38DC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04F06BB3">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直播授课管理</w:t>
            </w:r>
          </w:p>
        </w:tc>
        <w:tc>
          <w:tcPr>
            <w:tcW w:w="1939" w:type="dxa"/>
            <w:noWrap w:val="0"/>
            <w:vAlign w:val="top"/>
          </w:tcPr>
          <w:p w14:paraId="657B470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1.发起直播</w:t>
            </w:r>
          </w:p>
          <w:p w14:paraId="63039F7C">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2.直播互动</w:t>
            </w:r>
          </w:p>
        </w:tc>
        <w:tc>
          <w:tcPr>
            <w:tcW w:w="5309" w:type="dxa"/>
            <w:noWrap w:val="0"/>
            <w:vAlign w:val="top"/>
          </w:tcPr>
          <w:p w14:paraId="0B659AD0">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1.可管理直播间信息</w:t>
            </w:r>
          </w:p>
          <w:p w14:paraId="19CF0D7D">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2.直播后可查看回放</w:t>
            </w:r>
          </w:p>
        </w:tc>
      </w:tr>
      <w:tr w14:paraId="1856B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198F6BE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作业练习管理</w:t>
            </w:r>
          </w:p>
        </w:tc>
        <w:tc>
          <w:tcPr>
            <w:tcW w:w="1939" w:type="dxa"/>
            <w:noWrap w:val="0"/>
            <w:vAlign w:val="top"/>
          </w:tcPr>
          <w:p w14:paraId="748944C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1.作业部署</w:t>
            </w:r>
          </w:p>
          <w:p w14:paraId="1D461FA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2.练习设置</w:t>
            </w:r>
          </w:p>
        </w:tc>
        <w:tc>
          <w:tcPr>
            <w:tcW w:w="5309" w:type="dxa"/>
            <w:noWrap w:val="0"/>
            <w:vAlign w:val="top"/>
          </w:tcPr>
          <w:p w14:paraId="191D380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1.可按照班级或课程发布作业信息，查看学生作业提交情况，进行作业批阅</w:t>
            </w:r>
          </w:p>
          <w:p w14:paraId="42FA369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2.可按照教学需求设置练习试卷</w:t>
            </w:r>
          </w:p>
        </w:tc>
      </w:tr>
      <w:tr w14:paraId="5794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1E5D648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论文指导及评阅</w:t>
            </w:r>
          </w:p>
        </w:tc>
        <w:tc>
          <w:tcPr>
            <w:tcW w:w="1939" w:type="dxa"/>
            <w:noWrap w:val="0"/>
            <w:vAlign w:val="top"/>
          </w:tcPr>
          <w:p w14:paraId="4E9C481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1.论文指导</w:t>
            </w:r>
          </w:p>
          <w:p w14:paraId="4C8C373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2.论文评阅</w:t>
            </w:r>
          </w:p>
        </w:tc>
        <w:tc>
          <w:tcPr>
            <w:tcW w:w="5309" w:type="dxa"/>
            <w:noWrap w:val="0"/>
            <w:vAlign w:val="top"/>
          </w:tcPr>
          <w:p w14:paraId="11C0F12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1.可发布论文提交要求，审核学生提交的论文材料</w:t>
            </w:r>
          </w:p>
          <w:p w14:paraId="37AA051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2.支持论文的在线评阅以及成绩录入</w:t>
            </w:r>
          </w:p>
        </w:tc>
      </w:tr>
    </w:tbl>
    <w:p w14:paraId="1BF738F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（3）学生平台</w:t>
      </w:r>
    </w:p>
    <w:p w14:paraId="4A0920C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要求学生平台设计应包括但不限于学生工作台、学籍、学习、考试、毕业、缴费等模块。</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8"/>
        <w:gridCol w:w="1822"/>
        <w:gridCol w:w="4832"/>
      </w:tblGrid>
      <w:tr w14:paraId="664F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18A391A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822" w:type="dxa"/>
            <w:noWrap w:val="0"/>
            <w:vAlign w:val="top"/>
          </w:tcPr>
          <w:p w14:paraId="7615360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4832" w:type="dxa"/>
            <w:noWrap w:val="0"/>
            <w:vAlign w:val="top"/>
          </w:tcPr>
          <w:p w14:paraId="3ACB3D6B">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1674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22A7F8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学生工作台</w:t>
            </w:r>
          </w:p>
        </w:tc>
        <w:tc>
          <w:tcPr>
            <w:tcW w:w="1822" w:type="dxa"/>
            <w:noWrap w:val="0"/>
            <w:vAlign w:val="top"/>
          </w:tcPr>
          <w:p w14:paraId="2D00E468">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1．</w:t>
            </w:r>
            <w:r>
              <w:rPr>
                <w:rFonts w:hint="eastAsia" w:ascii="宋体" w:hAnsi="宋体" w:eastAsia="宋体" w:cs="宋体"/>
                <w:sz w:val="24"/>
                <w:szCs w:val="24"/>
                <w:vertAlign w:val="baseline"/>
                <w:lang w:val="en-US" w:eastAsia="zh-CN"/>
              </w:rPr>
              <w:t>快速链接</w:t>
            </w:r>
          </w:p>
          <w:p w14:paraId="65F1251A">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2．</w:t>
            </w:r>
            <w:r>
              <w:rPr>
                <w:rFonts w:hint="eastAsia" w:ascii="宋体" w:hAnsi="宋体" w:eastAsia="宋体" w:cs="宋体"/>
                <w:sz w:val="24"/>
                <w:szCs w:val="24"/>
                <w:vertAlign w:val="baseline"/>
                <w:lang w:val="en-US" w:eastAsia="zh-CN"/>
              </w:rPr>
              <w:t>个性化设置</w:t>
            </w:r>
          </w:p>
          <w:p w14:paraId="6B0B0967">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3．</w:t>
            </w:r>
            <w:r>
              <w:rPr>
                <w:rFonts w:hint="eastAsia" w:ascii="宋体" w:hAnsi="宋体" w:eastAsia="宋体" w:cs="宋体"/>
                <w:sz w:val="24"/>
                <w:szCs w:val="24"/>
                <w:vertAlign w:val="baseline"/>
                <w:lang w:val="en-US" w:eastAsia="zh-CN"/>
              </w:rPr>
              <w:t>角色切换</w:t>
            </w:r>
          </w:p>
        </w:tc>
        <w:tc>
          <w:tcPr>
            <w:tcW w:w="4832" w:type="dxa"/>
            <w:noWrap w:val="0"/>
            <w:vAlign w:val="top"/>
          </w:tcPr>
          <w:p w14:paraId="36B89EE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01C8C84C">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2.实现在线咨询及智能问答功能</w:t>
            </w:r>
          </w:p>
          <w:p w14:paraId="4FE4BFB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3.实现常用功能收藏区，提升操作效率</w:t>
            </w:r>
          </w:p>
        </w:tc>
      </w:tr>
      <w:tr w14:paraId="16A4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0D5FEAB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学籍</w:t>
            </w:r>
          </w:p>
        </w:tc>
        <w:tc>
          <w:tcPr>
            <w:tcW w:w="1822" w:type="dxa"/>
            <w:noWrap w:val="0"/>
            <w:vAlign w:val="top"/>
          </w:tcPr>
          <w:p w14:paraId="73DD413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1.报到录取</w:t>
            </w:r>
          </w:p>
          <w:p w14:paraId="0EC96BE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2.学籍维护</w:t>
            </w:r>
          </w:p>
          <w:p w14:paraId="4FE3BEE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3.证明开具</w:t>
            </w:r>
          </w:p>
        </w:tc>
        <w:tc>
          <w:tcPr>
            <w:tcW w:w="4832" w:type="dxa"/>
            <w:noWrap w:val="0"/>
            <w:vAlign w:val="top"/>
          </w:tcPr>
          <w:p w14:paraId="68CBB184">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1.实现查看录取信息、下载录取通知书、自主报到功能</w:t>
            </w:r>
          </w:p>
          <w:p w14:paraId="400EBC9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2.支持提交学籍信息修改</w:t>
            </w:r>
          </w:p>
          <w:p w14:paraId="6DAC01E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3.申请学籍异动</w:t>
            </w:r>
          </w:p>
          <w:p w14:paraId="6A64444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4.开具学籍卡及在籍证明</w:t>
            </w:r>
          </w:p>
        </w:tc>
      </w:tr>
      <w:tr w14:paraId="3526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69BBEB2B">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学习</w:t>
            </w:r>
          </w:p>
        </w:tc>
        <w:tc>
          <w:tcPr>
            <w:tcW w:w="1822" w:type="dxa"/>
            <w:noWrap w:val="0"/>
            <w:vAlign w:val="top"/>
          </w:tcPr>
          <w:p w14:paraId="09770F3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1.查看教学计划</w:t>
            </w:r>
          </w:p>
          <w:p w14:paraId="25CA51E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2.在线学习</w:t>
            </w:r>
          </w:p>
          <w:p w14:paraId="10A25CF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3.提交作业</w:t>
            </w:r>
          </w:p>
          <w:p w14:paraId="4F8EB4E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4.免修</w:t>
            </w:r>
          </w:p>
          <w:p w14:paraId="6D6AFBC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5.查看成绩</w:t>
            </w:r>
          </w:p>
        </w:tc>
        <w:tc>
          <w:tcPr>
            <w:tcW w:w="4832" w:type="dxa"/>
            <w:noWrap w:val="0"/>
            <w:vAlign w:val="top"/>
          </w:tcPr>
          <w:p w14:paraId="7DAC07D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1.支持查看班级信息以及教学计划安排</w:t>
            </w:r>
          </w:p>
          <w:p w14:paraId="71615CC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2.支持查看课表</w:t>
            </w:r>
          </w:p>
          <w:p w14:paraId="45CAC0F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3.支持在线学习课件资源</w:t>
            </w:r>
          </w:p>
          <w:p w14:paraId="0E87317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4.支持提交作业练习</w:t>
            </w:r>
          </w:p>
          <w:p w14:paraId="23CDE3B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5.支持提交免修申请</w:t>
            </w:r>
          </w:p>
          <w:p w14:paraId="25CE96F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6.支持查看课程成绩</w:t>
            </w:r>
          </w:p>
          <w:p w14:paraId="6E417C7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7.支持在线评教</w:t>
            </w:r>
          </w:p>
        </w:tc>
      </w:tr>
      <w:tr w14:paraId="581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31E3D6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考试</w:t>
            </w:r>
          </w:p>
        </w:tc>
        <w:tc>
          <w:tcPr>
            <w:tcW w:w="1822" w:type="dxa"/>
            <w:noWrap w:val="0"/>
            <w:vAlign w:val="top"/>
          </w:tcPr>
          <w:p w14:paraId="2AEBCDD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1.查看考试信息</w:t>
            </w:r>
          </w:p>
          <w:p w14:paraId="418AFA1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2.参加考试</w:t>
            </w:r>
          </w:p>
          <w:p w14:paraId="505F142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3.查看考试成绩</w:t>
            </w:r>
          </w:p>
        </w:tc>
        <w:tc>
          <w:tcPr>
            <w:tcW w:w="4832" w:type="dxa"/>
            <w:noWrap w:val="0"/>
            <w:vAlign w:val="top"/>
          </w:tcPr>
          <w:p w14:paraId="35B498C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1.支持查看考试安排以及具体考试信息</w:t>
            </w:r>
          </w:p>
          <w:p w14:paraId="5AB9D51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2.支持参加在线考试以及打印准考证参加线下考试</w:t>
            </w:r>
          </w:p>
          <w:p w14:paraId="2C4D198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3.支持查看考试成绩</w:t>
            </w:r>
          </w:p>
          <w:p w14:paraId="7FB357B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4.支持申请缓考及补考</w:t>
            </w:r>
          </w:p>
        </w:tc>
      </w:tr>
      <w:tr w14:paraId="7757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2275868">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毕业</w:t>
            </w:r>
          </w:p>
        </w:tc>
        <w:tc>
          <w:tcPr>
            <w:tcW w:w="1822" w:type="dxa"/>
            <w:noWrap w:val="0"/>
            <w:vAlign w:val="top"/>
          </w:tcPr>
          <w:p w14:paraId="165CEBD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1.提交论文</w:t>
            </w:r>
          </w:p>
          <w:p w14:paraId="430F397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2.毕业审核</w:t>
            </w:r>
          </w:p>
        </w:tc>
        <w:tc>
          <w:tcPr>
            <w:tcW w:w="4832" w:type="dxa"/>
            <w:noWrap w:val="0"/>
            <w:vAlign w:val="top"/>
          </w:tcPr>
          <w:p w14:paraId="7BE0B07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1.可选择论文方向并查看论文提交要求，按照流程节点提交论文材料</w:t>
            </w:r>
          </w:p>
          <w:p w14:paraId="2A11AD9A">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2.支持论文答辩</w:t>
            </w:r>
          </w:p>
          <w:p w14:paraId="59B4FA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3.支持在线填写毕业生登记表</w:t>
            </w:r>
          </w:p>
          <w:p w14:paraId="44E9607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4.支持查看毕业信息</w:t>
            </w:r>
          </w:p>
        </w:tc>
      </w:tr>
      <w:tr w14:paraId="0823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132897A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缴费</w:t>
            </w:r>
          </w:p>
        </w:tc>
        <w:tc>
          <w:tcPr>
            <w:tcW w:w="1822" w:type="dxa"/>
            <w:noWrap w:val="0"/>
            <w:vAlign w:val="top"/>
          </w:tcPr>
          <w:p w14:paraId="1DCB44A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1.在线缴费</w:t>
            </w:r>
          </w:p>
          <w:p w14:paraId="49841A6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2.查看缴费信息</w:t>
            </w:r>
          </w:p>
        </w:tc>
        <w:tc>
          <w:tcPr>
            <w:tcW w:w="4832" w:type="dxa"/>
            <w:noWrap w:val="0"/>
            <w:vAlign w:val="top"/>
          </w:tcPr>
          <w:p w14:paraId="11E5DFF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1.实现多种缴费类型的自定义设置</w:t>
            </w:r>
          </w:p>
          <w:p w14:paraId="5AF2834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2.支持查看自己的详细缴费信息</w:t>
            </w:r>
          </w:p>
        </w:tc>
      </w:tr>
    </w:tbl>
    <w:p w14:paraId="50652563">
      <w:pPr>
        <w:rPr>
          <w:rFonts w:hint="eastAsia" w:ascii="宋体" w:hAnsi="宋体" w:eastAsia="宋体" w:cs="宋体"/>
          <w:sz w:val="24"/>
          <w:szCs w:val="24"/>
          <w:lang w:val="en-US" w:eastAsia="zh-CN"/>
        </w:rPr>
      </w:pPr>
    </w:p>
    <w:p w14:paraId="504D2640">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（4）课程资源</w:t>
      </w:r>
    </w:p>
    <w:p w14:paraId="433A155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课程资源采用服务方式提供，满足招标方业务需求。</w:t>
      </w:r>
    </w:p>
    <w:p w14:paraId="7B47EAA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①版权：要有正规授权或使用权。</w:t>
      </w:r>
    </w:p>
    <w:p w14:paraId="64C720F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②课程资源与附件一（课程目录）所列课程高度匹配。</w:t>
      </w:r>
    </w:p>
    <w:p w14:paraId="4A168CB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③投标人拥有资源共享平台，并且面向所有合作院校，投标人和院校共建课程可在资源共享平台里运营共赢。</w:t>
      </w:r>
    </w:p>
    <w:p w14:paraId="0E85034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④课程资源配套：课件匹配一定比例的导学资料、习题等，可以帮助学校快速实现在线组卷、在线机考。</w:t>
      </w:r>
    </w:p>
    <w:p w14:paraId="0D679CA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附件一（课程目录）如下：</w:t>
      </w:r>
    </w:p>
    <w:tbl>
      <w:tblPr>
        <w:tblStyle w:val="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5802"/>
        <w:gridCol w:w="2041"/>
      </w:tblGrid>
      <w:tr w14:paraId="719F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shd w:val="clear" w:color="auto" w:fill="FFFFFF"/>
            <w:noWrap/>
            <w:vAlign w:val="center"/>
          </w:tcPr>
          <w:p w14:paraId="10E887A6">
            <w:pPr>
              <w:pStyle w:val="25"/>
              <w:adjustRightInd w:val="0"/>
              <w:snapToGrid w:val="0"/>
              <w:spacing w:line="360" w:lineRule="auto"/>
              <w:ind w:left="766" w:leftChars="0" w:hanging="766" w:hangingChars="318"/>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序号</w:t>
            </w:r>
          </w:p>
        </w:tc>
        <w:tc>
          <w:tcPr>
            <w:tcW w:w="3164" w:type="pct"/>
            <w:shd w:val="clear" w:color="auto" w:fill="FFFFFF"/>
            <w:noWrap/>
            <w:vAlign w:val="center"/>
          </w:tcPr>
          <w:p w14:paraId="428AF4CE">
            <w:pPr>
              <w:pStyle w:val="25"/>
              <w:adjustRightInd w:val="0"/>
              <w:snapToGrid w:val="0"/>
              <w:spacing w:line="360" w:lineRule="auto"/>
              <w:ind w:left="766" w:leftChars="0" w:hanging="766" w:hangingChars="318"/>
              <w:jc w:val="center"/>
              <w:rPr>
                <w:rFonts w:hint="eastAsia" w:ascii="宋体" w:hAnsi="宋体" w:eastAsia="宋体" w:cs="宋体"/>
                <w:b/>
                <w:bCs/>
                <w:sz w:val="24"/>
                <w:szCs w:val="24"/>
              </w:rPr>
            </w:pPr>
            <w:r>
              <w:rPr>
                <w:rFonts w:hint="eastAsia" w:ascii="宋体" w:hAnsi="宋体" w:eastAsia="宋体" w:cs="宋体"/>
                <w:b/>
                <w:bCs/>
                <w:sz w:val="24"/>
                <w:szCs w:val="24"/>
              </w:rPr>
              <w:t>课程名称</w:t>
            </w:r>
          </w:p>
        </w:tc>
        <w:tc>
          <w:tcPr>
            <w:tcW w:w="1113" w:type="pct"/>
            <w:shd w:val="clear" w:color="auto" w:fill="FFFFFF"/>
            <w:noWrap/>
            <w:vAlign w:val="center"/>
          </w:tcPr>
          <w:p w14:paraId="443420A8">
            <w:pPr>
              <w:pStyle w:val="25"/>
              <w:adjustRightInd w:val="0"/>
              <w:snapToGrid w:val="0"/>
              <w:spacing w:line="360" w:lineRule="auto"/>
              <w:ind w:left="766" w:leftChars="0" w:hanging="766" w:hangingChars="318"/>
              <w:jc w:val="center"/>
              <w:rPr>
                <w:rFonts w:hint="eastAsia" w:ascii="宋体" w:hAnsi="宋体" w:eastAsia="宋体" w:cs="宋体"/>
                <w:b/>
                <w:bCs/>
                <w:sz w:val="24"/>
                <w:szCs w:val="24"/>
              </w:rPr>
            </w:pPr>
            <w:r>
              <w:rPr>
                <w:rFonts w:hint="eastAsia" w:ascii="宋体" w:hAnsi="宋体" w:eastAsia="宋体" w:cs="宋体"/>
                <w:b/>
                <w:bCs/>
                <w:sz w:val="24"/>
                <w:szCs w:val="24"/>
              </w:rPr>
              <w:t>课程类别</w:t>
            </w:r>
          </w:p>
        </w:tc>
      </w:tr>
      <w:tr w14:paraId="5DB5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5D3B5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3164" w:type="pct"/>
            <w:noWrap/>
            <w:vAlign w:val="center"/>
          </w:tcPr>
          <w:p w14:paraId="1080CBA8">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大学英语</w:t>
            </w:r>
          </w:p>
        </w:tc>
        <w:tc>
          <w:tcPr>
            <w:tcW w:w="1113" w:type="pct"/>
            <w:noWrap/>
            <w:vAlign w:val="center"/>
          </w:tcPr>
          <w:p w14:paraId="59DEE67F">
            <w:pPr>
              <w:keepNext w:val="0"/>
              <w:keepLines w:val="0"/>
              <w:widowControl/>
              <w:suppressLineNumbers w:val="0"/>
              <w:jc w:val="center"/>
              <w:textAlignment w:val="bottom"/>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公共基础课</w:t>
            </w:r>
          </w:p>
        </w:tc>
      </w:tr>
      <w:tr w14:paraId="6D7E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603934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3164" w:type="pct"/>
            <w:noWrap/>
            <w:vAlign w:val="center"/>
          </w:tcPr>
          <w:p w14:paraId="4C96247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计算机基础</w:t>
            </w:r>
          </w:p>
        </w:tc>
        <w:tc>
          <w:tcPr>
            <w:tcW w:w="1113" w:type="pct"/>
            <w:noWrap/>
            <w:vAlign w:val="center"/>
          </w:tcPr>
          <w:p w14:paraId="13E563F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5006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E1CEB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3164" w:type="pct"/>
            <w:noWrap/>
            <w:vAlign w:val="center"/>
          </w:tcPr>
          <w:p w14:paraId="21745E59">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毛泽东思想和中国特色社会主义理论体系概论</w:t>
            </w:r>
          </w:p>
        </w:tc>
        <w:tc>
          <w:tcPr>
            <w:tcW w:w="1113" w:type="pct"/>
            <w:noWrap/>
            <w:vAlign w:val="center"/>
          </w:tcPr>
          <w:p w14:paraId="42F1F7B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0B44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54E133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3164" w:type="pct"/>
            <w:noWrap/>
            <w:vAlign w:val="center"/>
          </w:tcPr>
          <w:p w14:paraId="01A8D9B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思想道德与法治</w:t>
            </w:r>
          </w:p>
        </w:tc>
        <w:tc>
          <w:tcPr>
            <w:tcW w:w="1113" w:type="pct"/>
            <w:noWrap/>
            <w:vAlign w:val="center"/>
          </w:tcPr>
          <w:p w14:paraId="2810A63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3823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94D004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3164" w:type="pct"/>
            <w:noWrap/>
            <w:vAlign w:val="center"/>
          </w:tcPr>
          <w:p w14:paraId="33C9D79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习近平新时代中国特色社会主义思想概论</w:t>
            </w:r>
          </w:p>
        </w:tc>
        <w:tc>
          <w:tcPr>
            <w:tcW w:w="1113" w:type="pct"/>
            <w:noWrap/>
            <w:vAlign w:val="center"/>
          </w:tcPr>
          <w:p w14:paraId="6C2F1A8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3FC2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B96BEE0">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3164" w:type="pct"/>
            <w:noWrap/>
            <w:vAlign w:val="center"/>
          </w:tcPr>
          <w:p w14:paraId="7DDD56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心理健康教育</w:t>
            </w:r>
          </w:p>
        </w:tc>
        <w:tc>
          <w:tcPr>
            <w:tcW w:w="1113" w:type="pct"/>
            <w:noWrap/>
            <w:vAlign w:val="center"/>
          </w:tcPr>
          <w:p w14:paraId="13E7ABCE">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公共基础课</w:t>
            </w:r>
          </w:p>
        </w:tc>
      </w:tr>
      <w:tr w14:paraId="7E53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93778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3164" w:type="pct"/>
            <w:noWrap/>
            <w:vAlign w:val="center"/>
          </w:tcPr>
          <w:p w14:paraId="250B30B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形势与政策</w:t>
            </w:r>
          </w:p>
        </w:tc>
        <w:tc>
          <w:tcPr>
            <w:tcW w:w="1113" w:type="pct"/>
            <w:noWrap/>
            <w:vAlign w:val="center"/>
          </w:tcPr>
          <w:p w14:paraId="7BCD21E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7256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F6600D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164" w:type="pct"/>
            <w:noWrap/>
            <w:vAlign w:val="center"/>
          </w:tcPr>
          <w:p w14:paraId="2E4D34D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高压电工技能培训</w:t>
            </w:r>
          </w:p>
        </w:tc>
        <w:tc>
          <w:tcPr>
            <w:tcW w:w="1113" w:type="pct"/>
            <w:noWrap/>
            <w:vAlign w:val="center"/>
          </w:tcPr>
          <w:p w14:paraId="2EAFAD7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实践教学环节</w:t>
            </w:r>
          </w:p>
        </w:tc>
      </w:tr>
      <w:tr w14:paraId="0C1B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A80E43C">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3164" w:type="pct"/>
            <w:noWrap/>
            <w:vAlign w:val="center"/>
          </w:tcPr>
          <w:p w14:paraId="4B5B3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化学检验工岗位技能培训</w:t>
            </w:r>
          </w:p>
        </w:tc>
        <w:tc>
          <w:tcPr>
            <w:tcW w:w="1113" w:type="pct"/>
            <w:noWrap/>
            <w:vAlign w:val="center"/>
          </w:tcPr>
          <w:p w14:paraId="316A4F53">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4BBB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77C1B3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3164" w:type="pct"/>
            <w:noWrap/>
            <w:vAlign w:val="center"/>
          </w:tcPr>
          <w:p w14:paraId="64212C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会计实操</w:t>
            </w:r>
          </w:p>
        </w:tc>
        <w:tc>
          <w:tcPr>
            <w:tcW w:w="1113" w:type="pct"/>
            <w:noWrap/>
            <w:vAlign w:val="center"/>
          </w:tcPr>
          <w:p w14:paraId="41BEF474">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26B8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3D305B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w:t>
            </w:r>
          </w:p>
        </w:tc>
        <w:tc>
          <w:tcPr>
            <w:tcW w:w="3164" w:type="pct"/>
            <w:noWrap/>
            <w:vAlign w:val="center"/>
          </w:tcPr>
          <w:p w14:paraId="59522D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物流实操</w:t>
            </w:r>
          </w:p>
        </w:tc>
        <w:tc>
          <w:tcPr>
            <w:tcW w:w="1113" w:type="pct"/>
            <w:noWrap/>
            <w:vAlign w:val="center"/>
          </w:tcPr>
          <w:p w14:paraId="08A7EBE3">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30E2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B95C02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w:t>
            </w:r>
          </w:p>
        </w:tc>
        <w:tc>
          <w:tcPr>
            <w:tcW w:w="3164" w:type="pct"/>
            <w:noWrap/>
            <w:vAlign w:val="center"/>
          </w:tcPr>
          <w:p w14:paraId="640D1B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制药技术综合训练</w:t>
            </w:r>
          </w:p>
        </w:tc>
        <w:tc>
          <w:tcPr>
            <w:tcW w:w="1113" w:type="pct"/>
            <w:noWrap/>
            <w:vAlign w:val="center"/>
          </w:tcPr>
          <w:p w14:paraId="1D66AFF9">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1149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B57845D">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13</w:t>
            </w:r>
          </w:p>
        </w:tc>
        <w:tc>
          <w:tcPr>
            <w:tcW w:w="3164" w:type="pct"/>
            <w:noWrap/>
            <w:vAlign w:val="center"/>
          </w:tcPr>
          <w:p w14:paraId="3FED98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Solidworks机械设计</w:t>
            </w:r>
          </w:p>
        </w:tc>
        <w:tc>
          <w:tcPr>
            <w:tcW w:w="1113" w:type="pct"/>
            <w:noWrap/>
            <w:vAlign w:val="center"/>
          </w:tcPr>
          <w:p w14:paraId="0061FFFF">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0E7C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9A9FD6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w:t>
            </w:r>
          </w:p>
        </w:tc>
        <w:tc>
          <w:tcPr>
            <w:tcW w:w="3164" w:type="pct"/>
            <w:noWrap/>
            <w:vAlign w:val="center"/>
          </w:tcPr>
          <w:p w14:paraId="0C8AAE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UG数控编程</w:t>
            </w:r>
          </w:p>
        </w:tc>
        <w:tc>
          <w:tcPr>
            <w:tcW w:w="1113" w:type="pct"/>
            <w:noWrap/>
            <w:vAlign w:val="center"/>
          </w:tcPr>
          <w:p w14:paraId="5BC91488">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2321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A5FF38D">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w:t>
            </w:r>
          </w:p>
        </w:tc>
        <w:tc>
          <w:tcPr>
            <w:tcW w:w="3164" w:type="pct"/>
            <w:noWrap/>
            <w:vAlign w:val="center"/>
          </w:tcPr>
          <w:p w14:paraId="63084E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安全技能综合训练</w:t>
            </w:r>
          </w:p>
        </w:tc>
        <w:tc>
          <w:tcPr>
            <w:tcW w:w="1113" w:type="pct"/>
            <w:noWrap/>
            <w:vAlign w:val="center"/>
          </w:tcPr>
          <w:p w14:paraId="48A18F1C">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2308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94C536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16</w:t>
            </w:r>
          </w:p>
        </w:tc>
        <w:tc>
          <w:tcPr>
            <w:tcW w:w="3164" w:type="pct"/>
            <w:noWrap/>
            <w:vAlign w:val="center"/>
          </w:tcPr>
          <w:p w14:paraId="71B33B1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安全技术与管理</w:t>
            </w:r>
          </w:p>
        </w:tc>
        <w:tc>
          <w:tcPr>
            <w:tcW w:w="1113" w:type="pct"/>
            <w:noWrap/>
            <w:vAlign w:val="center"/>
          </w:tcPr>
          <w:p w14:paraId="5EBCDE1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096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F79B98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17</w:t>
            </w:r>
          </w:p>
        </w:tc>
        <w:tc>
          <w:tcPr>
            <w:tcW w:w="3164" w:type="pct"/>
            <w:noWrap/>
            <w:vAlign w:val="center"/>
          </w:tcPr>
          <w:p w14:paraId="0142011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财务管理</w:t>
            </w:r>
          </w:p>
        </w:tc>
        <w:tc>
          <w:tcPr>
            <w:tcW w:w="1113" w:type="pct"/>
            <w:noWrap/>
            <w:vAlign w:val="center"/>
          </w:tcPr>
          <w:p w14:paraId="25D8836A">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C0C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26423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18</w:t>
            </w:r>
          </w:p>
        </w:tc>
        <w:tc>
          <w:tcPr>
            <w:tcW w:w="3164" w:type="pct"/>
            <w:noWrap/>
            <w:vAlign w:val="center"/>
          </w:tcPr>
          <w:p w14:paraId="5119303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采购管理实务</w:t>
            </w:r>
          </w:p>
        </w:tc>
        <w:tc>
          <w:tcPr>
            <w:tcW w:w="1113" w:type="pct"/>
            <w:noWrap/>
            <w:vAlign w:val="center"/>
          </w:tcPr>
          <w:p w14:paraId="32ADBBB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997B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9C854B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19</w:t>
            </w:r>
          </w:p>
        </w:tc>
        <w:tc>
          <w:tcPr>
            <w:tcW w:w="3164" w:type="pct"/>
            <w:noWrap/>
            <w:vAlign w:val="center"/>
          </w:tcPr>
          <w:p w14:paraId="7457A99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仓储管理</w:t>
            </w:r>
          </w:p>
        </w:tc>
        <w:tc>
          <w:tcPr>
            <w:tcW w:w="1113" w:type="pct"/>
            <w:noWrap/>
            <w:vAlign w:val="center"/>
          </w:tcPr>
          <w:p w14:paraId="75357BC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039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0D3DFC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20</w:t>
            </w:r>
          </w:p>
        </w:tc>
        <w:tc>
          <w:tcPr>
            <w:tcW w:w="3164" w:type="pct"/>
            <w:noWrap/>
            <w:vAlign w:val="center"/>
          </w:tcPr>
          <w:p w14:paraId="472C82D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初级会计实务</w:t>
            </w:r>
          </w:p>
        </w:tc>
        <w:tc>
          <w:tcPr>
            <w:tcW w:w="1113" w:type="pct"/>
            <w:noWrap/>
            <w:vAlign w:val="center"/>
          </w:tcPr>
          <w:p w14:paraId="2D84018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C34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2A8B69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21</w:t>
            </w:r>
          </w:p>
        </w:tc>
        <w:tc>
          <w:tcPr>
            <w:tcW w:w="3164" w:type="pct"/>
            <w:noWrap/>
            <w:vAlign w:val="center"/>
          </w:tcPr>
          <w:p w14:paraId="2397A7B9">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单元过程控制技术</w:t>
            </w:r>
          </w:p>
        </w:tc>
        <w:tc>
          <w:tcPr>
            <w:tcW w:w="1113" w:type="pct"/>
            <w:noWrap/>
            <w:vAlign w:val="center"/>
          </w:tcPr>
          <w:p w14:paraId="70D5EC9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A69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169368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22</w:t>
            </w:r>
          </w:p>
        </w:tc>
        <w:tc>
          <w:tcPr>
            <w:tcW w:w="3164" w:type="pct"/>
            <w:noWrap/>
            <w:vAlign w:val="center"/>
          </w:tcPr>
          <w:p w14:paraId="5B4D6C2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低压电工技能培训</w:t>
            </w:r>
          </w:p>
        </w:tc>
        <w:tc>
          <w:tcPr>
            <w:tcW w:w="1113" w:type="pct"/>
            <w:noWrap/>
            <w:vAlign w:val="center"/>
          </w:tcPr>
          <w:p w14:paraId="5ED8A69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D4C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5E49BC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23</w:t>
            </w:r>
          </w:p>
        </w:tc>
        <w:tc>
          <w:tcPr>
            <w:tcW w:w="3164" w:type="pct"/>
            <w:noWrap/>
            <w:vAlign w:val="center"/>
          </w:tcPr>
          <w:p w14:paraId="5A762C5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电工电子基础</w:t>
            </w:r>
          </w:p>
        </w:tc>
        <w:tc>
          <w:tcPr>
            <w:tcW w:w="1113" w:type="pct"/>
            <w:noWrap/>
            <w:vAlign w:val="center"/>
          </w:tcPr>
          <w:p w14:paraId="27B3BA3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CD3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39AC8D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24</w:t>
            </w:r>
          </w:p>
        </w:tc>
        <w:tc>
          <w:tcPr>
            <w:tcW w:w="3164" w:type="pct"/>
            <w:noWrap/>
            <w:vAlign w:val="center"/>
          </w:tcPr>
          <w:p w14:paraId="6C129E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电气与PLC控制技术</w:t>
            </w:r>
          </w:p>
        </w:tc>
        <w:tc>
          <w:tcPr>
            <w:tcW w:w="1113" w:type="pct"/>
            <w:noWrap/>
            <w:vAlign w:val="center"/>
          </w:tcPr>
          <w:p w14:paraId="30DDA30D">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B89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5B7474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25</w:t>
            </w:r>
          </w:p>
        </w:tc>
        <w:tc>
          <w:tcPr>
            <w:tcW w:w="3164" w:type="pct"/>
            <w:noWrap/>
            <w:vAlign w:val="center"/>
          </w:tcPr>
          <w:p w14:paraId="3A84BB8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电子商务概论</w:t>
            </w:r>
          </w:p>
        </w:tc>
        <w:tc>
          <w:tcPr>
            <w:tcW w:w="1113" w:type="pct"/>
            <w:noWrap/>
            <w:vAlign w:val="center"/>
          </w:tcPr>
          <w:p w14:paraId="44500164">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859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D3E08A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26</w:t>
            </w:r>
          </w:p>
        </w:tc>
        <w:tc>
          <w:tcPr>
            <w:tcW w:w="3164" w:type="pct"/>
            <w:noWrap/>
            <w:vAlign w:val="center"/>
          </w:tcPr>
          <w:p w14:paraId="17D6212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电子商务数据分析与应用</w:t>
            </w:r>
          </w:p>
        </w:tc>
        <w:tc>
          <w:tcPr>
            <w:tcW w:w="1113" w:type="pct"/>
            <w:noWrap/>
            <w:vAlign w:val="center"/>
          </w:tcPr>
          <w:p w14:paraId="17EB9E4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365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F9CB97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27</w:t>
            </w:r>
          </w:p>
        </w:tc>
        <w:tc>
          <w:tcPr>
            <w:tcW w:w="3164" w:type="pct"/>
            <w:noWrap/>
            <w:vAlign w:val="center"/>
          </w:tcPr>
          <w:p w14:paraId="377EB82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工业机器人编程与调试</w:t>
            </w:r>
          </w:p>
        </w:tc>
        <w:tc>
          <w:tcPr>
            <w:tcW w:w="1113" w:type="pct"/>
            <w:noWrap/>
            <w:vAlign w:val="center"/>
          </w:tcPr>
          <w:p w14:paraId="367FAC6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DEB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2763B5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28</w:t>
            </w:r>
          </w:p>
        </w:tc>
        <w:tc>
          <w:tcPr>
            <w:tcW w:w="3164" w:type="pct"/>
            <w:noWrap/>
            <w:vAlign w:val="center"/>
          </w:tcPr>
          <w:p w14:paraId="0B8385E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管理学</w:t>
            </w:r>
          </w:p>
        </w:tc>
        <w:tc>
          <w:tcPr>
            <w:tcW w:w="1113" w:type="pct"/>
            <w:noWrap/>
            <w:vAlign w:val="center"/>
          </w:tcPr>
          <w:p w14:paraId="0EC7CD5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7E9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2E7833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29</w:t>
            </w:r>
          </w:p>
        </w:tc>
        <w:tc>
          <w:tcPr>
            <w:tcW w:w="3164" w:type="pct"/>
            <w:noWrap/>
            <w:vAlign w:val="center"/>
          </w:tcPr>
          <w:p w14:paraId="29089A3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互联网营销师实操训练</w:t>
            </w:r>
          </w:p>
        </w:tc>
        <w:tc>
          <w:tcPr>
            <w:tcW w:w="1113" w:type="pct"/>
            <w:noWrap/>
            <w:vAlign w:val="center"/>
          </w:tcPr>
          <w:p w14:paraId="46E0EFCF">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4FC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E905B6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30</w:t>
            </w:r>
          </w:p>
        </w:tc>
        <w:tc>
          <w:tcPr>
            <w:tcW w:w="3164" w:type="pct"/>
            <w:noWrap/>
            <w:vAlign w:val="center"/>
          </w:tcPr>
          <w:p w14:paraId="172EB08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化工工艺学</w:t>
            </w:r>
          </w:p>
        </w:tc>
        <w:tc>
          <w:tcPr>
            <w:tcW w:w="1113" w:type="pct"/>
            <w:noWrap/>
            <w:vAlign w:val="center"/>
          </w:tcPr>
          <w:p w14:paraId="39F3CD0D">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0B0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CA266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31</w:t>
            </w:r>
          </w:p>
        </w:tc>
        <w:tc>
          <w:tcPr>
            <w:tcW w:w="3164" w:type="pct"/>
            <w:noWrap/>
            <w:vAlign w:val="center"/>
          </w:tcPr>
          <w:p w14:paraId="5840E81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化工技能综合训练</w:t>
            </w:r>
          </w:p>
        </w:tc>
        <w:tc>
          <w:tcPr>
            <w:tcW w:w="1113" w:type="pct"/>
            <w:noWrap/>
            <w:vAlign w:val="center"/>
          </w:tcPr>
          <w:p w14:paraId="6B18AD5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AA7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227FA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32</w:t>
            </w:r>
          </w:p>
        </w:tc>
        <w:tc>
          <w:tcPr>
            <w:tcW w:w="3164" w:type="pct"/>
            <w:noWrap/>
            <w:vAlign w:val="center"/>
          </w:tcPr>
          <w:p w14:paraId="62FE48F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化工制图与CAD基础</w:t>
            </w:r>
          </w:p>
        </w:tc>
        <w:tc>
          <w:tcPr>
            <w:tcW w:w="1113" w:type="pct"/>
            <w:noWrap/>
            <w:vAlign w:val="center"/>
          </w:tcPr>
          <w:p w14:paraId="605AD22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C5F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AFCC4A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33</w:t>
            </w:r>
          </w:p>
        </w:tc>
        <w:tc>
          <w:tcPr>
            <w:tcW w:w="3164" w:type="pct"/>
            <w:noWrap/>
            <w:vAlign w:val="center"/>
          </w:tcPr>
          <w:p w14:paraId="3AEEC2D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环境评价</w:t>
            </w:r>
          </w:p>
        </w:tc>
        <w:tc>
          <w:tcPr>
            <w:tcW w:w="1113" w:type="pct"/>
            <w:noWrap/>
            <w:vAlign w:val="center"/>
          </w:tcPr>
          <w:p w14:paraId="3A24878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1CF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CD207D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34</w:t>
            </w:r>
          </w:p>
        </w:tc>
        <w:tc>
          <w:tcPr>
            <w:tcW w:w="3164" w:type="pct"/>
            <w:noWrap/>
            <w:vAlign w:val="center"/>
          </w:tcPr>
          <w:p w14:paraId="32E882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机械设计基础</w:t>
            </w:r>
          </w:p>
        </w:tc>
        <w:tc>
          <w:tcPr>
            <w:tcW w:w="1113" w:type="pct"/>
            <w:noWrap/>
            <w:vAlign w:val="center"/>
          </w:tcPr>
          <w:p w14:paraId="1C56A0A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ACB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58A44B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35</w:t>
            </w:r>
          </w:p>
        </w:tc>
        <w:tc>
          <w:tcPr>
            <w:tcW w:w="3164" w:type="pct"/>
            <w:noWrap/>
            <w:vAlign w:val="center"/>
          </w:tcPr>
          <w:p w14:paraId="2244EAB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机械制图与AutoCAD</w:t>
            </w:r>
          </w:p>
        </w:tc>
        <w:tc>
          <w:tcPr>
            <w:tcW w:w="1113" w:type="pct"/>
            <w:noWrap/>
            <w:vAlign w:val="center"/>
          </w:tcPr>
          <w:p w14:paraId="2C896DD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4D0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88432E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36</w:t>
            </w:r>
          </w:p>
        </w:tc>
        <w:tc>
          <w:tcPr>
            <w:tcW w:w="3164" w:type="pct"/>
            <w:noWrap/>
            <w:vAlign w:val="center"/>
          </w:tcPr>
          <w:p w14:paraId="6AF6BD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机械制造技术</w:t>
            </w:r>
          </w:p>
        </w:tc>
        <w:tc>
          <w:tcPr>
            <w:tcW w:w="1113" w:type="pct"/>
            <w:noWrap/>
            <w:vAlign w:val="center"/>
          </w:tcPr>
          <w:p w14:paraId="2A33925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D7D6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F22E62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37</w:t>
            </w:r>
          </w:p>
        </w:tc>
        <w:tc>
          <w:tcPr>
            <w:tcW w:w="3164" w:type="pct"/>
            <w:noWrap/>
            <w:vAlign w:val="center"/>
          </w:tcPr>
          <w:p w14:paraId="0868E99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基础化学</w:t>
            </w:r>
          </w:p>
        </w:tc>
        <w:tc>
          <w:tcPr>
            <w:tcW w:w="1113" w:type="pct"/>
            <w:noWrap/>
            <w:vAlign w:val="center"/>
          </w:tcPr>
          <w:p w14:paraId="005CA70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349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AEE549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38</w:t>
            </w:r>
          </w:p>
        </w:tc>
        <w:tc>
          <w:tcPr>
            <w:tcW w:w="3164" w:type="pct"/>
            <w:noWrap/>
            <w:vAlign w:val="center"/>
          </w:tcPr>
          <w:p w14:paraId="145F189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基础会计</w:t>
            </w:r>
          </w:p>
        </w:tc>
        <w:tc>
          <w:tcPr>
            <w:tcW w:w="1113" w:type="pct"/>
            <w:noWrap/>
            <w:vAlign w:val="center"/>
          </w:tcPr>
          <w:p w14:paraId="180D0B8A">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12E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280366">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39</w:t>
            </w:r>
          </w:p>
        </w:tc>
        <w:tc>
          <w:tcPr>
            <w:tcW w:w="3164" w:type="pct"/>
            <w:noWrap/>
            <w:vAlign w:val="center"/>
          </w:tcPr>
          <w:p w14:paraId="3C10A9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建设工程法规及相关知识</w:t>
            </w:r>
          </w:p>
        </w:tc>
        <w:tc>
          <w:tcPr>
            <w:tcW w:w="1113" w:type="pct"/>
            <w:noWrap/>
            <w:vAlign w:val="center"/>
          </w:tcPr>
          <w:p w14:paraId="65C4DFF8">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79C2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EA3FC5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w:t>
            </w:r>
          </w:p>
        </w:tc>
        <w:tc>
          <w:tcPr>
            <w:tcW w:w="3164" w:type="pct"/>
            <w:noWrap/>
            <w:vAlign w:val="center"/>
          </w:tcPr>
          <w:p w14:paraId="048A8BF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建筑工程计量与计价</w:t>
            </w:r>
          </w:p>
        </w:tc>
        <w:tc>
          <w:tcPr>
            <w:tcW w:w="1113" w:type="pct"/>
            <w:noWrap/>
            <w:vAlign w:val="center"/>
          </w:tcPr>
          <w:p w14:paraId="6C638F0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CA6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41640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41</w:t>
            </w:r>
          </w:p>
        </w:tc>
        <w:tc>
          <w:tcPr>
            <w:tcW w:w="3164" w:type="pct"/>
            <w:noWrap/>
            <w:vAlign w:val="center"/>
          </w:tcPr>
          <w:p w14:paraId="365EF0A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建筑工程经济</w:t>
            </w:r>
          </w:p>
        </w:tc>
        <w:tc>
          <w:tcPr>
            <w:tcW w:w="1113" w:type="pct"/>
            <w:noWrap/>
            <w:vAlign w:val="center"/>
          </w:tcPr>
          <w:p w14:paraId="6A32D23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A42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5904B5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42</w:t>
            </w:r>
          </w:p>
        </w:tc>
        <w:tc>
          <w:tcPr>
            <w:tcW w:w="3164" w:type="pct"/>
            <w:noWrap/>
            <w:vAlign w:val="center"/>
          </w:tcPr>
          <w:p w14:paraId="04BD553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建筑工程项目管理</w:t>
            </w:r>
          </w:p>
        </w:tc>
        <w:tc>
          <w:tcPr>
            <w:tcW w:w="1113" w:type="pct"/>
            <w:noWrap/>
            <w:vAlign w:val="center"/>
          </w:tcPr>
          <w:p w14:paraId="27AF0B5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ECD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176879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43</w:t>
            </w:r>
          </w:p>
        </w:tc>
        <w:tc>
          <w:tcPr>
            <w:tcW w:w="3164" w:type="pct"/>
            <w:noWrap/>
            <w:vAlign w:val="center"/>
          </w:tcPr>
          <w:p w14:paraId="43C8A2D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建筑构造与识图</w:t>
            </w:r>
          </w:p>
        </w:tc>
        <w:tc>
          <w:tcPr>
            <w:tcW w:w="1113" w:type="pct"/>
            <w:noWrap/>
            <w:vAlign w:val="center"/>
          </w:tcPr>
          <w:p w14:paraId="5D35561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BCD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956BAC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44</w:t>
            </w:r>
          </w:p>
        </w:tc>
        <w:tc>
          <w:tcPr>
            <w:tcW w:w="3164" w:type="pct"/>
            <w:noWrap/>
            <w:vAlign w:val="center"/>
          </w:tcPr>
          <w:p w14:paraId="6C16996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建筑施工技术</w:t>
            </w:r>
          </w:p>
        </w:tc>
        <w:tc>
          <w:tcPr>
            <w:tcW w:w="1113" w:type="pct"/>
            <w:noWrap/>
            <w:vAlign w:val="center"/>
          </w:tcPr>
          <w:p w14:paraId="4EB5840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225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41B171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45</w:t>
            </w:r>
          </w:p>
        </w:tc>
        <w:tc>
          <w:tcPr>
            <w:tcW w:w="3164" w:type="pct"/>
            <w:noWrap/>
            <w:vAlign w:val="center"/>
          </w:tcPr>
          <w:p w14:paraId="76605B8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经济法</w:t>
            </w:r>
          </w:p>
        </w:tc>
        <w:tc>
          <w:tcPr>
            <w:tcW w:w="1113" w:type="pct"/>
            <w:noWrap/>
            <w:vAlign w:val="center"/>
          </w:tcPr>
          <w:p w14:paraId="683914F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533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7EB2C2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46</w:t>
            </w:r>
          </w:p>
        </w:tc>
        <w:tc>
          <w:tcPr>
            <w:tcW w:w="3164" w:type="pct"/>
            <w:noWrap/>
            <w:vAlign w:val="center"/>
          </w:tcPr>
          <w:p w14:paraId="2EDFBF1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施工图识图训练</w:t>
            </w:r>
          </w:p>
        </w:tc>
        <w:tc>
          <w:tcPr>
            <w:tcW w:w="1113" w:type="pct"/>
            <w:noWrap/>
            <w:vAlign w:val="center"/>
          </w:tcPr>
          <w:p w14:paraId="400244E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AEA1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E5F876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47</w:t>
            </w:r>
          </w:p>
        </w:tc>
        <w:tc>
          <w:tcPr>
            <w:tcW w:w="3164" w:type="pct"/>
            <w:noWrap/>
            <w:vAlign w:val="center"/>
          </w:tcPr>
          <w:p w14:paraId="0579D22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图形图像处理</w:t>
            </w:r>
          </w:p>
        </w:tc>
        <w:tc>
          <w:tcPr>
            <w:tcW w:w="1113" w:type="pct"/>
            <w:noWrap/>
            <w:vAlign w:val="center"/>
          </w:tcPr>
          <w:p w14:paraId="39EC7AA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E15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1C9F6F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48</w:t>
            </w:r>
          </w:p>
        </w:tc>
        <w:tc>
          <w:tcPr>
            <w:tcW w:w="3164" w:type="pct"/>
            <w:noWrap/>
            <w:vAlign w:val="center"/>
          </w:tcPr>
          <w:p w14:paraId="5C1F538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网店运营</w:t>
            </w:r>
          </w:p>
        </w:tc>
        <w:tc>
          <w:tcPr>
            <w:tcW w:w="1113" w:type="pct"/>
            <w:noWrap/>
            <w:vAlign w:val="center"/>
          </w:tcPr>
          <w:p w14:paraId="242FE59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53B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8A4D9C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49</w:t>
            </w:r>
          </w:p>
        </w:tc>
        <w:tc>
          <w:tcPr>
            <w:tcW w:w="3164" w:type="pct"/>
            <w:noWrap/>
            <w:vAlign w:val="center"/>
          </w:tcPr>
          <w:p w14:paraId="21E9E88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物流成本管理</w:t>
            </w:r>
          </w:p>
        </w:tc>
        <w:tc>
          <w:tcPr>
            <w:tcW w:w="1113" w:type="pct"/>
            <w:noWrap/>
            <w:vAlign w:val="center"/>
          </w:tcPr>
          <w:p w14:paraId="72243B2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05A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9454B2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50</w:t>
            </w:r>
          </w:p>
        </w:tc>
        <w:tc>
          <w:tcPr>
            <w:tcW w:w="3164" w:type="pct"/>
            <w:noWrap/>
            <w:vAlign w:val="center"/>
          </w:tcPr>
          <w:p w14:paraId="560D6BF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物流管理基础</w:t>
            </w:r>
          </w:p>
        </w:tc>
        <w:tc>
          <w:tcPr>
            <w:tcW w:w="1113" w:type="pct"/>
            <w:noWrap/>
            <w:vAlign w:val="center"/>
          </w:tcPr>
          <w:p w14:paraId="15F492C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8F9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29E118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51</w:t>
            </w:r>
          </w:p>
        </w:tc>
        <w:tc>
          <w:tcPr>
            <w:tcW w:w="3164" w:type="pct"/>
            <w:noWrap/>
            <w:vAlign w:val="center"/>
          </w:tcPr>
          <w:p w14:paraId="46C9D27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物流项目管理</w:t>
            </w:r>
          </w:p>
        </w:tc>
        <w:tc>
          <w:tcPr>
            <w:tcW w:w="1113" w:type="pct"/>
            <w:noWrap/>
            <w:vAlign w:val="center"/>
          </w:tcPr>
          <w:p w14:paraId="0BC3E91F">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5EC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66D4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52</w:t>
            </w:r>
          </w:p>
        </w:tc>
        <w:tc>
          <w:tcPr>
            <w:tcW w:w="3164" w:type="pct"/>
            <w:noWrap/>
            <w:vAlign w:val="center"/>
          </w:tcPr>
          <w:p w14:paraId="0F9BD33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新媒体运营</w:t>
            </w:r>
          </w:p>
        </w:tc>
        <w:tc>
          <w:tcPr>
            <w:tcW w:w="1113" w:type="pct"/>
            <w:noWrap/>
            <w:vAlign w:val="center"/>
          </w:tcPr>
          <w:p w14:paraId="1733FBE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379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3E7167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53</w:t>
            </w:r>
          </w:p>
        </w:tc>
        <w:tc>
          <w:tcPr>
            <w:tcW w:w="3164" w:type="pct"/>
            <w:noWrap/>
            <w:vAlign w:val="center"/>
          </w:tcPr>
          <w:p w14:paraId="74C2C797">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药物分析技术</w:t>
            </w:r>
          </w:p>
        </w:tc>
        <w:tc>
          <w:tcPr>
            <w:tcW w:w="1113" w:type="pct"/>
            <w:noWrap/>
            <w:vAlign w:val="center"/>
          </w:tcPr>
          <w:p w14:paraId="5BFD39B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6D7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6B0C70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54</w:t>
            </w:r>
          </w:p>
        </w:tc>
        <w:tc>
          <w:tcPr>
            <w:tcW w:w="3164" w:type="pct"/>
            <w:noWrap/>
            <w:vAlign w:val="center"/>
          </w:tcPr>
          <w:p w14:paraId="084CB60A">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药物制剂工岗位技能培训</w:t>
            </w:r>
          </w:p>
        </w:tc>
        <w:tc>
          <w:tcPr>
            <w:tcW w:w="1113" w:type="pct"/>
            <w:noWrap/>
            <w:vAlign w:val="center"/>
          </w:tcPr>
          <w:p w14:paraId="0121DB9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E3FD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F4B32F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55</w:t>
            </w:r>
          </w:p>
        </w:tc>
        <w:tc>
          <w:tcPr>
            <w:tcW w:w="3164" w:type="pct"/>
            <w:noWrap/>
            <w:vAlign w:val="center"/>
          </w:tcPr>
          <w:p w14:paraId="24AE59D8">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药物制剂技术</w:t>
            </w:r>
          </w:p>
        </w:tc>
        <w:tc>
          <w:tcPr>
            <w:tcW w:w="1113" w:type="pct"/>
            <w:noWrap/>
            <w:vAlign w:val="center"/>
          </w:tcPr>
          <w:p w14:paraId="38E545F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5D5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F726B5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56</w:t>
            </w:r>
          </w:p>
        </w:tc>
        <w:tc>
          <w:tcPr>
            <w:tcW w:w="3164" w:type="pct"/>
            <w:noWrap/>
            <w:vAlign w:val="center"/>
          </w:tcPr>
          <w:p w14:paraId="417BF2D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药学综合知识与技能</w:t>
            </w:r>
          </w:p>
        </w:tc>
        <w:tc>
          <w:tcPr>
            <w:tcW w:w="1113" w:type="pct"/>
            <w:noWrap/>
            <w:vAlign w:val="center"/>
          </w:tcPr>
          <w:p w14:paraId="0E00BF9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A49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9541BD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57</w:t>
            </w:r>
          </w:p>
        </w:tc>
        <w:tc>
          <w:tcPr>
            <w:tcW w:w="3164" w:type="pct"/>
            <w:noWrap/>
            <w:vAlign w:val="center"/>
          </w:tcPr>
          <w:p w14:paraId="54F13F5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运输管理</w:t>
            </w:r>
          </w:p>
        </w:tc>
        <w:tc>
          <w:tcPr>
            <w:tcW w:w="1113" w:type="pct"/>
            <w:noWrap/>
            <w:vAlign w:val="center"/>
          </w:tcPr>
          <w:p w14:paraId="0065D1C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BEF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93C21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58</w:t>
            </w:r>
          </w:p>
        </w:tc>
        <w:tc>
          <w:tcPr>
            <w:tcW w:w="3164" w:type="pct"/>
            <w:noWrap/>
            <w:vAlign w:val="center"/>
          </w:tcPr>
          <w:p w14:paraId="3BE430A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直播运营</w:t>
            </w:r>
          </w:p>
        </w:tc>
        <w:tc>
          <w:tcPr>
            <w:tcW w:w="1113" w:type="pct"/>
            <w:noWrap/>
            <w:vAlign w:val="center"/>
          </w:tcPr>
          <w:p w14:paraId="76F1A74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CF2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03360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59</w:t>
            </w:r>
          </w:p>
        </w:tc>
        <w:tc>
          <w:tcPr>
            <w:tcW w:w="3164" w:type="pct"/>
            <w:noWrap/>
            <w:vAlign w:val="center"/>
          </w:tcPr>
          <w:p w14:paraId="4162AD6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制药设备及技术</w:t>
            </w:r>
          </w:p>
        </w:tc>
        <w:tc>
          <w:tcPr>
            <w:tcW w:w="1113" w:type="pct"/>
            <w:noWrap/>
            <w:vAlign w:val="center"/>
          </w:tcPr>
          <w:p w14:paraId="7E91FC2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B29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7457D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60</w:t>
            </w:r>
          </w:p>
        </w:tc>
        <w:tc>
          <w:tcPr>
            <w:tcW w:w="3164" w:type="pct"/>
            <w:noWrap/>
            <w:vAlign w:val="center"/>
          </w:tcPr>
          <w:p w14:paraId="5FC6E50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中级会计实务</w:t>
            </w:r>
          </w:p>
        </w:tc>
        <w:tc>
          <w:tcPr>
            <w:tcW w:w="1113" w:type="pct"/>
            <w:noWrap/>
            <w:vAlign w:val="center"/>
          </w:tcPr>
          <w:p w14:paraId="47D2A2C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A99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BB457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61</w:t>
            </w:r>
          </w:p>
        </w:tc>
        <w:tc>
          <w:tcPr>
            <w:tcW w:w="3164" w:type="pct"/>
            <w:noWrap/>
            <w:vAlign w:val="center"/>
          </w:tcPr>
          <w:p w14:paraId="7008A5A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装配式建筑概论</w:t>
            </w:r>
          </w:p>
        </w:tc>
        <w:tc>
          <w:tcPr>
            <w:tcW w:w="1113" w:type="pct"/>
            <w:noWrap/>
            <w:vAlign w:val="center"/>
          </w:tcPr>
          <w:p w14:paraId="496FCF7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78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AEEA21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62</w:t>
            </w:r>
          </w:p>
        </w:tc>
        <w:tc>
          <w:tcPr>
            <w:tcW w:w="3164" w:type="pct"/>
            <w:noWrap/>
            <w:vAlign w:val="center"/>
          </w:tcPr>
          <w:p w14:paraId="5300E1A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自动生产线安装与调试</w:t>
            </w:r>
          </w:p>
        </w:tc>
        <w:tc>
          <w:tcPr>
            <w:tcW w:w="1113" w:type="pct"/>
            <w:noWrap/>
            <w:vAlign w:val="center"/>
          </w:tcPr>
          <w:p w14:paraId="40D25DE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bl>
    <w:p w14:paraId="41159C41">
      <w:pPr>
        <w:keepNext w:val="0"/>
        <w:keepLines w:val="0"/>
        <w:pageBreakBefore w:val="0"/>
        <w:kinsoku/>
        <w:wordWrap/>
        <w:overflowPunct/>
        <w:topLinePunct w:val="0"/>
        <w:autoSpaceDE/>
        <w:autoSpaceDN/>
        <w:bidi w:val="0"/>
        <w:adjustRightInd/>
        <w:spacing w:line="460" w:lineRule="exact"/>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3.信息保密</w:t>
      </w:r>
      <w:r>
        <w:rPr>
          <w:rFonts w:hint="eastAsia" w:ascii="宋体" w:hAnsi="宋体" w:cs="宋体"/>
          <w:b/>
          <w:bCs/>
          <w:color w:val="auto"/>
          <w:sz w:val="24"/>
          <w:szCs w:val="24"/>
          <w:highlight w:val="none"/>
          <w:lang w:val="en-US" w:eastAsia="zh-CN"/>
        </w:rPr>
        <w:t>要求</w:t>
      </w:r>
    </w:p>
    <w:p w14:paraId="5C378177">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（1）中标人必须对招标人提供的所有资料、数据、档案负有保密责任，中标人不得透露给任何第三方。</w:t>
      </w:r>
    </w:p>
    <w:p w14:paraId="42ED96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p>
    <w:p w14:paraId="0F4AB4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为保密资料的安全管理者。中标方不得将保密资料未经采购方授权用于其他用途；不得以商业目的使用该数据或者开发和生产其他产品；中标方可根据采购方需要对数据内容进行必要的修改和对数据格式进行转换，但未经许可，不得将修改、转换后的数据对外发布和提供；中标方不得将成果在计算机互联网上传输、登载。</w:t>
      </w:r>
    </w:p>
    <w:p w14:paraId="237152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（4）中标人按照采购方要求使用完成后应将资料删除销毁。协议期满后中标人按要求协助采购方完成数据迁移。</w:t>
      </w:r>
    </w:p>
    <w:p w14:paraId="069B17BC">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kern w:val="2"/>
          <w:sz w:val="24"/>
          <w:szCs w:val="24"/>
          <w:lang w:val="en-US" w:eastAsia="zh-CN" w:bidi="ar-SA"/>
        </w:rPr>
        <w:t>二、</w:t>
      </w:r>
      <w:r>
        <w:rPr>
          <w:rFonts w:hint="eastAsia" w:ascii="宋体" w:hAnsi="宋体" w:eastAsia="宋体" w:cs="宋体"/>
          <w:b/>
          <w:color w:val="auto"/>
          <w:sz w:val="24"/>
          <w:szCs w:val="24"/>
          <w:highlight w:val="none"/>
          <w:lang w:val="en-US" w:eastAsia="zh-CN"/>
        </w:rPr>
        <w:t>服务要求</w:t>
      </w:r>
    </w:p>
    <w:p w14:paraId="5D7AAA5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系统采用云部署服务方式提供，满足采购方业务需要的服务器、网络带宽、存储、安全等硬件及云平台服务。服务期内，所提供的技术平台版本如有更新，实现免费更新，bug免费修复。采购方可根据需要拷贝各类数据。合同到期后，中标方有义务交给采购方所有的数据备份。若采购方后期考虑采取本地部署服务方式，中标方有义务配合采购方做好数据迁移工作。在系统试运行前一周对采购方相关人员进行培训，使采购方全面掌握该系统的结构、功能、使用方法和系统日常维护，并制作所需培训资料。远程技术服务以电话、QQ、微信等方式提供每周 7*24 小时响应。</w:t>
      </w:r>
    </w:p>
    <w:p w14:paraId="005C1481">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b/>
          <w:color w:val="auto"/>
          <w:sz w:val="24"/>
          <w:szCs w:val="24"/>
          <w:highlight w:val="none"/>
          <w:lang w:val="en-US" w:eastAsia="zh-CN"/>
        </w:rPr>
        <w:t>服务期限</w:t>
      </w:r>
    </w:p>
    <w:p w14:paraId="429B082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一招三年，合同一年一签。经招标人考核中标方的工作内容及服务并通过后，双方均无异议，续签下一年合同。招标人有权根据服务情况决定是否签署下一个服务周期的合同，投标人无条件服从和接受。如招标人决定不予签约的，视为双方不再合作，原合同到期后投标人应无条件退场。合同签订完成后，中标人需在15个工作日内完成</w:t>
      </w:r>
      <w:r>
        <w:rPr>
          <w:rFonts w:hint="eastAsia" w:ascii="宋体" w:hAnsi="宋体" w:cs="宋体"/>
          <w:b w:val="0"/>
          <w:bCs/>
          <w:color w:val="auto"/>
          <w:sz w:val="24"/>
          <w:szCs w:val="24"/>
          <w:highlight w:val="none"/>
          <w:lang w:val="en-US" w:eastAsia="zh-CN"/>
        </w:rPr>
        <w:t>项目交付并</w:t>
      </w:r>
      <w:r>
        <w:rPr>
          <w:rFonts w:hint="eastAsia" w:ascii="宋体" w:hAnsi="宋体" w:eastAsia="宋体" w:cs="宋体"/>
          <w:b w:val="0"/>
          <w:bCs/>
          <w:color w:val="auto"/>
          <w:sz w:val="24"/>
          <w:szCs w:val="24"/>
          <w:highlight w:val="none"/>
          <w:lang w:val="en-US" w:eastAsia="zh-CN"/>
        </w:rPr>
        <w:t>上线使用。</w:t>
      </w:r>
    </w:p>
    <w:p w14:paraId="66EFE834">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项目交货期</w:t>
      </w:r>
    </w:p>
    <w:p w14:paraId="0AC8401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签订合同日期：自中标（成交）通知书发出之日起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rPr>
        <w:t>日内按时签约。</w:t>
      </w:r>
    </w:p>
    <w:p w14:paraId="0C83636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交货期（服务时间）： 自合同签订之日起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none"/>
          <w:lang w:val="en-US" w:eastAsia="zh-CN"/>
        </w:rPr>
        <w:t>个工作日</w:t>
      </w:r>
      <w:r>
        <w:rPr>
          <w:rFonts w:hint="eastAsia" w:ascii="宋体" w:hAnsi="宋体" w:eastAsia="宋体" w:cs="宋体"/>
          <w:color w:val="auto"/>
          <w:sz w:val="24"/>
          <w:szCs w:val="24"/>
          <w:highlight w:val="none"/>
        </w:rPr>
        <w:t>内。</w:t>
      </w:r>
    </w:p>
    <w:p w14:paraId="7E32FA8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交货（服务）地点：</w:t>
      </w:r>
      <w:r>
        <w:rPr>
          <w:rFonts w:hint="eastAsia" w:ascii="宋体" w:hAnsi="宋体" w:eastAsia="宋体" w:cs="宋体"/>
          <w:color w:val="auto"/>
          <w:sz w:val="24"/>
          <w:szCs w:val="24"/>
          <w:highlight w:val="none"/>
          <w:u w:val="single"/>
        </w:rPr>
        <w:t xml:space="preserve">  南通职业大学青年路校区   </w:t>
      </w:r>
      <w:r>
        <w:rPr>
          <w:rFonts w:hint="eastAsia" w:ascii="宋体" w:hAnsi="宋体" w:eastAsia="宋体" w:cs="宋体"/>
          <w:color w:val="auto"/>
          <w:sz w:val="24"/>
          <w:szCs w:val="24"/>
          <w:highlight w:val="none"/>
        </w:rPr>
        <w:t>。</w:t>
      </w:r>
    </w:p>
    <w:p w14:paraId="529739B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color w:val="auto"/>
          <w:sz w:val="24"/>
          <w:szCs w:val="24"/>
          <w:highlight w:val="none"/>
          <w:lang w:val="en-US" w:eastAsia="zh-CN"/>
        </w:rPr>
        <w:t>售后服务</w:t>
      </w:r>
    </w:p>
    <w:p w14:paraId="1EF1879D">
      <w:pPr>
        <w:keepNext w:val="0"/>
        <w:keepLines w:val="0"/>
        <w:pageBreakBefore w:val="0"/>
        <w:numPr>
          <w:ilvl w:val="0"/>
          <w:numId w:val="0"/>
        </w:numPr>
        <w:kinsoku/>
        <w:wordWrap/>
        <w:overflowPunct/>
        <w:topLinePunct w:val="0"/>
        <w:autoSpaceDE/>
        <w:autoSpaceDN/>
        <w:bidi w:val="0"/>
        <w:adjustRightInd/>
        <w:spacing w:line="360" w:lineRule="auto"/>
        <w:ind w:left="0" w:leftChars="0"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2"/>
          <w:sz w:val="24"/>
          <w:szCs w:val="24"/>
          <w:lang w:val="zh-CN" w:eastAsia="zh-CN" w:bidi="ar-SA"/>
        </w:rPr>
        <w:t>1.</w:t>
      </w: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服务自验收合格之日起质保期为5年</w:t>
      </w:r>
      <w:r>
        <w:rPr>
          <w:rFonts w:hint="eastAsia" w:ascii="宋体" w:hAnsi="宋体" w:eastAsia="宋体" w:cs="宋体"/>
          <w:bCs/>
          <w:color w:val="auto"/>
          <w:sz w:val="24"/>
          <w:szCs w:val="24"/>
          <w:highlight w:val="none"/>
          <w:lang w:val="zh-CN"/>
        </w:rPr>
        <w:t>。</w:t>
      </w:r>
    </w:p>
    <w:p w14:paraId="54CFBB8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应具备完整的售后服务保障能力，包含（但不限于）以下服务要求：</w:t>
      </w:r>
    </w:p>
    <w:p w14:paraId="6D7C6B3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接到招标人通知后</w:t>
      </w:r>
      <w:r>
        <w:rPr>
          <w:rFonts w:hint="eastAsia" w:ascii="宋体" w:hAnsi="宋体" w:eastAsia="宋体" w:cs="宋体"/>
          <w:color w:val="auto"/>
          <w:sz w:val="24"/>
          <w:szCs w:val="24"/>
          <w:highlight w:val="none"/>
        </w:rPr>
        <w:t>两小时内必须响应；</w:t>
      </w:r>
    </w:p>
    <w:p w14:paraId="48F3438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）须提供多种服务受理通道，包括但不限于</w:t>
      </w:r>
      <w:r>
        <w:rPr>
          <w:rFonts w:hint="eastAsia" w:ascii="宋体" w:hAnsi="宋体" w:cs="宋体"/>
          <w:color w:val="auto"/>
          <w:sz w:val="24"/>
          <w:szCs w:val="24"/>
          <w:highlight w:val="none"/>
          <w:lang w:val="en-US" w:eastAsia="zh-CN"/>
        </w:rPr>
        <w:t>在线客服</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联系</w:t>
      </w:r>
      <w:r>
        <w:rPr>
          <w:rFonts w:hint="eastAsia" w:ascii="宋体" w:hAnsi="宋体" w:eastAsia="宋体" w:cs="宋体"/>
          <w:color w:val="auto"/>
          <w:sz w:val="24"/>
          <w:szCs w:val="24"/>
          <w:highlight w:val="none"/>
        </w:rPr>
        <w:t>电话、邮件等；</w:t>
      </w:r>
    </w:p>
    <w:p w14:paraId="04258D9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）须提供详细的线上服务流程说明，线上报修须能够做到问题登记、问题处理、加急处理、问题关闭与评价，常见问题案例库，消息通知等。</w:t>
      </w:r>
    </w:p>
    <w:p w14:paraId="5DFC0E0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）要求在服务响应过程中，须有运营专员参与，全程跟踪服务过程，协调解决服务过程中的问题。</w:t>
      </w:r>
    </w:p>
    <w:p w14:paraId="46C53BA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）须提供线上服务申诉通道，要求可针对服务人员、服务流程等进行投诉。</w:t>
      </w:r>
    </w:p>
    <w:p w14:paraId="7F045E7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应提供本次投标产品的售后服务，包含（但不限于）以下服务要求：</w:t>
      </w:r>
    </w:p>
    <w:p w14:paraId="0524D4A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（1）BUG处理：如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交付的业务系统存在BUG，</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须提供修正与消缺服务，如有修复BUG的补丁，应提供升级服务。</w:t>
      </w:r>
    </w:p>
    <w:p w14:paraId="3A86BF5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（2）故障处理：如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交付的系统上线运行时，出现问题导致业务中断时，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应对故障进行限时处理。</w:t>
      </w:r>
    </w:p>
    <w:p w14:paraId="155E47F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（3）运行支持：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应对系统运行过程中系统管理员及业务管理员提出的问题提供解答和问题解决跟踪。</w:t>
      </w:r>
    </w:p>
    <w:p w14:paraId="71D1364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（4）在项目质保期内，因为软件系统本身原因导致系统不可用，投标方应全程跟踪解决，确保问题快速解决，因为操作系统、服务器、网络设备及其他硬件设备导致系统不可用时，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应配合招标人排查故障，提供解决方法供招标人选择，配合招标人解决问题。</w:t>
      </w:r>
    </w:p>
    <w:p w14:paraId="745D1DD3">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六、履约</w:t>
      </w:r>
      <w:r>
        <w:rPr>
          <w:rFonts w:hint="eastAsia" w:ascii="宋体" w:hAnsi="宋体" w:eastAsia="宋体" w:cs="宋体"/>
          <w:b/>
          <w:color w:val="auto"/>
          <w:sz w:val="24"/>
          <w:szCs w:val="24"/>
          <w:highlight w:val="none"/>
        </w:rPr>
        <w:t>验收</w:t>
      </w:r>
    </w:p>
    <w:p w14:paraId="3BE450A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组织相关专业技术人员，必要时邀请校外专家及质检等部门共同参与</w:t>
      </w:r>
      <w:r>
        <w:rPr>
          <w:rFonts w:hint="eastAsia" w:ascii="宋体" w:hAnsi="宋体" w:eastAsia="宋体" w:cs="宋体"/>
          <w:bCs/>
          <w:color w:val="auto"/>
          <w:sz w:val="24"/>
          <w:szCs w:val="24"/>
          <w:highlight w:val="none"/>
          <w:lang w:val="zh-CN"/>
        </w:rPr>
        <w:t>验收</w:t>
      </w:r>
      <w:r>
        <w:rPr>
          <w:rFonts w:hint="eastAsia" w:ascii="宋体" w:hAnsi="宋体" w:eastAsia="宋体" w:cs="宋体"/>
          <w:color w:val="auto"/>
          <w:sz w:val="24"/>
          <w:szCs w:val="24"/>
          <w:highlight w:val="none"/>
        </w:rPr>
        <w:t>，出具验收报告，作为支付货款的依据。</w:t>
      </w:r>
    </w:p>
    <w:p w14:paraId="76396E3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在本期项目的</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rPr>
        <w:t>过程中和交付使用后，要求将各个阶段产生的全面、规范的成果和文档资料交付给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，而且需要提供明确的交付清单。同时，成果和文档资料必须符合软件工程的相关要求，支持在线管理相关文档和知识。要交付的成果和文档资料需要包括以下部分：</w:t>
      </w:r>
    </w:p>
    <w:p w14:paraId="6371FAD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①可运行的系统</w:t>
      </w:r>
    </w:p>
    <w:p w14:paraId="4DA4DA7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②技术文档</w:t>
      </w:r>
    </w:p>
    <w:p w14:paraId="39DB00F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包括软件工具清单、需求分析说明、用户手册、系统培训资料等。</w:t>
      </w:r>
    </w:p>
    <w:p w14:paraId="3455DCBC">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color w:val="auto"/>
          <w:sz w:val="24"/>
          <w:szCs w:val="24"/>
          <w:highlight w:val="none"/>
          <w:lang w:val="zh-CN"/>
        </w:rPr>
        <w:t>付款</w:t>
      </w:r>
      <w:r>
        <w:rPr>
          <w:rFonts w:hint="eastAsia" w:ascii="宋体" w:hAnsi="宋体" w:eastAsia="宋体" w:cs="宋体"/>
          <w:b/>
          <w:color w:val="auto"/>
          <w:sz w:val="24"/>
          <w:szCs w:val="24"/>
          <w:highlight w:val="none"/>
          <w:lang w:val="en-US" w:eastAsia="zh-CN"/>
        </w:rPr>
        <w:t>方式</w:t>
      </w:r>
    </w:p>
    <w:p w14:paraId="57A8832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申请</w:t>
      </w:r>
      <w:r>
        <w:rPr>
          <w:rFonts w:hint="eastAsia" w:ascii="宋体" w:hAnsi="宋体" w:eastAsia="宋体" w:cs="宋体"/>
          <w:color w:val="auto"/>
          <w:sz w:val="24"/>
          <w:szCs w:val="24"/>
          <w:highlight w:val="none"/>
        </w:rPr>
        <w:t>部门应在项目验收合格后按合同约定办理结算手续。</w:t>
      </w:r>
    </w:p>
    <w:p w14:paraId="5F7374E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eastAsia="zh-CN"/>
        </w:rPr>
        <w:t>在招标人现场安装调试（或服务）完毕后，经招标人根据合同和标书条款验收合格，每年度10月底前，由招标人一次性支付当年度服务费用（按当年度校外教学点在籍人数×中标单价结算后实际支付），校本部学生免费使用平台服务。如有学生中途退学，中标人应按学校学费退费比例退还招标人教育管理平台服务费。</w:t>
      </w:r>
    </w:p>
    <w:p w14:paraId="736D65C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在使用过程中如发现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提供的服务与投标文件响应的功能及技术指标不相符，视为</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违约。采购方有权终止合同，并将按照合同约定扣除其全部或部分履约保证金。</w:t>
      </w:r>
    </w:p>
    <w:p w14:paraId="6B643F79">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违约责任</w:t>
      </w:r>
    </w:p>
    <w:p w14:paraId="521985B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1.中标人</w:t>
      </w:r>
      <w:r>
        <w:rPr>
          <w:rFonts w:hint="eastAsia" w:ascii="宋体" w:hAnsi="宋体" w:eastAsia="宋体" w:cs="宋体"/>
          <w:color w:val="auto"/>
          <w:sz w:val="24"/>
          <w:szCs w:val="24"/>
          <w:highlight w:val="none"/>
        </w:rPr>
        <w:t>不能按期供货，</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1500元</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原因或不可抗力的因素影响除外。</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招标人向中标人发出整改通知，中标人未能在整改期限内完成整改的，</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返还向</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收取的服务费，并付给需方违约金</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20F86074">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3C7D9F4B">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需于中标后签订合同前支付给</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color w:val="auto"/>
          <w:sz w:val="24"/>
          <w:szCs w:val="24"/>
          <w:highlight w:val="none"/>
          <w:lang w:bidi="ar"/>
        </w:rPr>
        <w:t>（转至</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指定账户。户名：南通市财政局，账号：513902006610906</w:t>
      </w:r>
      <w:r>
        <w:rPr>
          <w:rFonts w:hint="eastAsia" w:ascii="宋体" w:hAnsi="宋体" w:eastAsia="宋体" w:cs="宋体"/>
          <w:color w:val="auto"/>
          <w:sz w:val="24"/>
          <w:szCs w:val="24"/>
          <w:highlight w:val="none"/>
          <w:lang w:eastAsia="zh-CN" w:bidi="ar"/>
        </w:rPr>
        <w:t>，开户行：</w:t>
      </w:r>
      <w:r>
        <w:rPr>
          <w:rFonts w:hint="eastAsia" w:ascii="宋体" w:hAnsi="宋体" w:eastAsia="宋体" w:cs="宋体"/>
          <w:color w:val="auto"/>
          <w:sz w:val="24"/>
          <w:szCs w:val="24"/>
          <w:highlight w:val="none"/>
          <w:lang w:val="en-US" w:eastAsia="zh-CN" w:bidi="ar"/>
        </w:rPr>
        <w:t>招商银行</w:t>
      </w:r>
      <w:r>
        <w:rPr>
          <w:rFonts w:hint="eastAsia" w:ascii="宋体" w:hAnsi="宋体" w:eastAsia="宋体" w:cs="宋体"/>
          <w:color w:val="auto"/>
          <w:sz w:val="24"/>
          <w:szCs w:val="24"/>
          <w:highlight w:val="none"/>
          <w:lang w:eastAsia="zh-CN" w:bidi="ar"/>
        </w:rPr>
        <w:t>南通分行，备注：南通</w:t>
      </w:r>
      <w:r>
        <w:rPr>
          <w:rFonts w:hint="eastAsia" w:ascii="宋体" w:hAnsi="宋体" w:eastAsia="宋体" w:cs="宋体"/>
          <w:color w:val="auto"/>
          <w:sz w:val="24"/>
          <w:szCs w:val="24"/>
          <w:highlight w:val="none"/>
          <w:lang w:val="en-US" w:eastAsia="zh-CN" w:bidi="ar"/>
        </w:rPr>
        <w:t>职大</w:t>
      </w:r>
      <w:r>
        <w:rPr>
          <w:rFonts w:hint="eastAsia" w:ascii="宋体" w:hAnsi="宋体" w:eastAsia="宋体" w:cs="宋体"/>
          <w:color w:val="auto"/>
          <w:sz w:val="24"/>
          <w:szCs w:val="24"/>
          <w:highlight w:val="none"/>
          <w:lang w:eastAsia="zh-CN" w:bidi="ar"/>
        </w:rPr>
        <w:t>继</w:t>
      </w:r>
      <w:r>
        <w:rPr>
          <w:rFonts w:hint="eastAsia" w:ascii="宋体" w:hAnsi="宋体" w:eastAsia="宋体" w:cs="宋体"/>
          <w:color w:val="auto"/>
          <w:sz w:val="24"/>
          <w:szCs w:val="24"/>
          <w:highlight w:val="none"/>
          <w:lang w:val="en-US" w:eastAsia="zh-CN" w:bidi="ar"/>
        </w:rPr>
        <w:t>教</w:t>
      </w:r>
      <w:r>
        <w:rPr>
          <w:rFonts w:hint="eastAsia" w:ascii="宋体" w:hAnsi="宋体" w:eastAsia="宋体" w:cs="宋体"/>
          <w:color w:val="auto"/>
          <w:sz w:val="24"/>
          <w:szCs w:val="24"/>
          <w:highlight w:val="none"/>
          <w:lang w:eastAsia="zh-CN" w:bidi="ar"/>
        </w:rPr>
        <w:t>平台履约保证金），免费维保期结束后，招标人全额返还投标人。</w:t>
      </w:r>
    </w:p>
    <w:p w14:paraId="60608862">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投标人缴纳的履约保证金。</w:t>
      </w:r>
    </w:p>
    <w:p w14:paraId="664C8DA3">
      <w:pPr>
        <w:snapToGrid w:val="0"/>
        <w:spacing w:line="360" w:lineRule="auto"/>
        <w:jc w:val="center"/>
        <w:outlineLvl w:val="0"/>
        <w:rPr>
          <w:rStyle w:val="122"/>
          <w:rFonts w:hint="eastAsia" w:ascii="宋体" w:hAnsi="宋体" w:eastAsia="宋体" w:cs="宋体"/>
          <w:bCs/>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bCs/>
          <w:color w:val="000000"/>
          <w:sz w:val="32"/>
          <w:szCs w:val="32"/>
        </w:rPr>
        <w:t>第四章  评审方法和程序</w:t>
      </w:r>
    </w:p>
    <w:p w14:paraId="1E2568B3">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一、评审原则</w:t>
      </w:r>
    </w:p>
    <w:p w14:paraId="6FA44E9A">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本项目采用</w:t>
      </w:r>
      <w:r>
        <w:rPr>
          <w:rFonts w:hint="eastAsia" w:ascii="宋体" w:hAnsi="宋体" w:eastAsia="宋体" w:cs="宋体"/>
          <w:color w:val="000000"/>
          <w:kern w:val="0"/>
          <w:sz w:val="24"/>
          <w:u w:val="single"/>
        </w:rPr>
        <w:t xml:space="preserve">  </w:t>
      </w:r>
      <w:r>
        <w:rPr>
          <w:rFonts w:hint="eastAsia" w:ascii="宋体" w:hAnsi="宋体" w:eastAsia="宋体" w:cs="宋体"/>
          <w:b/>
          <w:color w:val="000000"/>
          <w:kern w:val="0"/>
          <w:sz w:val="24"/>
          <w:u w:val="single"/>
        </w:rPr>
        <w:t>综合评分法</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53016D4C">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由评标委员会对</w:t>
      </w:r>
      <w:r>
        <w:rPr>
          <w:rFonts w:hint="eastAsia" w:ascii="宋体" w:hAnsi="宋体" w:eastAsia="宋体" w:cs="宋体"/>
          <w:color w:val="000000"/>
          <w:kern w:val="0"/>
          <w:sz w:val="24"/>
          <w:lang w:val="en-US" w:eastAsia="zh-CN"/>
        </w:rPr>
        <w:t>初步</w:t>
      </w:r>
      <w:r>
        <w:rPr>
          <w:rFonts w:hint="eastAsia" w:ascii="宋体" w:hAnsi="宋体" w:eastAsia="宋体" w:cs="宋体"/>
          <w:color w:val="000000"/>
          <w:kern w:val="0"/>
          <w:sz w:val="24"/>
        </w:rPr>
        <w:t>审查合格的投标人所提供的商务技术标进行评选。</w:t>
      </w:r>
    </w:p>
    <w:p w14:paraId="07FF6837">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评标委员会对投标文件的判定，只依据投标内容本身，不依靠开标后的任何外来证明。</w:t>
      </w:r>
    </w:p>
    <w:p w14:paraId="764215CC">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二、评审方法</w:t>
      </w:r>
    </w:p>
    <w:p w14:paraId="43282C6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评标程序：</w:t>
      </w:r>
    </w:p>
    <w:p w14:paraId="30A9CD7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资格审查</w:t>
      </w:r>
      <w:r>
        <w:rPr>
          <w:rFonts w:hint="eastAsia" w:ascii="宋体" w:hAnsi="宋体" w:eastAsia="宋体" w:cs="宋体"/>
          <w:sz w:val="24"/>
        </w:rPr>
        <w:t>→商务技术标评审→价格标评审→</w:t>
      </w:r>
      <w:r>
        <w:rPr>
          <w:rFonts w:hint="eastAsia" w:ascii="宋体" w:hAnsi="宋体" w:eastAsia="宋体" w:cs="宋体"/>
          <w:color w:val="000000"/>
          <w:kern w:val="0"/>
          <w:sz w:val="24"/>
        </w:rPr>
        <w:t>推荐中标候选人。</w:t>
      </w:r>
    </w:p>
    <w:p w14:paraId="3EAAE02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本次资格审查采用资格后审，各投标人资格审查通过后方能进入评标程序。先评审商务技术标，商务技术标打分结束后再评审价格标。</w:t>
      </w:r>
    </w:p>
    <w:p w14:paraId="69B6C3D2">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评标委员会将仅对按本招标文件载明的方法与规定，为实质上响应招标文件要求的投标文件评审并进行评价和比较。</w:t>
      </w:r>
    </w:p>
    <w:p w14:paraId="04C5BEB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本项目的商务技术标和价格标评审总分值为100分。两部分评审因素比重如下：</w:t>
      </w:r>
    </w:p>
    <w:p w14:paraId="2DB618B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商务技术标分值占总分值的比重为</w:t>
      </w:r>
      <w:r>
        <w:rPr>
          <w:rFonts w:hint="eastAsia" w:ascii="宋体" w:hAnsi="宋体" w:cs="宋体"/>
          <w:color w:val="000000"/>
          <w:kern w:val="0"/>
          <w:sz w:val="24"/>
          <w:highlight w:val="none"/>
          <w:u w:val="single"/>
          <w:lang w:val="en-US" w:eastAsia="zh-CN"/>
        </w:rPr>
        <w:t>90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55D690A9">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报价分值占总分值的比重为</w:t>
      </w:r>
      <w:r>
        <w:rPr>
          <w:rFonts w:hint="eastAsia" w:ascii="宋体" w:hAnsi="宋体" w:cs="宋体"/>
          <w:color w:val="000000"/>
          <w:kern w:val="0"/>
          <w:sz w:val="24"/>
          <w:highlight w:val="none"/>
          <w:u w:val="single"/>
          <w:lang w:val="en-US" w:eastAsia="zh-CN"/>
        </w:rPr>
        <w:t>10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71DD240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评标委员会严格按照招标文件的要求、条件、评分标准，对投标人所提供货物或服务的先进性、可靠性等实质性响应内容进行比较。</w:t>
      </w:r>
    </w:p>
    <w:p w14:paraId="1F7A261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评标委员会各成员独立对每个进入打分程序的有效投标人的标书商务技术标以打分的形式进行评审和评价，商务技术标分值为所有评委评分的算术平均值（计算结果均四舍五入保留两位小数）。</w:t>
      </w:r>
    </w:p>
    <w:p w14:paraId="060F0A13">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.商务</w:t>
      </w:r>
      <w:r>
        <w:rPr>
          <w:rFonts w:hint="eastAsia" w:ascii="宋体" w:hAnsi="宋体" w:eastAsia="宋体" w:cs="宋体"/>
          <w:color w:val="000000"/>
          <w:kern w:val="0"/>
          <w:sz w:val="24"/>
        </w:rPr>
        <w:t>技术部分评审结束后，开启投标人的价格标，投标人的价格标得分直接计算取得，与商务技术标得分相加为投标人的综合得分（计算结果均四舍五入保留两位小数）。</w:t>
      </w:r>
    </w:p>
    <w:p w14:paraId="245D7A69">
      <w:pPr>
        <w:snapToGrid w:val="0"/>
        <w:spacing w:line="360" w:lineRule="auto"/>
        <w:ind w:firstLine="482" w:firstLineChars="200"/>
        <w:outlineLvl w:val="1"/>
        <w:rPr>
          <w:rFonts w:hint="eastAsia" w:ascii="宋体" w:hAnsi="宋体" w:eastAsia="宋体" w:cs="宋体"/>
          <w:b/>
          <w:bCs/>
          <w:color w:val="000000"/>
          <w:sz w:val="24"/>
        </w:rPr>
      </w:pPr>
      <w:bookmarkStart w:id="23" w:name="_Toc40256465"/>
      <w:bookmarkStart w:id="24" w:name="_Toc14794"/>
      <w:r>
        <w:rPr>
          <w:rFonts w:hint="eastAsia" w:ascii="宋体" w:hAnsi="宋体" w:eastAsia="宋体" w:cs="宋体"/>
          <w:b/>
          <w:bCs/>
          <w:color w:val="000000"/>
          <w:sz w:val="24"/>
        </w:rPr>
        <w:t>三、评审因素和评分标准</w:t>
      </w:r>
      <w:bookmarkEnd w:id="23"/>
      <w:bookmarkEnd w:id="24"/>
    </w:p>
    <w:p w14:paraId="4C382D36">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（一）评审方法</w:t>
      </w:r>
    </w:p>
    <w:p w14:paraId="5E9335E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本项目采用综合评分法。</w:t>
      </w:r>
    </w:p>
    <w:p w14:paraId="443E40A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注：每部分的得分保留小数点后两位，合计得分保留小数点后两位。</w:t>
      </w:r>
    </w:p>
    <w:p w14:paraId="51E3E0DE">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（二）评审因素、权值及评分标准</w:t>
      </w:r>
    </w:p>
    <w:p w14:paraId="03BE3E2A">
      <w:pPr>
        <w:snapToGrid w:val="0"/>
        <w:spacing w:line="360" w:lineRule="auto"/>
        <w:ind w:firstLine="482" w:firstLineChars="200"/>
        <w:rPr>
          <w:rFonts w:hint="eastAsia" w:ascii="宋体" w:hAnsi="宋体" w:eastAsia="宋体" w:cs="宋体"/>
          <w:b/>
          <w:color w:val="000000"/>
          <w:sz w:val="24"/>
        </w:rPr>
      </w:pPr>
      <w:bookmarkStart w:id="25" w:name="OLE_LINK65"/>
      <w:bookmarkStart w:id="26" w:name="OLE_LINK61"/>
      <w:r>
        <w:rPr>
          <w:rFonts w:hint="eastAsia" w:ascii="宋体" w:hAnsi="宋体" w:eastAsia="宋体" w:cs="宋体"/>
          <w:b/>
          <w:color w:val="000000"/>
          <w:sz w:val="24"/>
        </w:rPr>
        <w:t>1</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报价（</w:t>
      </w:r>
      <w:r>
        <w:rPr>
          <w:rFonts w:hint="eastAsia" w:ascii="宋体" w:hAnsi="宋体" w:cs="宋体"/>
          <w:b/>
          <w:color w:val="000000"/>
          <w:sz w:val="24"/>
          <w:lang w:val="en-US" w:eastAsia="zh-CN"/>
        </w:rPr>
        <w:t>10</w:t>
      </w:r>
      <w:r>
        <w:rPr>
          <w:rFonts w:hint="eastAsia" w:ascii="宋体" w:hAnsi="宋体" w:eastAsia="宋体" w:cs="宋体"/>
          <w:b/>
          <w:color w:val="000000"/>
          <w:sz w:val="24"/>
        </w:rPr>
        <w:t>分）</w:t>
      </w:r>
    </w:p>
    <w:p w14:paraId="5D44F729">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本次项目最高限价：</w:t>
      </w:r>
      <w:r>
        <w:rPr>
          <w:rFonts w:hint="eastAsia" w:ascii="宋体" w:hAnsi="宋体" w:eastAsia="宋体" w:cs="宋体"/>
          <w:b/>
          <w:color w:val="000000"/>
          <w:sz w:val="24"/>
          <w:lang w:val="en-US" w:eastAsia="zh-CN"/>
        </w:rPr>
        <w:t>人民币150元/人/届</w:t>
      </w:r>
      <w:r>
        <w:rPr>
          <w:rFonts w:hint="eastAsia" w:ascii="宋体" w:hAnsi="宋体" w:eastAsia="宋体" w:cs="宋体"/>
          <w:b/>
          <w:color w:val="000000"/>
          <w:sz w:val="24"/>
        </w:rPr>
        <w:t>，</w:t>
      </w:r>
      <w:r>
        <w:rPr>
          <w:rFonts w:hint="eastAsia" w:ascii="宋体" w:hAnsi="宋体" w:eastAsia="宋体" w:cs="宋体"/>
          <w:b/>
          <w:color w:val="000000"/>
          <w:sz w:val="24"/>
          <w:lang w:val="en-US" w:eastAsia="zh-CN"/>
        </w:rPr>
        <w:t>报价</w:t>
      </w:r>
      <w:r>
        <w:rPr>
          <w:rFonts w:hint="eastAsia" w:ascii="宋体" w:hAnsi="宋体" w:eastAsia="宋体" w:cs="宋体"/>
          <w:b/>
          <w:color w:val="000000"/>
          <w:sz w:val="24"/>
        </w:rPr>
        <w:t>超过限价</w:t>
      </w:r>
      <w:r>
        <w:rPr>
          <w:rFonts w:hint="eastAsia" w:ascii="宋体" w:hAnsi="宋体" w:eastAsia="宋体" w:cs="宋体"/>
          <w:b/>
          <w:color w:val="000000"/>
          <w:sz w:val="24"/>
          <w:lang w:eastAsia="zh-CN"/>
        </w:rPr>
        <w:t>的</w:t>
      </w:r>
      <w:r>
        <w:rPr>
          <w:rFonts w:hint="eastAsia" w:ascii="宋体" w:hAnsi="宋体" w:eastAsia="宋体" w:cs="宋体"/>
          <w:b/>
          <w:color w:val="000000"/>
          <w:sz w:val="24"/>
        </w:rPr>
        <w:t>作无效</w:t>
      </w:r>
      <w:r>
        <w:rPr>
          <w:rFonts w:hint="eastAsia" w:ascii="宋体" w:hAnsi="宋体" w:eastAsia="宋体" w:cs="宋体"/>
          <w:b/>
          <w:color w:val="000000"/>
          <w:sz w:val="24"/>
          <w:lang w:val="en-US" w:eastAsia="zh-CN"/>
        </w:rPr>
        <w:t>投标</w:t>
      </w:r>
      <w:r>
        <w:rPr>
          <w:rFonts w:hint="eastAsia" w:ascii="宋体" w:hAnsi="宋体" w:eastAsia="宋体" w:cs="宋体"/>
          <w:b/>
          <w:color w:val="000000"/>
          <w:sz w:val="24"/>
        </w:rPr>
        <w:t>处理。</w:t>
      </w:r>
    </w:p>
    <w:bookmarkEnd w:id="25"/>
    <w:bookmarkEnd w:id="26"/>
    <w:p w14:paraId="1E3BEE9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满足招标文件要求且投标报价（评标价）最低的报价为评标基准价，其价格标得分为满分；其他</w:t>
      </w:r>
      <w:r>
        <w:rPr>
          <w:rFonts w:hint="eastAsia" w:ascii="宋体" w:hAnsi="宋体" w:eastAsia="宋体" w:cs="宋体"/>
          <w:color w:val="000000"/>
          <w:sz w:val="24"/>
          <w:lang w:eastAsia="zh-CN"/>
        </w:rPr>
        <w:t>投标人</w:t>
      </w:r>
      <w:r>
        <w:rPr>
          <w:rFonts w:hint="eastAsia" w:ascii="宋体" w:hAnsi="宋体" w:eastAsia="宋体" w:cs="宋体"/>
          <w:color w:val="000000"/>
          <w:sz w:val="24"/>
        </w:rPr>
        <w:t>的价格分按下列公式计算：</w:t>
      </w:r>
    </w:p>
    <w:p w14:paraId="67848AC8">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价格标得分=（评标基准价/投标报价）×价格权重×100。</w:t>
      </w:r>
    </w:p>
    <w:p w14:paraId="61316FA1">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rPr>
        <w:t>2</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商</w:t>
      </w:r>
      <w:r>
        <w:rPr>
          <w:rFonts w:hint="eastAsia" w:ascii="宋体" w:hAnsi="宋体" w:eastAsia="宋体" w:cs="宋体"/>
          <w:b/>
          <w:color w:val="auto"/>
          <w:sz w:val="24"/>
          <w:highlight w:val="none"/>
        </w:rPr>
        <w:t>务技术标（</w:t>
      </w:r>
      <w:r>
        <w:rPr>
          <w:rFonts w:hint="eastAsia" w:ascii="宋体" w:hAnsi="宋体" w:cs="宋体"/>
          <w:b/>
          <w:color w:val="auto"/>
          <w:sz w:val="24"/>
          <w:highlight w:val="none"/>
          <w:lang w:val="en-US" w:eastAsia="zh-CN"/>
        </w:rPr>
        <w:t>90</w:t>
      </w:r>
      <w:r>
        <w:rPr>
          <w:rFonts w:hint="eastAsia" w:ascii="宋体" w:hAnsi="宋体" w:eastAsia="宋体" w:cs="宋体"/>
          <w:b/>
          <w:color w:val="auto"/>
          <w:sz w:val="24"/>
          <w:highlight w:val="none"/>
        </w:rPr>
        <w:t>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970"/>
        <w:gridCol w:w="5851"/>
        <w:gridCol w:w="1456"/>
      </w:tblGrid>
      <w:tr w14:paraId="58A9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55" w:type="dxa"/>
            <w:vAlign w:val="center"/>
          </w:tcPr>
          <w:p w14:paraId="710DBA8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val="0"/>
                <w:color w:val="auto"/>
                <w:sz w:val="24"/>
                <w:szCs w:val="24"/>
                <w:highlight w:val="none"/>
                <w:u w:val="none"/>
                <w:vertAlign w:val="baseline"/>
                <w:lang w:val="en-US" w:eastAsia="zh-CN"/>
              </w:rPr>
            </w:pPr>
            <w:r>
              <w:rPr>
                <w:rFonts w:hint="eastAsia" w:ascii="宋体" w:hAnsi="宋体" w:eastAsia="宋体" w:cs="宋体"/>
                <w:b/>
                <w:bCs w:val="0"/>
                <w:color w:val="auto"/>
                <w:sz w:val="24"/>
                <w:szCs w:val="24"/>
                <w:highlight w:val="none"/>
                <w:u w:val="none"/>
                <w:vertAlign w:val="baseline"/>
                <w:lang w:val="en-US" w:eastAsia="zh-CN"/>
              </w:rPr>
              <w:t>序号</w:t>
            </w:r>
          </w:p>
        </w:tc>
        <w:tc>
          <w:tcPr>
            <w:tcW w:w="970" w:type="dxa"/>
            <w:vAlign w:val="center"/>
          </w:tcPr>
          <w:p w14:paraId="19D7732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val="0"/>
                <w:color w:val="auto"/>
                <w:sz w:val="24"/>
                <w:szCs w:val="24"/>
                <w:highlight w:val="none"/>
                <w:u w:val="none"/>
                <w:vertAlign w:val="baseline"/>
                <w:lang w:val="en-US" w:eastAsia="zh-CN"/>
              </w:rPr>
            </w:pPr>
            <w:r>
              <w:rPr>
                <w:rFonts w:hint="eastAsia" w:ascii="宋体" w:hAnsi="宋体" w:eastAsia="宋体" w:cs="宋体"/>
                <w:b/>
                <w:bCs w:val="0"/>
                <w:color w:val="auto"/>
                <w:sz w:val="24"/>
                <w:szCs w:val="24"/>
                <w:highlight w:val="none"/>
                <w:u w:val="none"/>
                <w:vertAlign w:val="baseline"/>
                <w:lang w:val="en-US" w:eastAsia="zh-CN"/>
              </w:rPr>
              <w:t>评分</w:t>
            </w:r>
          </w:p>
          <w:p w14:paraId="6B6F45E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val="0"/>
                <w:color w:val="auto"/>
                <w:sz w:val="24"/>
                <w:szCs w:val="24"/>
                <w:highlight w:val="none"/>
                <w:u w:val="none"/>
                <w:vertAlign w:val="baseline"/>
                <w:lang w:val="en-US" w:eastAsia="zh-CN"/>
              </w:rPr>
            </w:pPr>
            <w:r>
              <w:rPr>
                <w:rFonts w:hint="eastAsia" w:ascii="宋体" w:hAnsi="宋体" w:eastAsia="宋体" w:cs="宋体"/>
                <w:b/>
                <w:bCs w:val="0"/>
                <w:color w:val="auto"/>
                <w:sz w:val="24"/>
                <w:szCs w:val="24"/>
                <w:highlight w:val="none"/>
                <w:u w:val="none"/>
                <w:vertAlign w:val="baseline"/>
                <w:lang w:val="en-US" w:eastAsia="zh-CN"/>
              </w:rPr>
              <w:t>因素</w:t>
            </w:r>
          </w:p>
        </w:tc>
        <w:tc>
          <w:tcPr>
            <w:tcW w:w="5851" w:type="dxa"/>
            <w:vAlign w:val="center"/>
          </w:tcPr>
          <w:p w14:paraId="3D5890D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val="0"/>
                <w:color w:val="auto"/>
                <w:sz w:val="24"/>
                <w:szCs w:val="24"/>
                <w:highlight w:val="none"/>
                <w:u w:val="none"/>
                <w:vertAlign w:val="baseline"/>
                <w:lang w:val="en-US" w:eastAsia="zh-CN"/>
              </w:rPr>
            </w:pPr>
            <w:r>
              <w:rPr>
                <w:rFonts w:hint="eastAsia" w:ascii="宋体" w:hAnsi="宋体" w:eastAsia="宋体" w:cs="宋体"/>
                <w:b/>
                <w:bCs w:val="0"/>
                <w:color w:val="auto"/>
                <w:sz w:val="24"/>
                <w:szCs w:val="24"/>
                <w:highlight w:val="none"/>
                <w:u w:val="none"/>
                <w:vertAlign w:val="baseline"/>
                <w:lang w:val="en-US" w:eastAsia="zh-CN"/>
              </w:rPr>
              <w:t>评分标准</w:t>
            </w:r>
          </w:p>
        </w:tc>
        <w:tc>
          <w:tcPr>
            <w:tcW w:w="1456" w:type="dxa"/>
            <w:vAlign w:val="center"/>
          </w:tcPr>
          <w:p w14:paraId="6ACA9B0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val="0"/>
                <w:color w:val="auto"/>
                <w:sz w:val="24"/>
                <w:szCs w:val="24"/>
                <w:highlight w:val="none"/>
                <w:u w:val="none"/>
                <w:vertAlign w:val="baseline"/>
                <w:lang w:val="en-US" w:eastAsia="zh-CN"/>
              </w:rPr>
            </w:pPr>
            <w:r>
              <w:rPr>
                <w:rFonts w:hint="eastAsia" w:ascii="宋体" w:hAnsi="宋体" w:cs="宋体"/>
                <w:b/>
                <w:bCs w:val="0"/>
                <w:color w:val="auto"/>
                <w:sz w:val="24"/>
                <w:szCs w:val="24"/>
                <w:highlight w:val="none"/>
                <w:u w:val="none"/>
                <w:vertAlign w:val="baseline"/>
                <w:lang w:val="en-US" w:eastAsia="zh-CN"/>
              </w:rPr>
              <w:t>分值</w:t>
            </w:r>
          </w:p>
        </w:tc>
      </w:tr>
      <w:tr w14:paraId="6870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restart"/>
            <w:vAlign w:val="center"/>
          </w:tcPr>
          <w:p w14:paraId="2533327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w:t>
            </w:r>
          </w:p>
        </w:tc>
        <w:tc>
          <w:tcPr>
            <w:tcW w:w="970" w:type="dxa"/>
            <w:vMerge w:val="restart"/>
            <w:vAlign w:val="center"/>
          </w:tcPr>
          <w:p w14:paraId="2E1418B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技术</w:t>
            </w:r>
          </w:p>
          <w:p w14:paraId="318344A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参数</w:t>
            </w:r>
          </w:p>
        </w:tc>
        <w:tc>
          <w:tcPr>
            <w:tcW w:w="5851" w:type="dxa"/>
          </w:tcPr>
          <w:p w14:paraId="2AE2268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color w:val="auto"/>
                <w:sz w:val="24"/>
                <w:szCs w:val="24"/>
                <w:highlight w:val="none"/>
                <w:u w:val="none"/>
                <w:lang w:val="en-US" w:eastAsia="zh-CN"/>
              </w:rPr>
              <w:t>投标人提供的《技术部分偏离表》应对所有功能操作点均作出明确、无</w:t>
            </w:r>
            <w:r>
              <w:rPr>
                <w:rFonts w:hint="eastAsia" w:ascii="宋体" w:hAnsi="宋体" w:cs="宋体"/>
                <w:color w:val="auto"/>
                <w:sz w:val="24"/>
                <w:szCs w:val="24"/>
                <w:highlight w:val="none"/>
                <w:u w:val="none"/>
                <w:lang w:val="en-US" w:eastAsia="zh-CN"/>
              </w:rPr>
              <w:t>负偏离</w:t>
            </w:r>
            <w:r>
              <w:rPr>
                <w:rFonts w:hint="eastAsia" w:ascii="宋体" w:hAnsi="宋体" w:eastAsia="宋体" w:cs="宋体"/>
                <w:color w:val="auto"/>
                <w:sz w:val="24"/>
                <w:szCs w:val="24"/>
                <w:highlight w:val="none"/>
                <w:u w:val="none"/>
                <w:lang w:val="en-US" w:eastAsia="zh-CN"/>
              </w:rPr>
              <w:t>的响应。有任何一项未响应、响应不明确或存在负偏离的，每项扣1分，直至扣完10分。</w:t>
            </w:r>
            <w:r>
              <w:rPr>
                <w:rFonts w:hint="eastAsia" w:ascii="宋体" w:hAnsi="宋体" w:eastAsia="宋体" w:cs="宋体"/>
                <w:b/>
                <w:bCs/>
                <w:color w:val="auto"/>
                <w:sz w:val="24"/>
                <w:szCs w:val="24"/>
                <w:highlight w:val="none"/>
                <w:u w:val="none"/>
                <w:lang w:val="en-US" w:eastAsia="zh-CN"/>
              </w:rPr>
              <w:t>该评审因素以《技术部分偏离表》响应情况</w:t>
            </w:r>
            <w:r>
              <w:rPr>
                <w:rFonts w:hint="eastAsia" w:ascii="宋体" w:hAnsi="宋体" w:cs="宋体"/>
                <w:b/>
                <w:bCs/>
                <w:color w:val="auto"/>
                <w:sz w:val="24"/>
                <w:szCs w:val="24"/>
                <w:highlight w:val="none"/>
                <w:u w:val="none"/>
                <w:lang w:val="en-US" w:eastAsia="zh-CN"/>
              </w:rPr>
              <w:t>作</w:t>
            </w:r>
            <w:r>
              <w:rPr>
                <w:rFonts w:hint="eastAsia" w:ascii="宋体" w:hAnsi="宋体" w:eastAsia="宋体" w:cs="宋体"/>
                <w:b/>
                <w:bCs/>
                <w:color w:val="auto"/>
                <w:sz w:val="24"/>
                <w:szCs w:val="24"/>
                <w:highlight w:val="none"/>
                <w:u w:val="none"/>
                <w:lang w:val="en-US" w:eastAsia="zh-CN"/>
              </w:rPr>
              <w:t>为评审依据，格式参见附件。</w:t>
            </w:r>
          </w:p>
        </w:tc>
        <w:tc>
          <w:tcPr>
            <w:tcW w:w="1456" w:type="dxa"/>
            <w:vAlign w:val="center"/>
          </w:tcPr>
          <w:p w14:paraId="05ECF60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10</w:t>
            </w:r>
            <w:r>
              <w:rPr>
                <w:rFonts w:hint="eastAsia" w:ascii="宋体" w:hAnsi="宋体" w:cs="宋体"/>
                <w:b w:val="0"/>
                <w:bCs/>
                <w:color w:val="auto"/>
                <w:sz w:val="24"/>
                <w:szCs w:val="24"/>
                <w:highlight w:val="none"/>
                <w:u w:val="none"/>
                <w:vertAlign w:val="baseline"/>
                <w:lang w:val="en-US" w:eastAsia="zh-CN"/>
              </w:rPr>
              <w:t>分</w:t>
            </w:r>
          </w:p>
        </w:tc>
      </w:tr>
      <w:tr w14:paraId="5144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continue"/>
            <w:vAlign w:val="center"/>
          </w:tcPr>
          <w:p w14:paraId="6D3587A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p>
        </w:tc>
        <w:tc>
          <w:tcPr>
            <w:tcW w:w="970" w:type="dxa"/>
            <w:vMerge w:val="continue"/>
            <w:vAlign w:val="center"/>
          </w:tcPr>
          <w:p w14:paraId="177202F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p>
        </w:tc>
        <w:tc>
          <w:tcPr>
            <w:tcW w:w="5851" w:type="dxa"/>
          </w:tcPr>
          <w:p w14:paraId="0CD2B31B">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color w:val="auto"/>
                <w:sz w:val="24"/>
                <w:szCs w:val="24"/>
                <w:highlight w:val="none"/>
                <w:u w:val="none"/>
                <w:lang w:val="en-US" w:eastAsia="zh-CN"/>
              </w:rPr>
              <w:t>技术要求中加“▲”项为核心功能模块，投标人需基于学校业务场景对这些功能模块进行高度延伸扩展，阐述核心功能的需求分析、业务流程设计以及各个功能模块进行详细描述并辅以实际功能截图示例，若投标人未对某个核心模块（包括功能模块中的每个功能操作点）进行详实且有效描述或方案不能满足学校实际使用场景需求的，每项扣1分，直至扣完10分。</w:t>
            </w:r>
          </w:p>
        </w:tc>
        <w:tc>
          <w:tcPr>
            <w:tcW w:w="1456" w:type="dxa"/>
            <w:vAlign w:val="center"/>
          </w:tcPr>
          <w:p w14:paraId="6FF12A8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10</w:t>
            </w:r>
            <w:r>
              <w:rPr>
                <w:rFonts w:hint="eastAsia" w:ascii="宋体" w:hAnsi="宋体" w:cs="宋体"/>
                <w:b w:val="0"/>
                <w:bCs/>
                <w:color w:val="auto"/>
                <w:sz w:val="24"/>
                <w:szCs w:val="24"/>
                <w:highlight w:val="none"/>
                <w:u w:val="none"/>
                <w:vertAlign w:val="baseline"/>
                <w:lang w:val="en-US" w:eastAsia="zh-CN"/>
              </w:rPr>
              <w:t>分</w:t>
            </w:r>
          </w:p>
        </w:tc>
      </w:tr>
      <w:tr w14:paraId="0DD6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continue"/>
            <w:vAlign w:val="center"/>
          </w:tcPr>
          <w:p w14:paraId="3C3798E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p>
        </w:tc>
        <w:tc>
          <w:tcPr>
            <w:tcW w:w="970" w:type="dxa"/>
            <w:vMerge w:val="continue"/>
            <w:vAlign w:val="center"/>
          </w:tcPr>
          <w:p w14:paraId="663BA01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p>
        </w:tc>
        <w:tc>
          <w:tcPr>
            <w:tcW w:w="5851" w:type="dxa"/>
          </w:tcPr>
          <w:p w14:paraId="57C900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技术要求中加“</w:t>
            </w:r>
            <w:r>
              <w:rPr>
                <w:rFonts w:hint="eastAsia" w:ascii="宋体" w:hAnsi="宋体" w:eastAsia="宋体" w:cs="宋体"/>
                <w:color w:val="auto"/>
                <w:sz w:val="24"/>
                <w:szCs w:val="24"/>
                <w:u w:val="none"/>
              </w:rPr>
              <w:t>●</w:t>
            </w:r>
            <w:r>
              <w:rPr>
                <w:rFonts w:hint="eastAsia" w:ascii="宋体" w:hAnsi="宋体" w:eastAsia="宋体" w:cs="宋体"/>
                <w:color w:val="auto"/>
                <w:sz w:val="24"/>
                <w:szCs w:val="24"/>
                <w:highlight w:val="none"/>
                <w:u w:val="none"/>
                <w:lang w:val="en-US" w:eastAsia="zh-CN"/>
              </w:rPr>
              <w:t>”项为重要技术需求参数，投标人请按顺序录制演示视频，每小项功能演示完整的，该小项可得1分。不提供演示、漏演示、演示不清晰或演示不成功的，该小项不得分。本项最多10分。</w:t>
            </w:r>
          </w:p>
          <w:p w14:paraId="3A58BFEB">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color w:val="auto"/>
                <w:sz w:val="24"/>
                <w:szCs w:val="24"/>
                <w:highlight w:val="none"/>
                <w:u w:val="none"/>
                <w:lang w:val="en-US" w:eastAsia="zh-CN"/>
              </w:rPr>
              <w:t>注：</w:t>
            </w:r>
            <w:r>
              <w:rPr>
                <w:rFonts w:hint="eastAsia" w:ascii="宋体" w:hAnsi="宋体" w:cs="宋体"/>
                <w:b/>
                <w:bCs/>
                <w:color w:val="auto"/>
                <w:sz w:val="24"/>
                <w:szCs w:val="24"/>
                <w:highlight w:val="none"/>
                <w:u w:val="none"/>
                <w:lang w:val="en-US" w:eastAsia="zh-CN"/>
              </w:rPr>
              <w:t>演示内容必须为实际软件录屏或无剪辑拍摄视频，不接受PPT演示及DEMO演示。</w:t>
            </w:r>
            <w:r>
              <w:rPr>
                <w:rFonts w:hint="eastAsia" w:ascii="宋体" w:hAnsi="宋体" w:eastAsia="宋体" w:cs="宋体"/>
                <w:b/>
                <w:bCs/>
                <w:color w:val="auto"/>
                <w:sz w:val="24"/>
                <w:szCs w:val="24"/>
                <w:highlight w:val="none"/>
                <w:u w:val="none"/>
                <w:lang w:val="en-US" w:eastAsia="zh-CN"/>
              </w:rPr>
              <w:t>投标人将演示文件</w:t>
            </w:r>
            <w:r>
              <w:rPr>
                <w:rFonts w:hint="eastAsia" w:ascii="宋体" w:hAnsi="宋体" w:cs="宋体"/>
                <w:b/>
                <w:bCs/>
                <w:color w:val="auto"/>
                <w:sz w:val="24"/>
                <w:szCs w:val="24"/>
                <w:highlight w:val="none"/>
                <w:u w:val="none"/>
                <w:lang w:val="en-US" w:eastAsia="zh-CN"/>
              </w:rPr>
              <w:t>（应能由</w:t>
            </w:r>
            <w:r>
              <w:rPr>
                <w:rFonts w:hint="eastAsia" w:ascii="宋体" w:hAnsi="宋体" w:eastAsia="宋体" w:cs="宋体"/>
                <w:b/>
                <w:bCs/>
                <w:color w:val="auto"/>
                <w:sz w:val="24"/>
                <w:szCs w:val="24"/>
                <w:highlight w:val="none"/>
                <w:u w:val="none"/>
                <w:lang w:val="en-US" w:eastAsia="zh-CN"/>
              </w:rPr>
              <w:t>Windows操作系统自带的Windows  Media Player支持播放</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存储至电子投标文件中，演示人员自行携带演示电子设备及投标人出具的授权委托书，因投标人U盘或文件格式问题导致演示视频无法播放的，由投标人自行承担一切风险和责任。演示总时长不超过30分钟，演示顺序按投标人签到顺序倒序进行。</w:t>
            </w:r>
          </w:p>
        </w:tc>
        <w:tc>
          <w:tcPr>
            <w:tcW w:w="1456" w:type="dxa"/>
            <w:vAlign w:val="center"/>
          </w:tcPr>
          <w:p w14:paraId="0ABEDBA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10</w:t>
            </w:r>
            <w:r>
              <w:rPr>
                <w:rFonts w:hint="eastAsia" w:ascii="宋体" w:hAnsi="宋体" w:cs="宋体"/>
                <w:b w:val="0"/>
                <w:bCs/>
                <w:color w:val="auto"/>
                <w:sz w:val="24"/>
                <w:szCs w:val="24"/>
                <w:highlight w:val="none"/>
                <w:u w:val="none"/>
                <w:vertAlign w:val="baseline"/>
                <w:lang w:val="en-US" w:eastAsia="zh-CN"/>
              </w:rPr>
              <w:t>分</w:t>
            </w:r>
          </w:p>
        </w:tc>
      </w:tr>
      <w:tr w14:paraId="751B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7D6594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2</w:t>
            </w:r>
          </w:p>
        </w:tc>
        <w:tc>
          <w:tcPr>
            <w:tcW w:w="970" w:type="dxa"/>
            <w:vAlign w:val="center"/>
          </w:tcPr>
          <w:p w14:paraId="6ADFD6F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课程</w:t>
            </w:r>
          </w:p>
          <w:p w14:paraId="7844BDB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匹配</w:t>
            </w:r>
          </w:p>
        </w:tc>
        <w:tc>
          <w:tcPr>
            <w:tcW w:w="5851" w:type="dxa"/>
          </w:tcPr>
          <w:p w14:paraId="603F712F">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投标时课程资源匹配达到100%的得4分；投标时课程资源匹配未达到100%但≥90%、承诺合同签订前可达到100%的得2分；如投标时课程资源匹配不足90%、承诺合同签订前可达到100%的得1分；如服务期内招标人有新增课程要求的，中标供应商须按要求新增课程资源。未满足以上要求的不得分。</w:t>
            </w:r>
          </w:p>
          <w:p w14:paraId="0F27E17F">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注：投标人投标时课程资源匹配达到100%的，针对本项目课程目录提供①与课程相匹配的课程资源匹配清单、②具备相关课程资源知识产权或合法授权的佐证材料、③承诺函(参见承诺函格式1）；</w:t>
            </w:r>
          </w:p>
          <w:p w14:paraId="1AFA026E">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color w:val="auto"/>
                <w:sz w:val="24"/>
                <w:szCs w:val="24"/>
                <w:highlight w:val="none"/>
                <w:u w:val="none"/>
                <w:vertAlign w:val="baseline"/>
                <w:lang w:eastAsia="zh-CN"/>
              </w:rPr>
            </w:pPr>
            <w:r>
              <w:rPr>
                <w:rFonts w:hint="eastAsia" w:ascii="宋体" w:hAnsi="宋体" w:eastAsia="宋体" w:cs="宋体"/>
                <w:b/>
                <w:bCs/>
                <w:sz w:val="24"/>
                <w:szCs w:val="24"/>
                <w:u w:val="none"/>
                <w:lang w:val="en-US" w:eastAsia="zh-CN"/>
              </w:rPr>
              <w:t>投标时资源匹配暂未达到100%，投标人提供①现有的与课程相匹配的课程资源匹配清单、②现有的具备相关课程资源知识产权或合法授权的佐证材料、③承诺函（参见承诺函格式2）。</w:t>
            </w:r>
          </w:p>
        </w:tc>
        <w:tc>
          <w:tcPr>
            <w:tcW w:w="1456" w:type="dxa"/>
            <w:vAlign w:val="center"/>
          </w:tcPr>
          <w:p w14:paraId="4CE2385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4分</w:t>
            </w:r>
          </w:p>
        </w:tc>
      </w:tr>
      <w:tr w14:paraId="5417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658F96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3</w:t>
            </w:r>
          </w:p>
        </w:tc>
        <w:tc>
          <w:tcPr>
            <w:tcW w:w="970" w:type="dxa"/>
            <w:vAlign w:val="center"/>
          </w:tcPr>
          <w:p w14:paraId="0C28873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安全</w:t>
            </w:r>
          </w:p>
          <w:p w14:paraId="1093BEF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等级</w:t>
            </w:r>
          </w:p>
        </w:tc>
        <w:tc>
          <w:tcPr>
            <w:tcW w:w="5851" w:type="dxa"/>
          </w:tcPr>
          <w:p w14:paraId="093CDE9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投标人软件和系统安全性能配置全面、稳定性强，所投标软件系统获得公安部信息系统安全等级保护备案证明，备案等级为三级得2分，二级得1分，二级以下不得分。</w:t>
            </w:r>
          </w:p>
          <w:p w14:paraId="64EA0A40">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color w:val="auto"/>
                <w:sz w:val="24"/>
                <w:szCs w:val="24"/>
                <w:highlight w:val="none"/>
                <w:u w:val="none"/>
                <w:lang w:val="en-US" w:eastAsia="zh-CN"/>
              </w:rPr>
              <w:t>注：提供相关证明材料复印件并加盖公章。</w:t>
            </w:r>
          </w:p>
        </w:tc>
        <w:tc>
          <w:tcPr>
            <w:tcW w:w="1456" w:type="dxa"/>
            <w:vAlign w:val="center"/>
          </w:tcPr>
          <w:p w14:paraId="76F3080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2</w:t>
            </w:r>
            <w:r>
              <w:rPr>
                <w:rFonts w:hint="eastAsia" w:ascii="宋体" w:hAnsi="宋体" w:cs="宋体"/>
                <w:b w:val="0"/>
                <w:bCs/>
                <w:color w:val="auto"/>
                <w:sz w:val="24"/>
                <w:szCs w:val="24"/>
                <w:highlight w:val="none"/>
                <w:u w:val="none"/>
                <w:vertAlign w:val="baseline"/>
                <w:lang w:val="en-US" w:eastAsia="zh-CN"/>
              </w:rPr>
              <w:t>分</w:t>
            </w:r>
          </w:p>
        </w:tc>
      </w:tr>
      <w:tr w14:paraId="05C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AE7BCC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4</w:t>
            </w:r>
          </w:p>
        </w:tc>
        <w:tc>
          <w:tcPr>
            <w:tcW w:w="970" w:type="dxa"/>
            <w:vAlign w:val="center"/>
          </w:tcPr>
          <w:p w14:paraId="4587AE3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检测</w:t>
            </w:r>
          </w:p>
          <w:p w14:paraId="5B2047D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报告</w:t>
            </w:r>
          </w:p>
        </w:tc>
        <w:tc>
          <w:tcPr>
            <w:tcW w:w="5851" w:type="dxa"/>
          </w:tcPr>
          <w:p w14:paraId="7945EC3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1.投标人提供由国家认可的软件产品质量检验机构出具的教学系统性能检测报告的得2分。</w:t>
            </w:r>
          </w:p>
          <w:p w14:paraId="7881313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2.基于符合上述性能检测报告，检测结论达到10000用户并发系统响应时间在5s内的得1分，不满足或未完全满足的不得分。</w:t>
            </w:r>
          </w:p>
          <w:p w14:paraId="0FF2D309">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color w:val="auto"/>
                <w:sz w:val="24"/>
                <w:szCs w:val="24"/>
                <w:highlight w:val="none"/>
                <w:u w:val="none"/>
                <w:lang w:val="en-US" w:eastAsia="zh-CN"/>
              </w:rPr>
              <w:t>注：提供具有检测单位盖章的检测报告复印件并加盖投标人公章。</w:t>
            </w:r>
          </w:p>
        </w:tc>
        <w:tc>
          <w:tcPr>
            <w:tcW w:w="1456" w:type="dxa"/>
            <w:vAlign w:val="center"/>
          </w:tcPr>
          <w:p w14:paraId="568065A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3</w:t>
            </w:r>
            <w:r>
              <w:rPr>
                <w:rFonts w:hint="eastAsia" w:ascii="宋体" w:hAnsi="宋体" w:cs="宋体"/>
                <w:b w:val="0"/>
                <w:bCs/>
                <w:color w:val="auto"/>
                <w:sz w:val="24"/>
                <w:szCs w:val="24"/>
                <w:highlight w:val="none"/>
                <w:u w:val="none"/>
                <w:vertAlign w:val="baseline"/>
                <w:lang w:val="en-US" w:eastAsia="zh-CN"/>
              </w:rPr>
              <w:t>分</w:t>
            </w:r>
          </w:p>
        </w:tc>
      </w:tr>
      <w:tr w14:paraId="2D62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6C4A6D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5</w:t>
            </w:r>
          </w:p>
        </w:tc>
        <w:tc>
          <w:tcPr>
            <w:tcW w:w="970" w:type="dxa"/>
            <w:vAlign w:val="center"/>
          </w:tcPr>
          <w:p w14:paraId="14CCBFF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体系</w:t>
            </w:r>
          </w:p>
          <w:p w14:paraId="0CB9316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认证</w:t>
            </w:r>
          </w:p>
        </w:tc>
        <w:tc>
          <w:tcPr>
            <w:tcW w:w="5851" w:type="dxa"/>
          </w:tcPr>
          <w:p w14:paraId="4CFC46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投标人具有有效期内的</w:t>
            </w:r>
            <w:r>
              <w:rPr>
                <w:rFonts w:hint="eastAsia" w:ascii="宋体" w:hAnsi="宋体" w:eastAsia="宋体" w:cs="宋体"/>
                <w:color w:val="auto"/>
                <w:sz w:val="24"/>
                <w:szCs w:val="24"/>
                <w:highlight w:val="none"/>
                <w:u w:val="none"/>
                <w:lang w:val="en-US" w:eastAsia="zh-Hans"/>
              </w:rPr>
              <w:t>：</w:t>
            </w:r>
            <w:r>
              <w:rPr>
                <w:rFonts w:hint="eastAsia" w:ascii="宋体" w:hAnsi="宋体" w:eastAsia="宋体" w:cs="宋体"/>
                <w:color w:val="auto"/>
                <w:sz w:val="24"/>
                <w:szCs w:val="24"/>
                <w:highlight w:val="none"/>
                <w:u w:val="none"/>
                <w:lang w:val="en-US" w:eastAsia="zh-CN"/>
              </w:rPr>
              <w:t>云服务</w:t>
            </w:r>
            <w:r>
              <w:rPr>
                <w:rFonts w:hint="eastAsia" w:ascii="宋体" w:hAnsi="宋体" w:eastAsia="宋体" w:cs="宋体"/>
                <w:color w:val="auto"/>
                <w:sz w:val="24"/>
                <w:szCs w:val="24"/>
                <w:highlight w:val="none"/>
                <w:u w:val="none"/>
                <w:lang w:val="en-US" w:eastAsia="zh-Hans"/>
              </w:rPr>
              <w:t>信息</w:t>
            </w:r>
            <w:r>
              <w:rPr>
                <w:rFonts w:hint="eastAsia" w:ascii="宋体" w:hAnsi="宋体" w:eastAsia="宋体" w:cs="宋体"/>
                <w:color w:val="auto"/>
                <w:sz w:val="24"/>
                <w:szCs w:val="24"/>
                <w:highlight w:val="none"/>
                <w:u w:val="none"/>
                <w:lang w:val="en-US" w:eastAsia="zh-CN"/>
              </w:rPr>
              <w:t>安全</w:t>
            </w:r>
            <w:r>
              <w:rPr>
                <w:rFonts w:hint="eastAsia" w:ascii="宋体" w:hAnsi="宋体" w:eastAsia="宋体" w:cs="宋体"/>
                <w:color w:val="auto"/>
                <w:sz w:val="24"/>
                <w:szCs w:val="24"/>
                <w:highlight w:val="none"/>
                <w:u w:val="none"/>
                <w:lang w:val="en-US" w:eastAsia="zh-Hans"/>
              </w:rPr>
              <w:t>管理体系</w:t>
            </w:r>
            <w:r>
              <w:rPr>
                <w:rFonts w:hint="eastAsia" w:ascii="宋体" w:hAnsi="宋体" w:eastAsia="宋体" w:cs="宋体"/>
                <w:color w:val="auto"/>
                <w:sz w:val="24"/>
                <w:szCs w:val="24"/>
                <w:highlight w:val="none"/>
                <w:u w:val="none"/>
                <w:lang w:val="en-US" w:eastAsia="zh-CN"/>
              </w:rPr>
              <w:t>认证证书；知识产权管理体系认证证书；</w:t>
            </w:r>
            <w:r>
              <w:rPr>
                <w:rFonts w:hint="eastAsia" w:ascii="宋体" w:hAnsi="宋体" w:eastAsia="宋体" w:cs="宋体"/>
                <w:color w:val="auto"/>
                <w:sz w:val="24"/>
                <w:szCs w:val="24"/>
                <w:highlight w:val="none"/>
                <w:u w:val="none"/>
                <w:lang w:val="en-US" w:eastAsia="zh-Hans"/>
              </w:rPr>
              <w:t>隐私信息管理体系</w:t>
            </w:r>
            <w:r>
              <w:rPr>
                <w:rFonts w:hint="eastAsia" w:ascii="宋体" w:hAnsi="宋体" w:eastAsia="宋体" w:cs="宋体"/>
                <w:color w:val="auto"/>
                <w:sz w:val="24"/>
                <w:szCs w:val="24"/>
                <w:highlight w:val="none"/>
                <w:u w:val="none"/>
                <w:lang w:val="en-US" w:eastAsia="zh-CN"/>
              </w:rPr>
              <w:t>认证证书；信息技术服务管理体系认证证书；</w:t>
            </w:r>
            <w:r>
              <w:rPr>
                <w:rFonts w:hint="eastAsia" w:ascii="宋体" w:hAnsi="宋体" w:eastAsia="宋体" w:cs="宋体"/>
                <w:color w:val="auto"/>
                <w:sz w:val="24"/>
                <w:szCs w:val="24"/>
                <w:highlight w:val="none"/>
                <w:u w:val="none"/>
                <w:lang w:val="en-US" w:eastAsia="zh-Hans"/>
              </w:rPr>
              <w:t>每提供一个</w:t>
            </w:r>
            <w:r>
              <w:rPr>
                <w:rFonts w:hint="eastAsia" w:ascii="宋体" w:hAnsi="宋体" w:eastAsia="宋体" w:cs="宋体"/>
                <w:color w:val="auto"/>
                <w:sz w:val="24"/>
                <w:szCs w:val="24"/>
                <w:highlight w:val="none"/>
                <w:u w:val="none"/>
                <w:lang w:val="en-US" w:eastAsia="zh-CN"/>
              </w:rPr>
              <w:t>得1分</w:t>
            </w:r>
            <w:r>
              <w:rPr>
                <w:rFonts w:hint="eastAsia" w:ascii="宋体" w:hAnsi="宋体" w:eastAsia="宋体" w:cs="宋体"/>
                <w:color w:val="auto"/>
                <w:sz w:val="24"/>
                <w:szCs w:val="24"/>
                <w:highlight w:val="none"/>
                <w:u w:val="none"/>
                <w:lang w:val="en-US" w:eastAsia="zh-Hans"/>
              </w:rPr>
              <w:t>，最高得</w:t>
            </w: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lang w:val="en-US" w:eastAsia="zh-Hans"/>
              </w:rPr>
              <w:t>分</w:t>
            </w:r>
            <w:r>
              <w:rPr>
                <w:rFonts w:hint="eastAsia" w:ascii="宋体" w:hAnsi="宋体" w:eastAsia="宋体" w:cs="宋体"/>
                <w:color w:val="auto"/>
                <w:sz w:val="24"/>
                <w:szCs w:val="24"/>
                <w:highlight w:val="none"/>
                <w:u w:val="none"/>
                <w:lang w:val="en-US" w:eastAsia="zh-CN"/>
              </w:rPr>
              <w:t>。</w:t>
            </w:r>
          </w:p>
          <w:p w14:paraId="1B6C0D6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cs="宋体"/>
                <w:b/>
                <w:bCs/>
                <w:color w:val="auto"/>
                <w:sz w:val="24"/>
                <w:szCs w:val="24"/>
                <w:highlight w:val="none"/>
                <w:u w:val="none"/>
                <w:lang w:val="en-US" w:eastAsia="zh-CN"/>
              </w:rPr>
              <w:t>注：提供证书复印件及在</w:t>
            </w: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Hans"/>
              </w:rPr>
              <w:t>全国认证认可信息公共服务平台</w:t>
            </w: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Hans"/>
              </w:rPr>
              <w:t>相关</w:t>
            </w:r>
            <w:r>
              <w:rPr>
                <w:rFonts w:hint="eastAsia" w:ascii="宋体" w:hAnsi="宋体" w:eastAsia="宋体" w:cs="宋体"/>
                <w:b/>
                <w:bCs/>
                <w:color w:val="auto"/>
                <w:sz w:val="24"/>
                <w:szCs w:val="24"/>
                <w:highlight w:val="none"/>
                <w:u w:val="none"/>
                <w:lang w:val="en-US" w:eastAsia="zh-CN"/>
              </w:rPr>
              <w:t>查询</w:t>
            </w:r>
            <w:r>
              <w:rPr>
                <w:rFonts w:hint="eastAsia" w:ascii="宋体" w:hAnsi="宋体" w:eastAsia="宋体" w:cs="宋体"/>
                <w:b/>
                <w:bCs/>
                <w:color w:val="auto"/>
                <w:sz w:val="24"/>
                <w:szCs w:val="24"/>
                <w:highlight w:val="none"/>
                <w:u w:val="none"/>
                <w:lang w:val="en-US" w:eastAsia="zh-Hans"/>
              </w:rPr>
              <w:t>页面截图</w:t>
            </w:r>
            <w:r>
              <w:rPr>
                <w:rFonts w:hint="eastAsia" w:ascii="宋体" w:hAnsi="宋体" w:cs="宋体"/>
                <w:b/>
                <w:bCs/>
                <w:color w:val="auto"/>
                <w:sz w:val="24"/>
                <w:szCs w:val="24"/>
                <w:highlight w:val="none"/>
                <w:u w:val="none"/>
                <w:lang w:val="en-US" w:eastAsia="zh-CN"/>
              </w:rPr>
              <w:t>，以上材料加盖投标人公章。</w:t>
            </w:r>
          </w:p>
        </w:tc>
        <w:tc>
          <w:tcPr>
            <w:tcW w:w="1456" w:type="dxa"/>
            <w:vAlign w:val="center"/>
          </w:tcPr>
          <w:p w14:paraId="64C42D1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4分</w:t>
            </w:r>
          </w:p>
        </w:tc>
      </w:tr>
      <w:tr w14:paraId="020E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99151B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6</w:t>
            </w:r>
          </w:p>
        </w:tc>
        <w:tc>
          <w:tcPr>
            <w:tcW w:w="970" w:type="dxa"/>
            <w:vAlign w:val="center"/>
          </w:tcPr>
          <w:p w14:paraId="35437C9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r>
              <w:rPr>
                <w:rFonts w:hint="eastAsia" w:ascii="宋体" w:hAnsi="宋体" w:eastAsia="宋体" w:cs="宋体"/>
                <w:b w:val="0"/>
                <w:bCs/>
                <w:color w:val="auto"/>
                <w:sz w:val="24"/>
                <w:szCs w:val="24"/>
                <w:highlight w:val="none"/>
                <w:u w:val="none"/>
                <w:lang w:val="en-US" w:eastAsia="zh-CN"/>
              </w:rPr>
              <w:t>软件著作权</w:t>
            </w:r>
          </w:p>
        </w:tc>
        <w:tc>
          <w:tcPr>
            <w:tcW w:w="5851" w:type="dxa"/>
          </w:tcPr>
          <w:p w14:paraId="3A384D3A">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投标人取得国家版权部门出具的相关软件著作权证书，并提供中国版权保护中心对应著作权证书的查询记录截图，软件著作权名称涉及继续教育管理、视频点播、论文管理、内容安全审核、流程管理、AI组卷、自然语言处理等相关描述或类似名称。每提供1个得1分，最高5分。</w:t>
            </w:r>
          </w:p>
          <w:p w14:paraId="7F18FC0F">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sz w:val="24"/>
                <w:szCs w:val="24"/>
                <w:u w:val="none"/>
                <w:lang w:val="en-US" w:eastAsia="zh-CN"/>
              </w:rPr>
              <w:t>注：提供证书复印件及查询记录截图加盖公章。同一类不重复得分。</w:t>
            </w:r>
          </w:p>
        </w:tc>
        <w:tc>
          <w:tcPr>
            <w:tcW w:w="1456" w:type="dxa"/>
            <w:vAlign w:val="center"/>
          </w:tcPr>
          <w:p w14:paraId="0B54E79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5分</w:t>
            </w:r>
          </w:p>
        </w:tc>
      </w:tr>
      <w:tr w14:paraId="6FF0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9A2DA9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red"/>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7</w:t>
            </w:r>
          </w:p>
        </w:tc>
        <w:tc>
          <w:tcPr>
            <w:tcW w:w="970" w:type="dxa"/>
            <w:vAlign w:val="center"/>
          </w:tcPr>
          <w:p w14:paraId="09553E8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red"/>
                <w:u w:val="none"/>
                <w:lang w:val="en-US" w:eastAsia="zh-CN"/>
              </w:rPr>
            </w:pPr>
            <w:r>
              <w:rPr>
                <w:rFonts w:hint="eastAsia" w:ascii="宋体" w:hAnsi="宋体" w:cs="宋体"/>
                <w:b w:val="0"/>
                <w:bCs/>
                <w:color w:val="auto"/>
                <w:sz w:val="24"/>
                <w:szCs w:val="24"/>
                <w:highlight w:val="none"/>
                <w:u w:val="none"/>
                <w:lang w:val="en-US" w:eastAsia="zh-CN"/>
              </w:rPr>
              <w:t>课程资源著作权</w:t>
            </w:r>
          </w:p>
        </w:tc>
        <w:tc>
          <w:tcPr>
            <w:tcW w:w="5851" w:type="dxa"/>
          </w:tcPr>
          <w:p w14:paraId="03833F37">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投标人提供有效版权主管部门颁发的课程资源作品登记证书。</w:t>
            </w:r>
          </w:p>
          <w:p w14:paraId="52328107">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以上根据招标文件学校所需课程目录中课程进行匹配，每提供1个得1分，不提供不得分，最高5分。</w:t>
            </w:r>
          </w:p>
          <w:p w14:paraId="65C64F8D">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bCs/>
                <w:color w:val="auto"/>
                <w:sz w:val="24"/>
                <w:szCs w:val="24"/>
                <w:highlight w:val="red"/>
                <w:u w:val="none"/>
                <w:lang w:val="en-US" w:eastAsia="zh-CN"/>
              </w:rPr>
            </w:pPr>
            <w:r>
              <w:rPr>
                <w:rFonts w:hint="eastAsia" w:ascii="宋体" w:hAnsi="宋体" w:eastAsia="宋体" w:cs="宋体"/>
                <w:b/>
                <w:bCs/>
                <w:sz w:val="24"/>
                <w:szCs w:val="24"/>
                <w:u w:val="none"/>
                <w:lang w:val="en-US" w:eastAsia="zh-CN"/>
              </w:rPr>
              <w:t>注：提供相关课程资源作品登记证书电子版及版权主管部门官网查询截图并加盖公章。</w:t>
            </w:r>
          </w:p>
        </w:tc>
        <w:tc>
          <w:tcPr>
            <w:tcW w:w="1456" w:type="dxa"/>
            <w:vAlign w:val="center"/>
          </w:tcPr>
          <w:p w14:paraId="14B08B9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red"/>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5分</w:t>
            </w:r>
          </w:p>
        </w:tc>
      </w:tr>
      <w:tr w14:paraId="2A3E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FAE21E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8</w:t>
            </w:r>
          </w:p>
        </w:tc>
        <w:tc>
          <w:tcPr>
            <w:tcW w:w="970" w:type="dxa"/>
            <w:vAlign w:val="center"/>
          </w:tcPr>
          <w:p w14:paraId="1BA2E70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业绩</w:t>
            </w:r>
          </w:p>
        </w:tc>
        <w:tc>
          <w:tcPr>
            <w:tcW w:w="5851" w:type="dxa"/>
          </w:tcPr>
          <w:p w14:paraId="68AEFE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投标人提供2023年1月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承担过类似</w:t>
            </w:r>
            <w:r>
              <w:rPr>
                <w:rFonts w:hint="eastAsia" w:ascii="宋体" w:hAnsi="宋体" w:cs="宋体"/>
                <w:color w:val="auto"/>
                <w:sz w:val="24"/>
                <w:szCs w:val="24"/>
                <w:highlight w:val="none"/>
                <w:u w:val="none"/>
                <w:lang w:val="en-US" w:eastAsia="zh-CN"/>
              </w:rPr>
              <w:t>继续教育平台服务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lang w:val="en-US" w:eastAsia="zh-CN"/>
              </w:rPr>
              <w:t>分，最多得</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lang w:val="en-US" w:eastAsia="zh-CN"/>
              </w:rPr>
              <w:t>分。</w:t>
            </w:r>
          </w:p>
          <w:p w14:paraId="31799B3C">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color w:val="auto"/>
                <w:sz w:val="24"/>
                <w:szCs w:val="24"/>
                <w:highlight w:val="none"/>
                <w:u w:val="none"/>
                <w:lang w:val="en-US" w:eastAsia="zh-CN"/>
              </w:rPr>
              <w:t>注：提供中标（成交）通知书及合同复印件加盖公章</w:t>
            </w:r>
            <w:r>
              <w:rPr>
                <w:rFonts w:hint="eastAsia" w:ascii="宋体" w:hAnsi="宋体" w:eastAsia="宋体" w:cs="宋体"/>
                <w:color w:val="auto"/>
                <w:sz w:val="24"/>
                <w:szCs w:val="24"/>
                <w:highlight w:val="none"/>
                <w:u w:val="none"/>
                <w:lang w:val="en-US" w:eastAsia="zh-CN"/>
              </w:rPr>
              <w:t>。</w:t>
            </w:r>
          </w:p>
        </w:tc>
        <w:tc>
          <w:tcPr>
            <w:tcW w:w="1456" w:type="dxa"/>
            <w:vAlign w:val="center"/>
          </w:tcPr>
          <w:p w14:paraId="209DFA3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red"/>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5分</w:t>
            </w:r>
          </w:p>
        </w:tc>
      </w:tr>
      <w:tr w14:paraId="10BB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CDB9FA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9</w:t>
            </w:r>
          </w:p>
        </w:tc>
        <w:tc>
          <w:tcPr>
            <w:tcW w:w="970" w:type="dxa"/>
            <w:vAlign w:val="center"/>
          </w:tcPr>
          <w:p w14:paraId="59693A7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服务</w:t>
            </w:r>
          </w:p>
          <w:p w14:paraId="14EF4D2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团队</w:t>
            </w:r>
          </w:p>
        </w:tc>
        <w:tc>
          <w:tcPr>
            <w:tcW w:w="5851" w:type="dxa"/>
          </w:tcPr>
          <w:p w14:paraId="681AB06A">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1.项目负责人</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仅限1人</w:t>
            </w:r>
            <w:r>
              <w:rPr>
                <w:rFonts w:hint="eastAsia" w:ascii="宋体" w:hAnsi="宋体" w:eastAsia="宋体" w:cs="宋体"/>
                <w:sz w:val="24"/>
                <w:szCs w:val="24"/>
                <w:u w:val="none"/>
                <w:lang w:eastAsia="zh-CN"/>
              </w:rPr>
              <w:t>）</w:t>
            </w:r>
            <w:r>
              <w:rPr>
                <w:rFonts w:hint="eastAsia" w:ascii="宋体" w:hAnsi="宋体" w:eastAsia="宋体" w:cs="宋体"/>
                <w:sz w:val="24"/>
                <w:szCs w:val="24"/>
                <w:u w:val="none"/>
              </w:rPr>
              <w:t>（2分）</w:t>
            </w:r>
          </w:p>
          <w:p w14:paraId="123F33F9">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具备信息系统项目管理师、信息安全管理师（高级）资质证书的，每提供一个证书得1分，本项最高2分；</w:t>
            </w:r>
          </w:p>
          <w:p w14:paraId="5A3FA9EA">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bCs/>
                <w:sz w:val="24"/>
                <w:szCs w:val="24"/>
                <w:u w:val="none"/>
              </w:rPr>
            </w:pPr>
            <w:r>
              <w:rPr>
                <w:rFonts w:hint="eastAsia" w:ascii="宋体" w:hAnsi="宋体" w:eastAsia="宋体" w:cs="宋体"/>
                <w:b/>
                <w:bCs/>
                <w:sz w:val="24"/>
                <w:szCs w:val="24"/>
                <w:u w:val="none"/>
              </w:rPr>
              <w:t>注：提供证书复印件及投标人为其缴纳的2026年1月以来任意一个月社保证明。</w:t>
            </w:r>
          </w:p>
          <w:p w14:paraId="0F1D2158">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2.技术负责人</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仅限1人</w:t>
            </w:r>
            <w:r>
              <w:rPr>
                <w:rFonts w:hint="eastAsia" w:ascii="宋体" w:hAnsi="宋体" w:eastAsia="宋体" w:cs="宋体"/>
                <w:sz w:val="24"/>
                <w:szCs w:val="24"/>
                <w:u w:val="none"/>
                <w:lang w:eastAsia="zh-CN"/>
              </w:rPr>
              <w:t>）</w:t>
            </w:r>
            <w:r>
              <w:rPr>
                <w:rFonts w:hint="eastAsia" w:ascii="宋体" w:hAnsi="宋体" w:eastAsia="宋体" w:cs="宋体"/>
                <w:sz w:val="24"/>
                <w:szCs w:val="24"/>
                <w:u w:val="none"/>
              </w:rPr>
              <w:t>（2分）</w:t>
            </w:r>
          </w:p>
          <w:p w14:paraId="0964D63F">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具备软件工程师（高级）、数据恢复工程师（高级）证书，每提供一个证书得1分，本项最高2分。</w:t>
            </w:r>
          </w:p>
          <w:p w14:paraId="184A8915">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bCs/>
                <w:sz w:val="24"/>
                <w:szCs w:val="24"/>
                <w:u w:val="none"/>
              </w:rPr>
            </w:pPr>
            <w:r>
              <w:rPr>
                <w:rFonts w:hint="eastAsia" w:ascii="宋体" w:hAnsi="宋体" w:eastAsia="宋体" w:cs="宋体"/>
                <w:b/>
                <w:bCs/>
                <w:sz w:val="24"/>
                <w:szCs w:val="24"/>
                <w:u w:val="none"/>
              </w:rPr>
              <w:t>注：提供证书复印件及投标人为其缴纳的2026年1月以来任意一个月社保证明。</w:t>
            </w:r>
          </w:p>
          <w:p w14:paraId="14F02E0E">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3.项目组成员（不含项目负责人及技术负责人）（3分）</w:t>
            </w:r>
          </w:p>
          <w:p w14:paraId="325D947A">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rPr>
            </w:pPr>
            <w:r>
              <w:rPr>
                <w:rFonts w:hint="eastAsia" w:ascii="宋体" w:hAnsi="宋体" w:eastAsia="宋体" w:cs="宋体"/>
                <w:sz w:val="24"/>
                <w:szCs w:val="24"/>
                <w:u w:val="none"/>
              </w:rPr>
              <w:t>具备大数据分析应用工程师、人工智能应用工程师、数据库系统工程师证书</w:t>
            </w:r>
            <w:r>
              <w:rPr>
                <w:rFonts w:hint="eastAsia" w:ascii="宋体" w:hAnsi="宋体" w:eastAsia="宋体" w:cs="宋体"/>
                <w:sz w:val="24"/>
                <w:szCs w:val="24"/>
                <w:u w:val="none"/>
                <w:lang w:val="en-US" w:eastAsia="zh-CN"/>
              </w:rPr>
              <w:t>或其他平台软件类相关的工程师证书</w:t>
            </w:r>
            <w:r>
              <w:rPr>
                <w:rFonts w:hint="eastAsia" w:ascii="宋体" w:hAnsi="宋体" w:eastAsia="宋体" w:cs="宋体"/>
                <w:sz w:val="24"/>
                <w:szCs w:val="24"/>
                <w:u w:val="none"/>
              </w:rPr>
              <w:t>的，每提供一个，得1分，最高得3分；</w:t>
            </w:r>
          </w:p>
          <w:p w14:paraId="0E09514C">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bCs/>
                <w:sz w:val="24"/>
                <w:szCs w:val="24"/>
                <w:u w:val="none"/>
              </w:rPr>
              <w:t>注：提供证书复印件及投标人为其缴纳的2026年1月以来任意一个月社保证明。同一类型证书、同一人员不重复得分。</w:t>
            </w:r>
          </w:p>
        </w:tc>
        <w:tc>
          <w:tcPr>
            <w:tcW w:w="1456" w:type="dxa"/>
            <w:vAlign w:val="center"/>
          </w:tcPr>
          <w:p w14:paraId="34815DC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red"/>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7分</w:t>
            </w:r>
          </w:p>
        </w:tc>
      </w:tr>
      <w:tr w14:paraId="3D04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3CD2CB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10</w:t>
            </w:r>
          </w:p>
        </w:tc>
        <w:tc>
          <w:tcPr>
            <w:tcW w:w="970" w:type="dxa"/>
            <w:vAlign w:val="center"/>
          </w:tcPr>
          <w:p w14:paraId="764B901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实施</w:t>
            </w:r>
          </w:p>
          <w:p w14:paraId="7F1CE98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方案</w:t>
            </w:r>
          </w:p>
        </w:tc>
        <w:tc>
          <w:tcPr>
            <w:tcW w:w="5851" w:type="dxa"/>
          </w:tcPr>
          <w:p w14:paraId="4913E034">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针对投标人所提供此项目的实施方案，包括不限于：1.重难点及风险分析；2.质量保证措施；3.时间进度安排，由评标委员会根据以上内容进行综合评分：</w:t>
            </w:r>
          </w:p>
          <w:p w14:paraId="56CBAF7B">
            <w:pPr>
              <w:keepNext w:val="0"/>
              <w:keepLines w:val="0"/>
              <w:pageBreakBefore w:val="0"/>
              <w:widowControl w:val="0"/>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sz w:val="24"/>
                <w:szCs w:val="24"/>
                <w:u w:val="none"/>
                <w:lang w:val="en-US" w:eastAsia="zh-CN"/>
              </w:rPr>
              <w:t>针对以上3点，每项包含的要点齐全无缺漏项、内容与本项目相符、需求理解完善的得3分；每点内容包含的要点齐全、内容与要点相符，但仅有纲要内容简略，未科学合理展开阐述的得2分；每点内容包含的要点有缺漏的得1分；每点内容与本项目无关或未提供相关内容的不得分。</w:t>
            </w:r>
          </w:p>
        </w:tc>
        <w:tc>
          <w:tcPr>
            <w:tcW w:w="1456" w:type="dxa"/>
            <w:vAlign w:val="center"/>
          </w:tcPr>
          <w:p w14:paraId="7E346E5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9分</w:t>
            </w:r>
          </w:p>
        </w:tc>
      </w:tr>
      <w:tr w14:paraId="5BD9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6DC953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w:t>
            </w:r>
            <w:r>
              <w:rPr>
                <w:rFonts w:hint="eastAsia" w:ascii="宋体" w:hAnsi="宋体" w:cs="宋体"/>
                <w:b w:val="0"/>
                <w:bCs/>
                <w:color w:val="auto"/>
                <w:sz w:val="24"/>
                <w:szCs w:val="24"/>
                <w:highlight w:val="none"/>
                <w:u w:val="none"/>
                <w:vertAlign w:val="baseline"/>
                <w:lang w:val="en-US" w:eastAsia="zh-CN"/>
              </w:rPr>
              <w:t>1</w:t>
            </w:r>
          </w:p>
        </w:tc>
        <w:tc>
          <w:tcPr>
            <w:tcW w:w="970" w:type="dxa"/>
            <w:vAlign w:val="center"/>
          </w:tcPr>
          <w:p w14:paraId="5A37978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rPr>
            </w:pPr>
            <w:r>
              <w:rPr>
                <w:rFonts w:hint="eastAsia" w:ascii="宋体" w:hAnsi="宋体" w:eastAsia="宋体" w:cs="宋体"/>
                <w:b w:val="0"/>
                <w:bCs/>
                <w:color w:val="auto"/>
                <w:sz w:val="24"/>
                <w:szCs w:val="24"/>
                <w:highlight w:val="none"/>
                <w:u w:val="none"/>
                <w:lang w:val="en-US" w:eastAsia="zh-CN"/>
              </w:rPr>
              <w:t>数据迁移保障方案</w:t>
            </w:r>
          </w:p>
        </w:tc>
        <w:tc>
          <w:tcPr>
            <w:tcW w:w="5851" w:type="dxa"/>
          </w:tcPr>
          <w:p w14:paraId="72AFFD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针对投标人所提供此项目的数据迁移保障方案，包括不限于：1.系统整合及数据迁移方案；2.信息安全保障方案等，由评标委员会根据以上内容进行综合评分：</w:t>
            </w:r>
          </w:p>
          <w:p w14:paraId="4A5F31A4">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73A0B319">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cs="宋体"/>
                <w:b w:val="0"/>
                <w:bCs/>
                <w:color w:val="auto"/>
                <w:sz w:val="24"/>
                <w:szCs w:val="24"/>
                <w:highlight w:val="none"/>
                <w:u w:val="none"/>
                <w:vertAlign w:val="baseline"/>
                <w:lang w:val="en-US" w:eastAsia="zh-CN"/>
              </w:rPr>
              <w:t>4分</w:t>
            </w:r>
          </w:p>
        </w:tc>
      </w:tr>
      <w:tr w14:paraId="63EA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3004B2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w:t>
            </w:r>
            <w:r>
              <w:rPr>
                <w:rFonts w:hint="eastAsia" w:ascii="宋体" w:hAnsi="宋体" w:cs="宋体"/>
                <w:b w:val="0"/>
                <w:bCs/>
                <w:color w:val="auto"/>
                <w:sz w:val="24"/>
                <w:szCs w:val="24"/>
                <w:highlight w:val="none"/>
                <w:u w:val="none"/>
                <w:vertAlign w:val="baseline"/>
                <w:lang w:val="en-US" w:eastAsia="zh-CN"/>
              </w:rPr>
              <w:t>2</w:t>
            </w:r>
          </w:p>
        </w:tc>
        <w:tc>
          <w:tcPr>
            <w:tcW w:w="970" w:type="dxa"/>
            <w:vAlign w:val="center"/>
          </w:tcPr>
          <w:p w14:paraId="7326987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服务</w:t>
            </w:r>
          </w:p>
          <w:p w14:paraId="099F528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方案</w:t>
            </w:r>
          </w:p>
        </w:tc>
        <w:tc>
          <w:tcPr>
            <w:tcW w:w="5851" w:type="dxa"/>
          </w:tcPr>
          <w:p w14:paraId="7D9C560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针对投标人所提供此项目的服务方案，包括不限于：1.售后服务支持能力；2.服务流程及响应时间；3.应急处理方案等，由评标委员会根据以上内容进行综合评分：</w:t>
            </w:r>
          </w:p>
          <w:p w14:paraId="42CF3633">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6CDA335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6</w:t>
            </w:r>
            <w:r>
              <w:rPr>
                <w:rFonts w:hint="eastAsia" w:ascii="宋体" w:hAnsi="宋体" w:cs="宋体"/>
                <w:b w:val="0"/>
                <w:bCs/>
                <w:color w:val="auto"/>
                <w:sz w:val="24"/>
                <w:szCs w:val="24"/>
                <w:highlight w:val="none"/>
                <w:u w:val="none"/>
                <w:vertAlign w:val="baseline"/>
                <w:lang w:val="en-US" w:eastAsia="zh-CN"/>
              </w:rPr>
              <w:t>分</w:t>
            </w:r>
          </w:p>
        </w:tc>
      </w:tr>
      <w:tr w14:paraId="557A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0A46992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1</w:t>
            </w:r>
            <w:r>
              <w:rPr>
                <w:rFonts w:hint="eastAsia" w:ascii="宋体" w:hAnsi="宋体" w:cs="宋体"/>
                <w:b w:val="0"/>
                <w:bCs/>
                <w:color w:val="auto"/>
                <w:sz w:val="24"/>
                <w:szCs w:val="24"/>
                <w:highlight w:val="none"/>
                <w:u w:val="none"/>
                <w:vertAlign w:val="baseline"/>
                <w:lang w:val="en-US" w:eastAsia="zh-CN"/>
              </w:rPr>
              <w:t>3</w:t>
            </w:r>
          </w:p>
        </w:tc>
        <w:tc>
          <w:tcPr>
            <w:tcW w:w="970" w:type="dxa"/>
            <w:vAlign w:val="center"/>
          </w:tcPr>
          <w:p w14:paraId="09739D8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培训</w:t>
            </w:r>
          </w:p>
          <w:p w14:paraId="66005B4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方案</w:t>
            </w:r>
          </w:p>
        </w:tc>
        <w:tc>
          <w:tcPr>
            <w:tcW w:w="5851" w:type="dxa"/>
          </w:tcPr>
          <w:p w14:paraId="7AE4BF7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针对投标人所提供此项目的培训方案，包括不限于：1.培训计划；2.培训内容；3.培训课程安排等，由评标委员会根据以上内容进行综合评分：</w:t>
            </w:r>
          </w:p>
          <w:p w14:paraId="39FAE852">
            <w:pPr>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color w:val="auto"/>
                <w:sz w:val="24"/>
                <w:szCs w:val="24"/>
                <w:highlight w:val="none"/>
                <w:u w:val="none"/>
                <w:vertAlign w:val="baseline"/>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6C501EDB">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val="0"/>
                <w:bCs/>
                <w:color w:val="auto"/>
                <w:sz w:val="24"/>
                <w:szCs w:val="24"/>
                <w:highlight w:val="none"/>
                <w:u w:val="none"/>
                <w:vertAlign w:val="baseline"/>
                <w:lang w:val="en-US" w:eastAsia="zh-CN"/>
              </w:rPr>
            </w:pPr>
            <w:r>
              <w:rPr>
                <w:rFonts w:hint="eastAsia" w:ascii="宋体" w:hAnsi="宋体" w:eastAsia="宋体" w:cs="宋体"/>
                <w:b w:val="0"/>
                <w:bCs/>
                <w:color w:val="auto"/>
                <w:sz w:val="24"/>
                <w:szCs w:val="24"/>
                <w:highlight w:val="none"/>
                <w:u w:val="none"/>
                <w:vertAlign w:val="baseline"/>
                <w:lang w:val="en-US" w:eastAsia="zh-CN"/>
              </w:rPr>
              <w:t>6</w:t>
            </w:r>
            <w:r>
              <w:rPr>
                <w:rFonts w:hint="eastAsia" w:ascii="宋体" w:hAnsi="宋体" w:cs="宋体"/>
                <w:b w:val="0"/>
                <w:bCs/>
                <w:color w:val="auto"/>
                <w:sz w:val="24"/>
                <w:szCs w:val="24"/>
                <w:highlight w:val="none"/>
                <w:u w:val="none"/>
                <w:vertAlign w:val="baseline"/>
                <w:lang w:val="en-US" w:eastAsia="zh-CN"/>
              </w:rPr>
              <w:t>分</w:t>
            </w:r>
          </w:p>
        </w:tc>
      </w:tr>
    </w:tbl>
    <w:p w14:paraId="60705522">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注：1</w:t>
      </w:r>
      <w:r>
        <w:rPr>
          <w:rFonts w:hint="eastAsia" w:ascii="宋体" w:hAnsi="宋体" w:eastAsia="宋体" w:cs="宋体"/>
          <w:color w:val="000000"/>
          <w:sz w:val="24"/>
          <w:lang w:val="en-US" w:eastAsia="zh-CN"/>
        </w:rPr>
        <w:t>.</w:t>
      </w:r>
      <w:r>
        <w:rPr>
          <w:rFonts w:hint="eastAsia" w:ascii="宋体" w:hAnsi="宋体" w:eastAsia="宋体" w:cs="宋体"/>
          <w:color w:val="000000"/>
          <w:sz w:val="24"/>
        </w:rPr>
        <w:t>如发现投标人递交的</w:t>
      </w:r>
      <w:r>
        <w:rPr>
          <w:rFonts w:hint="eastAsia" w:ascii="宋体" w:hAnsi="宋体" w:eastAsia="宋体" w:cs="宋体"/>
          <w:color w:val="000000"/>
          <w:sz w:val="24"/>
          <w:lang w:val="en-US" w:eastAsia="zh-CN"/>
        </w:rPr>
        <w:t>投标</w:t>
      </w:r>
      <w:r>
        <w:rPr>
          <w:rFonts w:hint="eastAsia" w:ascii="宋体" w:hAnsi="宋体" w:eastAsia="宋体" w:cs="宋体"/>
          <w:color w:val="000000"/>
          <w:sz w:val="24"/>
          <w:lang w:eastAsia="zh-CN"/>
        </w:rPr>
        <w:t>文件</w:t>
      </w:r>
      <w:r>
        <w:rPr>
          <w:rFonts w:hint="eastAsia" w:ascii="宋体" w:hAnsi="宋体" w:eastAsia="宋体" w:cs="宋体"/>
          <w:color w:val="000000"/>
          <w:sz w:val="24"/>
          <w:lang w:val="en-US" w:eastAsia="zh-CN"/>
        </w:rPr>
        <w:t>内容</w:t>
      </w:r>
      <w:r>
        <w:rPr>
          <w:rFonts w:hint="eastAsia" w:ascii="宋体" w:hAnsi="宋体" w:eastAsia="宋体" w:cs="宋体"/>
          <w:color w:val="000000"/>
          <w:sz w:val="24"/>
        </w:rPr>
        <w:t>有弄虚作假行为，该投标人将记入不良记录，并上报有关部门，如已中标，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有权取消其中标资格，并由该投标人承担由此带来可能的一切责任和损失。</w:t>
      </w:r>
    </w:p>
    <w:p w14:paraId="046AA9D0">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请投标人根据评分标准制作评分索引并放在评审内容的前面，评分索引中应标明每个评分点的页码范围，如投标文件内容顺序混乱，导致评委无法查看，后果自负。</w:t>
      </w:r>
    </w:p>
    <w:p w14:paraId="2CBFB1E4">
      <w:pPr>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3.</w:t>
      </w:r>
      <w:r>
        <w:rPr>
          <w:rFonts w:hint="eastAsia" w:ascii="宋体" w:hAnsi="宋体" w:eastAsia="宋体" w:cs="宋体"/>
          <w:b/>
          <w:bCs/>
          <w:color w:val="000000"/>
          <w:sz w:val="24"/>
        </w:rPr>
        <w:t>投标人的商务技术标得分不得低于招标文件商务技术标总分值的50%，否则视为未实质性响应，作无效投标处理</w:t>
      </w:r>
    </w:p>
    <w:p w14:paraId="4596E30B">
      <w:pPr>
        <w:snapToGrid w:val="0"/>
        <w:spacing w:line="360" w:lineRule="auto"/>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、出现下列情形之一的，</w:t>
      </w:r>
      <w:r>
        <w:rPr>
          <w:rFonts w:hint="eastAsia" w:ascii="宋体" w:hAnsi="宋体" w:eastAsia="宋体" w:cs="宋体"/>
          <w:b/>
          <w:sz w:val="24"/>
          <w:szCs w:val="24"/>
          <w:lang w:val="en-US" w:eastAsia="zh-CN"/>
        </w:rPr>
        <w:t>评委会</w:t>
      </w:r>
      <w:r>
        <w:rPr>
          <w:rFonts w:hint="eastAsia" w:ascii="宋体" w:hAnsi="宋体" w:eastAsia="宋体" w:cs="宋体"/>
          <w:b/>
          <w:sz w:val="24"/>
          <w:szCs w:val="24"/>
        </w:rPr>
        <w:t>应当启动异常低价投标审查程序：</w:t>
      </w:r>
    </w:p>
    <w:p w14:paraId="48BA2BA1">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59AA52EE">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35B963B2">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75FE78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3735795F">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3582C04E">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462A9F80">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五</w:t>
      </w:r>
      <w:r>
        <w:rPr>
          <w:rFonts w:hint="eastAsia" w:ascii="宋体" w:hAnsi="宋体" w:eastAsia="宋体" w:cs="宋体"/>
          <w:b/>
          <w:color w:val="000000"/>
          <w:kern w:val="0"/>
          <w:sz w:val="24"/>
        </w:rPr>
        <w:t>、</w:t>
      </w:r>
      <w:r>
        <w:rPr>
          <w:rFonts w:hint="eastAsia" w:ascii="宋体" w:hAnsi="宋体" w:eastAsia="宋体" w:cs="宋体"/>
          <w:b/>
          <w:bCs/>
          <w:color w:val="000000"/>
          <w:sz w:val="24"/>
          <w:szCs w:val="20"/>
        </w:rPr>
        <w:t>中标人的确定</w:t>
      </w:r>
    </w:p>
    <w:p w14:paraId="02A694A5">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评标委员会依据投标人的综合得分（商务技术得分与价格得分之和）</w:t>
      </w:r>
      <w:r>
        <w:rPr>
          <w:rFonts w:hint="eastAsia" w:ascii="宋体" w:hAnsi="宋体" w:eastAsia="宋体" w:cs="宋体"/>
          <w:bCs/>
          <w:sz w:val="24"/>
        </w:rPr>
        <w:t>从高到低排序</w:t>
      </w:r>
      <w:r>
        <w:rPr>
          <w:rFonts w:hint="eastAsia" w:ascii="宋体" w:hAnsi="宋体" w:eastAsia="宋体" w:cs="宋体"/>
          <w:color w:val="000000"/>
          <w:kern w:val="0"/>
          <w:sz w:val="24"/>
        </w:rPr>
        <w:t>推荐</w:t>
      </w:r>
      <w:r>
        <w:rPr>
          <w:rFonts w:hint="eastAsia" w:ascii="宋体" w:hAnsi="宋体" w:eastAsia="宋体" w:cs="宋体"/>
          <w:color w:val="000000"/>
          <w:kern w:val="0"/>
          <w:sz w:val="24"/>
          <w:lang w:val="en-US" w:eastAsia="zh-CN"/>
        </w:rPr>
        <w:t>三名</w:t>
      </w:r>
      <w:r>
        <w:rPr>
          <w:rFonts w:hint="eastAsia" w:ascii="宋体" w:hAnsi="宋体" w:eastAsia="宋体" w:cs="宋体"/>
          <w:color w:val="000000"/>
          <w:kern w:val="0"/>
          <w:sz w:val="24"/>
        </w:rPr>
        <w:t xml:space="preserve">中标候选人。  </w:t>
      </w:r>
    </w:p>
    <w:p w14:paraId="251A6FD4">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推荐中标候选人的特殊情况处理：</w:t>
      </w:r>
    </w:p>
    <w:p w14:paraId="1180E135">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（1）若总分相同，则按价格标得分高者优先。</w:t>
      </w:r>
    </w:p>
    <w:p w14:paraId="78EED7CC">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（2）若总分且价格标得分相同，则</w:t>
      </w:r>
      <w:r>
        <w:rPr>
          <w:rFonts w:hint="eastAsia" w:ascii="宋体" w:hAnsi="宋体" w:eastAsia="宋体" w:cs="宋体"/>
          <w:color w:val="000000"/>
          <w:kern w:val="0"/>
          <w:sz w:val="24"/>
          <w:lang w:val="en-US" w:eastAsia="zh-CN"/>
        </w:rPr>
        <w:t>有评标委员会</w:t>
      </w:r>
      <w:r>
        <w:rPr>
          <w:rFonts w:hint="eastAsia" w:ascii="宋体" w:hAnsi="宋体" w:eastAsia="宋体" w:cs="宋体"/>
          <w:color w:val="000000"/>
          <w:kern w:val="0"/>
          <w:sz w:val="24"/>
        </w:rPr>
        <w:t>采取现场抽签的方式确定（投标人的抽签顺序分别为各投标人递交投标文件签到顺序号）。</w:t>
      </w:r>
    </w:p>
    <w:p w14:paraId="34EC08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3.</w:t>
      </w:r>
      <w:r>
        <w:rPr>
          <w:rFonts w:hint="eastAsia" w:ascii="宋体" w:hAnsi="宋体" w:eastAsia="宋体" w:cs="宋体"/>
          <w:b/>
          <w:bCs/>
          <w:color w:val="000000"/>
          <w:kern w:val="0"/>
          <w:sz w:val="24"/>
        </w:rPr>
        <w:t>本项目第一中标候选人原则上为中标人，</w:t>
      </w:r>
      <w:r>
        <w:rPr>
          <w:rFonts w:hint="eastAsia" w:ascii="宋体" w:hAnsi="宋体" w:eastAsia="宋体" w:cs="宋体"/>
          <w:b/>
          <w:bCs/>
          <w:color w:val="000000"/>
          <w:kern w:val="0"/>
          <w:sz w:val="24"/>
          <w:lang w:eastAsia="zh-CN"/>
        </w:rPr>
        <w:t>招标人</w:t>
      </w:r>
      <w:r>
        <w:rPr>
          <w:rFonts w:hint="eastAsia" w:ascii="宋体" w:hAnsi="宋体" w:eastAsia="宋体" w:cs="宋体"/>
          <w:b/>
          <w:bCs/>
          <w:color w:val="000000"/>
          <w:kern w:val="0"/>
          <w:sz w:val="24"/>
        </w:rPr>
        <w:t>委托评标委员会直接确定中标人并出具评审报告。</w:t>
      </w:r>
    </w:p>
    <w:p w14:paraId="10309B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可以按照评标委员会提出的中标候选人名单排序依次确定其他中标候选人为中标人，也可以重新招标。</w:t>
      </w:r>
    </w:p>
    <w:p w14:paraId="762630A3">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六</w:t>
      </w:r>
      <w:r>
        <w:rPr>
          <w:rFonts w:hint="eastAsia" w:ascii="宋体" w:hAnsi="宋体" w:eastAsia="宋体" w:cs="宋体"/>
          <w:b/>
          <w:color w:val="000000"/>
          <w:kern w:val="0"/>
          <w:sz w:val="24"/>
        </w:rPr>
        <w:t>、公告中标结果</w:t>
      </w:r>
    </w:p>
    <w:p w14:paraId="10AE2005">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自确定中标人之日起2个工作日内，在</w:t>
      </w:r>
      <w:r>
        <w:rPr>
          <w:rFonts w:hint="eastAsia" w:ascii="宋体" w:hAnsi="宋体" w:eastAsia="宋体" w:cs="宋体"/>
          <w:color w:val="000000"/>
          <w:kern w:val="0"/>
          <w:sz w:val="24"/>
          <w:lang w:eastAsia="zh-CN"/>
        </w:rPr>
        <w:t>南通职业大学采购与招标信息网</w:t>
      </w:r>
      <w:r>
        <w:rPr>
          <w:rFonts w:hint="eastAsia" w:ascii="宋体" w:hAnsi="宋体" w:eastAsia="宋体" w:cs="宋体"/>
          <w:color w:val="000000"/>
          <w:kern w:val="0"/>
          <w:sz w:val="24"/>
        </w:rPr>
        <w:t>公告中标结果，公告期限为1个工作日。</w:t>
      </w:r>
    </w:p>
    <w:p w14:paraId="42A94E7E">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七</w:t>
      </w:r>
      <w:r>
        <w:rPr>
          <w:rFonts w:hint="eastAsia" w:ascii="宋体" w:hAnsi="宋体" w:eastAsia="宋体" w:cs="宋体"/>
          <w:b/>
          <w:color w:val="000000"/>
          <w:kern w:val="0"/>
          <w:sz w:val="24"/>
        </w:rPr>
        <w:t>、其他</w:t>
      </w:r>
    </w:p>
    <w:p w14:paraId="281F943C">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在投标、开标时间，投标人不得向评委询问情况，不得进行旨在影响评标结果的活动。</w:t>
      </w:r>
    </w:p>
    <w:p w14:paraId="5DFA6F2B">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评委会不得向投标人解释落标原因。</w:t>
      </w:r>
    </w:p>
    <w:p w14:paraId="08C09086">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在投标、评标过程中，如果投标人联合故意抬高报价或出现其他不正当行为，招标人有权中止投标或评标。</w:t>
      </w:r>
    </w:p>
    <w:p w14:paraId="790921EB">
      <w:pPr>
        <w:snapToGrid w:val="0"/>
        <w:spacing w:line="360" w:lineRule="auto"/>
        <w:ind w:firstLine="480" w:firstLineChars="200"/>
        <w:jc w:val="left"/>
        <w:rPr>
          <w:rFonts w:hint="eastAsia" w:ascii="宋体" w:hAnsi="宋体" w:eastAsia="宋体" w:cs="宋体"/>
          <w:color w:val="000000"/>
          <w:kern w:val="0"/>
          <w:sz w:val="24"/>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凡在投标、开标过程中，招标人已提示是否询问的事项，投标人当时没有提出询问的，事后投标人不得针对上述事项提出询问。</w:t>
      </w:r>
    </w:p>
    <w:p w14:paraId="48F14E7B">
      <w:pPr>
        <w:snapToGrid w:val="0"/>
        <w:spacing w:line="360" w:lineRule="auto"/>
        <w:ind w:firstLine="632" w:firstLineChars="200"/>
        <w:jc w:val="center"/>
        <w:outlineLvl w:val="0"/>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t>第五章  合同授予</w:t>
      </w:r>
    </w:p>
    <w:p w14:paraId="636822EE">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b/>
          <w:kern w:val="0"/>
          <w:sz w:val="24"/>
          <w:szCs w:val="20"/>
        </w:rPr>
        <w:t>一</w:t>
      </w:r>
      <w:r>
        <w:rPr>
          <w:rFonts w:hint="eastAsia" w:ascii="宋体" w:hAnsi="宋体" w:eastAsia="宋体" w:cs="宋体"/>
          <w:kern w:val="0"/>
          <w:sz w:val="24"/>
          <w:szCs w:val="20"/>
        </w:rPr>
        <w:t>、</w:t>
      </w:r>
      <w:r>
        <w:rPr>
          <w:rFonts w:hint="eastAsia" w:ascii="宋体" w:hAnsi="宋体" w:eastAsia="宋体" w:cs="宋体"/>
          <w:b/>
          <w:bCs/>
          <w:kern w:val="0"/>
          <w:sz w:val="24"/>
          <w:szCs w:val="20"/>
          <w:lang w:eastAsia="zh-CN"/>
        </w:rPr>
        <w:t>中标人</w:t>
      </w:r>
      <w:r>
        <w:rPr>
          <w:rFonts w:hint="eastAsia" w:ascii="宋体" w:hAnsi="宋体" w:eastAsia="宋体" w:cs="宋体"/>
          <w:b/>
          <w:bCs/>
          <w:kern w:val="0"/>
          <w:sz w:val="24"/>
          <w:szCs w:val="20"/>
        </w:rPr>
        <w:t>和</w:t>
      </w:r>
      <w:r>
        <w:rPr>
          <w:rFonts w:hint="eastAsia" w:ascii="宋体" w:hAnsi="宋体" w:eastAsia="宋体" w:cs="宋体"/>
          <w:b/>
          <w:bCs/>
          <w:kern w:val="0"/>
          <w:sz w:val="24"/>
          <w:szCs w:val="20"/>
          <w:lang w:eastAsia="zh-CN"/>
        </w:rPr>
        <w:t>招标人</w:t>
      </w:r>
      <w:r>
        <w:rPr>
          <w:rFonts w:hint="eastAsia" w:ascii="宋体" w:hAnsi="宋体" w:eastAsia="宋体" w:cs="宋体"/>
          <w:b/>
          <w:bCs/>
          <w:kern w:val="0"/>
          <w:sz w:val="24"/>
          <w:szCs w:val="20"/>
        </w:rPr>
        <w:t>需在《中标通知书》发出之日起30日内签订合同。</w:t>
      </w:r>
      <w:r>
        <w:rPr>
          <w:rFonts w:hint="eastAsia" w:ascii="宋体" w:hAnsi="宋体" w:eastAsia="宋体" w:cs="宋体"/>
          <w:kern w:val="0"/>
          <w:sz w:val="24"/>
          <w:szCs w:val="20"/>
        </w:rPr>
        <w:t>合同签订后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方可履约，否则引起的一切后果由</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自行承担。</w:t>
      </w:r>
      <w:r>
        <w:rPr>
          <w:rFonts w:hint="eastAsia" w:ascii="宋体" w:hAnsi="宋体" w:eastAsia="宋体" w:cs="宋体"/>
          <w:bCs/>
          <w:kern w:val="0"/>
          <w:sz w:val="24"/>
          <w:szCs w:val="20"/>
        </w:rPr>
        <w:t>纸质合同一式</w:t>
      </w:r>
      <w:r>
        <w:rPr>
          <w:rFonts w:hint="eastAsia" w:ascii="宋体" w:hAnsi="宋体" w:eastAsia="宋体" w:cs="宋体"/>
          <w:bCs/>
          <w:kern w:val="0"/>
          <w:sz w:val="24"/>
          <w:szCs w:val="20"/>
          <w:highlight w:val="none"/>
          <w:u w:val="single"/>
        </w:rPr>
        <w:t xml:space="preserve"> 陆</w:t>
      </w:r>
      <w:r>
        <w:rPr>
          <w:rFonts w:hint="eastAsia" w:ascii="宋体" w:hAnsi="宋体" w:eastAsia="宋体" w:cs="宋体"/>
          <w:bCs/>
          <w:kern w:val="0"/>
          <w:sz w:val="24"/>
          <w:szCs w:val="20"/>
          <w:highlight w:val="none"/>
        </w:rPr>
        <w:t>份，</w:t>
      </w:r>
      <w:r>
        <w:rPr>
          <w:rFonts w:hint="eastAsia" w:ascii="宋体" w:hAnsi="宋体" w:eastAsia="宋体" w:cs="宋体"/>
          <w:bCs/>
          <w:kern w:val="0"/>
          <w:sz w:val="24"/>
          <w:szCs w:val="20"/>
          <w:highlight w:val="none"/>
          <w:lang w:eastAsia="zh-CN"/>
        </w:rPr>
        <w:t>招标人</w:t>
      </w:r>
      <w:r>
        <w:rPr>
          <w:rFonts w:hint="eastAsia" w:ascii="宋体" w:hAnsi="宋体" w:eastAsia="宋体" w:cs="宋体"/>
          <w:bCs/>
          <w:kern w:val="0"/>
          <w:sz w:val="24"/>
          <w:szCs w:val="20"/>
          <w:highlight w:val="none"/>
        </w:rPr>
        <w:t>、</w:t>
      </w:r>
      <w:r>
        <w:rPr>
          <w:rFonts w:hint="eastAsia" w:ascii="宋体" w:hAnsi="宋体" w:eastAsia="宋体" w:cs="宋体"/>
          <w:bCs/>
          <w:kern w:val="0"/>
          <w:sz w:val="24"/>
          <w:szCs w:val="20"/>
          <w:highlight w:val="none"/>
          <w:lang w:val="en-US" w:eastAsia="zh-CN"/>
        </w:rPr>
        <w:t>中</w:t>
      </w:r>
      <w:r>
        <w:rPr>
          <w:rFonts w:hint="eastAsia" w:ascii="宋体" w:hAnsi="宋体" w:eastAsia="宋体" w:cs="宋体"/>
          <w:bCs/>
          <w:kern w:val="0"/>
          <w:sz w:val="24"/>
          <w:szCs w:val="20"/>
          <w:highlight w:val="none"/>
          <w:lang w:eastAsia="zh-CN"/>
        </w:rPr>
        <w:t>标人</w:t>
      </w:r>
      <w:r>
        <w:rPr>
          <w:rFonts w:hint="eastAsia" w:ascii="宋体" w:hAnsi="宋体" w:eastAsia="宋体" w:cs="宋体"/>
          <w:bCs/>
          <w:kern w:val="0"/>
          <w:sz w:val="24"/>
          <w:szCs w:val="20"/>
          <w:highlight w:val="none"/>
        </w:rPr>
        <w:t>各</w:t>
      </w:r>
      <w:r>
        <w:rPr>
          <w:rFonts w:hint="eastAsia" w:ascii="宋体" w:hAnsi="宋体" w:eastAsia="宋体" w:cs="宋体"/>
          <w:bCs/>
          <w:kern w:val="0"/>
          <w:sz w:val="24"/>
          <w:szCs w:val="20"/>
          <w:highlight w:val="none"/>
          <w:u w:val="single"/>
        </w:rPr>
        <w:t xml:space="preserve"> 叁 </w:t>
      </w:r>
      <w:r>
        <w:rPr>
          <w:rFonts w:hint="eastAsia" w:ascii="宋体" w:hAnsi="宋体" w:eastAsia="宋体" w:cs="宋体"/>
          <w:bCs/>
          <w:kern w:val="0"/>
          <w:sz w:val="24"/>
          <w:szCs w:val="20"/>
          <w:highlight w:val="none"/>
        </w:rPr>
        <w:t>份</w:t>
      </w:r>
      <w:r>
        <w:rPr>
          <w:rFonts w:hint="eastAsia" w:ascii="宋体" w:hAnsi="宋体" w:eastAsia="宋体" w:cs="宋体"/>
          <w:b/>
          <w:bCs/>
          <w:kern w:val="0"/>
          <w:sz w:val="24"/>
          <w:szCs w:val="20"/>
          <w:highlight w:val="none"/>
        </w:rPr>
        <w:t>。</w:t>
      </w:r>
      <w:r>
        <w:rPr>
          <w:rFonts w:hint="eastAsia" w:ascii="宋体" w:hAnsi="宋体" w:eastAsia="宋体" w:cs="宋体"/>
          <w:kern w:val="0"/>
          <w:sz w:val="24"/>
          <w:szCs w:val="20"/>
          <w:highlight w:val="none"/>
          <w:lang w:val="zh-CN"/>
        </w:rPr>
        <w:t>所签合同不得对招标文件作实质性修改</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不得向</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提出不合理的要求作为签订合同的条件，不得与</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私下订立背离</w:t>
      </w:r>
      <w:r>
        <w:rPr>
          <w:rFonts w:hint="eastAsia" w:ascii="宋体" w:hAnsi="宋体" w:eastAsia="宋体" w:cs="宋体"/>
          <w:kern w:val="0"/>
          <w:sz w:val="24"/>
          <w:szCs w:val="20"/>
          <w:highlight w:val="none"/>
          <w:lang w:eastAsia="zh-CN"/>
        </w:rPr>
        <w:t>招标文件</w:t>
      </w:r>
      <w:r>
        <w:rPr>
          <w:rFonts w:hint="eastAsia" w:ascii="宋体" w:hAnsi="宋体" w:eastAsia="宋体" w:cs="宋体"/>
          <w:kern w:val="0"/>
          <w:sz w:val="24"/>
          <w:szCs w:val="20"/>
          <w:highlight w:val="none"/>
        </w:rPr>
        <w:t>实质性内</w:t>
      </w:r>
      <w:r>
        <w:rPr>
          <w:rFonts w:hint="eastAsia" w:ascii="宋体" w:hAnsi="宋体" w:eastAsia="宋体" w:cs="宋体"/>
          <w:kern w:val="0"/>
          <w:sz w:val="24"/>
          <w:szCs w:val="20"/>
        </w:rPr>
        <w:t>容的协议。</w:t>
      </w:r>
    </w:p>
    <w:p w14:paraId="13F666F9">
      <w:pPr>
        <w:snapToGrid w:val="0"/>
        <w:spacing w:line="480" w:lineRule="exact"/>
        <w:ind w:firstLine="470" w:firstLineChars="196"/>
        <w:contextualSpacing/>
        <w:rPr>
          <w:rFonts w:hint="eastAsia" w:ascii="宋体" w:hAnsi="宋体" w:eastAsia="宋体" w:cs="宋体"/>
          <w:kern w:val="0"/>
          <w:sz w:val="24"/>
          <w:szCs w:val="20"/>
        </w:rPr>
      </w:pPr>
      <w:r>
        <w:rPr>
          <w:rFonts w:hint="eastAsia" w:ascii="宋体" w:hAnsi="宋体" w:eastAsia="宋体" w:cs="宋体"/>
          <w:b/>
          <w:kern w:val="0"/>
          <w:sz w:val="24"/>
          <w:szCs w:val="20"/>
        </w:rPr>
        <w:t>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按合同约定积极配合</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履约到位后，请以书面形式向</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提出验收申请，</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接到申请后及时组织相关专业技术人员，必要时邀请专家、质检等部门共同参与验收，并出具验收报告，验收合格的支付相应款项。</w:t>
      </w:r>
    </w:p>
    <w:p w14:paraId="554C9EED">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三、</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故意推迟项目验收时间的，与</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串通或要求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通过减少货物数量或降低服务标准的，在履行合同中采取更改配置、调换物品等手段的，要求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出具虚假发票或任意更改销售发票的，谋取不正当利益的，承担相应的法律责任。</w:t>
      </w:r>
    </w:p>
    <w:p w14:paraId="280474D7">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四、</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移交工商、质监、公安等行政执法部门依法查处。</w:t>
      </w:r>
    </w:p>
    <w:p w14:paraId="50B5AB63">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lang w:val="zh-CN"/>
        </w:rPr>
        <w:t>五、</w:t>
      </w:r>
      <w:r>
        <w:rPr>
          <w:rFonts w:hint="eastAsia" w:ascii="宋体" w:hAnsi="宋体" w:eastAsia="宋体" w:cs="宋体"/>
          <w:b/>
          <w:kern w:val="0"/>
          <w:sz w:val="24"/>
        </w:rPr>
        <w:t>不响应付款方式的，视同无效投标处理。</w:t>
      </w:r>
      <w:r>
        <w:rPr>
          <w:rFonts w:hint="eastAsia" w:ascii="宋体" w:hAnsi="宋体" w:eastAsia="宋体" w:cs="宋体"/>
          <w:b/>
          <w:kern w:val="0"/>
          <w:sz w:val="24"/>
          <w:szCs w:val="20"/>
        </w:rPr>
        <w:t>实际付款方式以最终签订采购合同为准。</w:t>
      </w:r>
    </w:p>
    <w:p w14:paraId="61BD017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rPr>
      </w:pPr>
      <w:r>
        <w:rPr>
          <w:rFonts w:hint="eastAsia" w:ascii="宋体" w:hAnsi="宋体" w:eastAsia="宋体" w:cs="宋体"/>
          <w:kern w:val="0"/>
          <w:sz w:val="24"/>
        </w:rPr>
        <w:t>款项由</w:t>
      </w:r>
      <w:r>
        <w:rPr>
          <w:rFonts w:hint="eastAsia" w:ascii="宋体" w:hAnsi="宋体" w:eastAsia="宋体" w:cs="宋体"/>
          <w:kern w:val="0"/>
          <w:sz w:val="24"/>
          <w:lang w:eastAsia="zh-CN"/>
        </w:rPr>
        <w:t>招标人</w:t>
      </w:r>
      <w:r>
        <w:rPr>
          <w:rFonts w:hint="eastAsia" w:ascii="宋体" w:hAnsi="宋体" w:eastAsia="宋体" w:cs="宋体"/>
          <w:kern w:val="0"/>
          <w:sz w:val="24"/>
        </w:rPr>
        <w:t>按相关财务支付规定办理支付手续。不得故意拖延支付时间。</w:t>
      </w:r>
    </w:p>
    <w:p w14:paraId="52111087">
      <w:pPr>
        <w:numPr>
          <w:ilvl w:val="0"/>
          <w:numId w:val="8"/>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szCs w:val="20"/>
        </w:rPr>
        <w:t>合同主要条款</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具体以实际签订合同为准</w:t>
      </w:r>
      <w:r>
        <w:rPr>
          <w:rFonts w:hint="eastAsia" w:ascii="宋体" w:hAnsi="宋体" w:eastAsia="宋体" w:cs="宋体"/>
          <w:color w:val="000000"/>
          <w:sz w:val="24"/>
          <w:lang w:eastAsia="zh-CN"/>
        </w:rPr>
        <w:t>）</w:t>
      </w:r>
    </w:p>
    <w:p w14:paraId="48C32F18">
      <w:pPr>
        <w:pStyle w:val="60"/>
        <w:ind w:firstLine="280"/>
        <w:outlineLvl w:val="9"/>
        <w:rPr>
          <w:rFonts w:hint="eastAsia" w:ascii="宋体" w:hAnsi="宋体" w:eastAsia="宋体" w:cs="宋体"/>
        </w:rPr>
      </w:pPr>
    </w:p>
    <w:p w14:paraId="0651E316">
      <w:pPr>
        <w:snapToGrid w:val="0"/>
        <w:spacing w:line="360" w:lineRule="auto"/>
        <w:contextualSpacing/>
        <w:rPr>
          <w:rFonts w:hint="eastAsia" w:ascii="宋体" w:hAnsi="宋体" w:eastAsia="宋体" w:cs="宋体"/>
          <w:color w:val="000000"/>
          <w:sz w:val="24"/>
        </w:rPr>
      </w:pPr>
    </w:p>
    <w:p w14:paraId="73385E7D">
      <w:pPr>
        <w:snapToGrid w:val="0"/>
        <w:spacing w:line="360" w:lineRule="auto"/>
        <w:contextualSpacing/>
        <w:rPr>
          <w:rFonts w:hint="eastAsia" w:ascii="宋体" w:hAnsi="宋体" w:eastAsia="宋体" w:cs="宋体"/>
          <w:color w:val="000000"/>
          <w:sz w:val="24"/>
        </w:rPr>
      </w:pPr>
    </w:p>
    <w:p w14:paraId="0D968166">
      <w:pPr>
        <w:snapToGrid w:val="0"/>
        <w:spacing w:line="360" w:lineRule="auto"/>
        <w:contextualSpacing/>
        <w:rPr>
          <w:rFonts w:hint="eastAsia" w:ascii="宋体" w:hAnsi="宋体" w:eastAsia="宋体" w:cs="宋体"/>
          <w:color w:val="000000"/>
          <w:sz w:val="24"/>
        </w:rPr>
      </w:pPr>
    </w:p>
    <w:p w14:paraId="2F7ABD81">
      <w:pPr>
        <w:snapToGrid w:val="0"/>
        <w:spacing w:line="360" w:lineRule="auto"/>
        <w:contextualSpacing/>
        <w:rPr>
          <w:rFonts w:hint="eastAsia" w:ascii="宋体" w:hAnsi="宋体" w:eastAsia="宋体" w:cs="宋体"/>
          <w:color w:val="000000"/>
          <w:sz w:val="24"/>
        </w:rPr>
      </w:pPr>
    </w:p>
    <w:p w14:paraId="7EAB8220">
      <w:pPr>
        <w:snapToGrid w:val="0"/>
        <w:spacing w:line="360" w:lineRule="auto"/>
        <w:contextualSpacing/>
        <w:rPr>
          <w:rFonts w:hint="eastAsia" w:ascii="宋体" w:hAnsi="宋体" w:eastAsia="宋体" w:cs="宋体"/>
          <w:color w:val="000000"/>
          <w:sz w:val="24"/>
        </w:rPr>
      </w:pPr>
    </w:p>
    <w:p w14:paraId="79BDC033">
      <w:pPr>
        <w:snapToGrid w:val="0"/>
        <w:spacing w:line="360" w:lineRule="auto"/>
        <w:contextualSpacing/>
        <w:rPr>
          <w:rFonts w:hint="eastAsia" w:ascii="宋体" w:hAnsi="宋体" w:eastAsia="宋体" w:cs="宋体"/>
          <w:color w:val="000000"/>
          <w:sz w:val="24"/>
        </w:rPr>
      </w:pPr>
    </w:p>
    <w:p w14:paraId="13F0AC64">
      <w:pPr>
        <w:snapToGrid w:val="0"/>
        <w:spacing w:line="360" w:lineRule="auto"/>
        <w:contextualSpacing/>
        <w:rPr>
          <w:rFonts w:hint="eastAsia" w:ascii="宋体" w:hAnsi="宋体" w:eastAsia="宋体" w:cs="宋体"/>
          <w:color w:val="000000"/>
          <w:sz w:val="24"/>
        </w:rPr>
      </w:pPr>
    </w:p>
    <w:p w14:paraId="0D62BDCB">
      <w:pPr>
        <w:snapToGrid w:val="0"/>
        <w:spacing w:line="360" w:lineRule="auto"/>
        <w:contextualSpacing/>
        <w:rPr>
          <w:rFonts w:hint="eastAsia" w:ascii="宋体" w:hAnsi="宋体" w:eastAsia="宋体" w:cs="宋体"/>
          <w:color w:val="000000"/>
          <w:sz w:val="24"/>
        </w:rPr>
      </w:pPr>
    </w:p>
    <w:p w14:paraId="71E49005">
      <w:pPr>
        <w:snapToGrid w:val="0"/>
        <w:spacing w:line="360" w:lineRule="auto"/>
        <w:contextualSpacing/>
        <w:rPr>
          <w:rFonts w:hint="eastAsia" w:ascii="宋体" w:hAnsi="宋体" w:eastAsia="宋体" w:cs="宋体"/>
          <w:color w:val="000000"/>
          <w:sz w:val="24"/>
        </w:rPr>
      </w:pPr>
    </w:p>
    <w:p w14:paraId="5548109D">
      <w:pPr>
        <w:snapToGrid w:val="0"/>
        <w:spacing w:line="360" w:lineRule="auto"/>
        <w:contextualSpacing/>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p>
    <w:p w14:paraId="6F56F2D5">
      <w:pPr>
        <w:pStyle w:val="60"/>
        <w:ind w:firstLine="280"/>
        <w:outlineLvl w:val="9"/>
        <w:rPr>
          <w:rFonts w:hint="eastAsia" w:ascii="宋体" w:hAnsi="宋体" w:eastAsia="宋体" w:cs="宋体"/>
        </w:rPr>
      </w:pPr>
    </w:p>
    <w:p w14:paraId="79587DAC">
      <w:pPr>
        <w:autoSpaceDE w:val="0"/>
        <w:autoSpaceDN w:val="0"/>
        <w:adjustRightInd w:val="0"/>
        <w:snapToGrid w:val="0"/>
        <w:spacing w:line="360" w:lineRule="auto"/>
        <w:contextualSpacing/>
        <w:jc w:val="center"/>
        <w:outlineLvl w:val="1"/>
        <w:rPr>
          <w:rFonts w:ascii="宋体"/>
          <w:b/>
          <w:kern w:val="0"/>
          <w:sz w:val="32"/>
          <w:szCs w:val="32"/>
          <w:highlight w:val="none"/>
        </w:rPr>
      </w:pPr>
      <w:r>
        <w:rPr>
          <w:rFonts w:ascii="宋体"/>
          <w:b/>
          <w:kern w:val="0"/>
          <w:sz w:val="36"/>
          <w:szCs w:val="36"/>
          <w:highlight w:val="none"/>
        </w:rPr>
        <w:t>合同协议书</w:t>
      </w:r>
    </w:p>
    <w:p w14:paraId="190ED47C">
      <w:pPr>
        <w:snapToGrid w:val="0"/>
        <w:spacing w:line="360" w:lineRule="auto"/>
        <w:jc w:val="left"/>
        <w:rPr>
          <w:rFonts w:ascii="宋体"/>
          <w:kern w:val="0"/>
          <w:sz w:val="24"/>
          <w:szCs w:val="20"/>
        </w:rPr>
      </w:pPr>
      <w:r>
        <w:rPr>
          <w:rFonts w:ascii="宋体" w:hAnsi="宋体"/>
          <w:kern w:val="0"/>
          <w:sz w:val="24"/>
          <w:szCs w:val="20"/>
        </w:rPr>
        <w:t>甲方：</w:t>
      </w:r>
      <w:r>
        <w:rPr>
          <w:rFonts w:ascii="宋体"/>
          <w:kern w:val="0"/>
          <w:sz w:val="24"/>
          <w:szCs w:val="20"/>
          <w:u w:val="single"/>
        </w:rPr>
        <w:t xml:space="preserve"> </w:t>
      </w:r>
      <w:r>
        <w:rPr>
          <w:rFonts w:hint="eastAsia" w:ascii="宋体"/>
          <w:kern w:val="0"/>
          <w:sz w:val="24"/>
          <w:szCs w:val="20"/>
          <w:u w:val="single"/>
        </w:rPr>
        <w:t xml:space="preserve"> </w:t>
      </w:r>
      <w:r>
        <w:rPr>
          <w:rFonts w:hint="eastAsia" w:ascii="宋体"/>
          <w:kern w:val="0"/>
          <w:sz w:val="24"/>
          <w:szCs w:val="20"/>
          <w:u w:val="single"/>
          <w:lang w:val="en-US" w:eastAsia="zh-CN"/>
        </w:rPr>
        <w:t xml:space="preserve">                      </w:t>
      </w:r>
      <w:r>
        <w:rPr>
          <w:rFonts w:hint="eastAsia" w:ascii="宋体"/>
          <w:kern w:val="0"/>
          <w:sz w:val="24"/>
          <w:szCs w:val="20"/>
          <w:u w:val="single"/>
        </w:rPr>
        <w:t xml:space="preserve">   </w:t>
      </w:r>
    </w:p>
    <w:p w14:paraId="2E5D5CD5">
      <w:pPr>
        <w:snapToGrid w:val="0"/>
        <w:spacing w:line="360" w:lineRule="auto"/>
        <w:jc w:val="left"/>
        <w:rPr>
          <w:rFonts w:ascii="宋体"/>
          <w:kern w:val="0"/>
          <w:sz w:val="24"/>
          <w:szCs w:val="20"/>
          <w:u w:val="single"/>
        </w:rPr>
      </w:pPr>
      <w:r>
        <w:rPr>
          <w:rFonts w:ascii="宋体" w:hAnsi="宋体"/>
          <w:kern w:val="0"/>
          <w:sz w:val="24"/>
          <w:szCs w:val="20"/>
        </w:rPr>
        <w:t>乙方：</w:t>
      </w:r>
      <w:r>
        <w:rPr>
          <w:rFonts w:hint="eastAsia" w:ascii="宋体" w:hAnsi="宋体"/>
          <w:kern w:val="0"/>
          <w:sz w:val="24"/>
          <w:szCs w:val="20"/>
          <w:u w:val="single"/>
        </w:rPr>
        <w:t xml:space="preserve">           </w:t>
      </w:r>
      <w:r>
        <w:rPr>
          <w:rFonts w:hint="eastAsia" w:ascii="宋体" w:hAnsi="宋体"/>
          <w:kern w:val="0"/>
          <w:sz w:val="24"/>
          <w:szCs w:val="20"/>
          <w:u w:val="single"/>
          <w:lang w:val="en-US" w:eastAsia="zh-CN"/>
        </w:rPr>
        <w:t xml:space="preserve"> </w:t>
      </w:r>
      <w:r>
        <w:rPr>
          <w:rFonts w:hint="eastAsia" w:ascii="宋体" w:hAnsi="宋体"/>
          <w:kern w:val="0"/>
          <w:sz w:val="24"/>
          <w:szCs w:val="20"/>
          <w:u w:val="single"/>
        </w:rPr>
        <w:t xml:space="preserve">              </w:t>
      </w:r>
    </w:p>
    <w:p w14:paraId="60BDB39F">
      <w:pPr>
        <w:spacing w:line="360" w:lineRule="auto"/>
        <w:ind w:firstLine="480" w:firstLineChars="200"/>
        <w:jc w:val="left"/>
        <w:rPr>
          <w:rFonts w:ascii="宋体"/>
          <w:kern w:val="0"/>
          <w:sz w:val="24"/>
          <w:szCs w:val="20"/>
        </w:rPr>
      </w:pPr>
      <w:r>
        <w:rPr>
          <w:rFonts w:ascii="宋体" w:hAnsi="宋体"/>
          <w:kern w:val="0"/>
          <w:sz w:val="24"/>
          <w:szCs w:val="20"/>
        </w:rPr>
        <w:t>甲方就</w:t>
      </w:r>
      <w:r>
        <w:rPr>
          <w:rFonts w:hint="eastAsia"/>
          <w:kern w:val="0"/>
          <w:sz w:val="24"/>
        </w:rPr>
        <w:t>南通职业大学高等学历继续教育管理平台服务采购项目</w:t>
      </w:r>
      <w:r>
        <w:rPr>
          <w:rFonts w:ascii="宋体" w:hAnsi="宋体"/>
          <w:kern w:val="0"/>
          <w:sz w:val="24"/>
          <w:szCs w:val="20"/>
        </w:rPr>
        <w:t>实行</w:t>
      </w:r>
      <w:r>
        <w:rPr>
          <w:rFonts w:hint="eastAsia" w:ascii="宋体" w:hAnsi="宋体"/>
          <w:kern w:val="0"/>
          <w:sz w:val="24"/>
          <w:szCs w:val="20"/>
        </w:rPr>
        <w:t>公开招标</w:t>
      </w:r>
      <w:r>
        <w:rPr>
          <w:rFonts w:ascii="宋体" w:hAnsi="宋体"/>
          <w:kern w:val="0"/>
          <w:sz w:val="24"/>
          <w:szCs w:val="20"/>
        </w:rPr>
        <w:t>的方式采购。本着公开、公平、公正和择优的原则，经专家评委严格评审并推荐乙方为</w:t>
      </w:r>
      <w:r>
        <w:rPr>
          <w:rFonts w:hint="eastAsia" w:ascii="宋体" w:hAnsi="宋体"/>
          <w:kern w:val="0"/>
          <w:sz w:val="24"/>
          <w:szCs w:val="20"/>
          <w:lang w:val="en-US" w:eastAsia="zh-CN"/>
        </w:rPr>
        <w:t>中标</w:t>
      </w:r>
      <w:r>
        <w:rPr>
          <w:rFonts w:ascii="宋体" w:hAnsi="宋体"/>
          <w:kern w:val="0"/>
          <w:sz w:val="24"/>
          <w:szCs w:val="20"/>
        </w:rPr>
        <w:t>供应商。在真实、充分地表达各自意愿的基础上，根据《中华人民共和国</w:t>
      </w:r>
      <w:r>
        <w:rPr>
          <w:rFonts w:hint="eastAsia" w:ascii="宋体" w:hAnsi="宋体"/>
          <w:kern w:val="0"/>
          <w:sz w:val="24"/>
          <w:szCs w:val="20"/>
        </w:rPr>
        <w:t>民法典</w:t>
      </w:r>
      <w:r>
        <w:rPr>
          <w:rFonts w:ascii="宋体" w:hAnsi="宋体"/>
          <w:kern w:val="0"/>
          <w:sz w:val="24"/>
          <w:szCs w:val="20"/>
        </w:rPr>
        <w:t>》的规定，达成如下协议，并由双方共同恪守。</w:t>
      </w:r>
    </w:p>
    <w:p w14:paraId="0F88D82A">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第一条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采购内容及要求</w:t>
      </w:r>
    </w:p>
    <w:p w14:paraId="18FDD47C">
      <w:pPr>
        <w:spacing w:line="360" w:lineRule="auto"/>
        <w:ind w:firstLine="480" w:firstLineChars="200"/>
        <w:jc w:val="left"/>
        <w:rPr>
          <w:rFonts w:ascii="宋体"/>
          <w:kern w:val="0"/>
          <w:sz w:val="24"/>
          <w:szCs w:val="20"/>
          <w:shd w:val="clear" w:color="auto" w:fill="FFFFFF"/>
        </w:rPr>
      </w:pPr>
      <w:r>
        <w:rPr>
          <w:rFonts w:ascii="宋体"/>
          <w:b/>
          <w:bCs/>
          <w:kern w:val="0"/>
          <w:sz w:val="24"/>
          <w:szCs w:val="20"/>
          <w:shd w:val="clear" w:color="auto" w:fill="FFFFFF"/>
        </w:rPr>
        <w:t>1</w:t>
      </w:r>
      <w:r>
        <w:rPr>
          <w:rFonts w:hint="eastAsia" w:ascii="宋体"/>
          <w:b/>
          <w:bCs/>
          <w:kern w:val="0"/>
          <w:sz w:val="24"/>
          <w:szCs w:val="20"/>
          <w:shd w:val="clear" w:color="auto" w:fill="FFFFFF"/>
          <w:lang w:val="en-US" w:eastAsia="zh-CN"/>
        </w:rPr>
        <w:t>.</w:t>
      </w:r>
      <w:r>
        <w:rPr>
          <w:rFonts w:ascii="宋体" w:hAnsi="宋体"/>
          <w:b/>
          <w:bCs/>
          <w:kern w:val="0"/>
          <w:sz w:val="24"/>
          <w:szCs w:val="20"/>
          <w:shd w:val="clear" w:color="auto" w:fill="FFFFFF"/>
        </w:rPr>
        <w:t>项目名称：</w:t>
      </w:r>
      <w:r>
        <w:rPr>
          <w:rFonts w:hint="eastAsia" w:ascii="宋体" w:hAnsi="宋体"/>
          <w:kern w:val="0"/>
          <w:sz w:val="24"/>
          <w:szCs w:val="20"/>
          <w:u w:val="single"/>
          <w:shd w:val="clear" w:color="auto" w:fill="FFFFFF"/>
        </w:rPr>
        <w:t>南通职业大学高等学历继续教育管理平台服务采购项目</w:t>
      </w:r>
    </w:p>
    <w:p w14:paraId="7B3C591A">
      <w:pPr>
        <w:spacing w:line="360" w:lineRule="auto"/>
        <w:ind w:firstLine="480" w:firstLineChars="200"/>
        <w:jc w:val="left"/>
        <w:rPr>
          <w:rFonts w:hint="default" w:ascii="宋体"/>
          <w:kern w:val="0"/>
          <w:sz w:val="24"/>
          <w:szCs w:val="20"/>
          <w:u w:val="single"/>
          <w:shd w:val="clear" w:color="auto" w:fill="FFFFFF"/>
          <w:lang w:val="en-US"/>
        </w:rPr>
      </w:pPr>
      <w:r>
        <w:rPr>
          <w:rFonts w:ascii="宋体"/>
          <w:b/>
          <w:bCs/>
          <w:kern w:val="0"/>
          <w:sz w:val="24"/>
          <w:szCs w:val="20"/>
          <w:shd w:val="clear" w:color="auto" w:fill="FFFFFF"/>
        </w:rPr>
        <w:t>2</w:t>
      </w:r>
      <w:r>
        <w:rPr>
          <w:rFonts w:hint="eastAsia" w:ascii="宋体"/>
          <w:b/>
          <w:bCs/>
          <w:kern w:val="0"/>
          <w:sz w:val="24"/>
          <w:szCs w:val="20"/>
          <w:shd w:val="clear" w:color="auto" w:fill="FFFFFF"/>
          <w:lang w:val="en-US" w:eastAsia="zh-CN"/>
        </w:rPr>
        <w:t>.平台性能要求</w:t>
      </w:r>
    </w:p>
    <w:p w14:paraId="552F8BB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r>
        <w:rPr>
          <w:rFonts w:hint="eastAsia" w:ascii="宋体" w:hAnsi="宋体" w:eastAsia="宋体" w:cs="宋体"/>
          <w:color w:val="auto"/>
          <w:sz w:val="24"/>
          <w:szCs w:val="24"/>
          <w:highlight w:val="none"/>
          <w:lang w:val="en-US" w:eastAsia="zh-CN"/>
        </w:rPr>
        <w:t xml:space="preserve"> </w:t>
      </w:r>
    </w:p>
    <w:p w14:paraId="78A7E3E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（2）技术架构：平台支持主流操作系统和数据库部署运行。平台系统版本成熟、稳定，支持单机或集群部署方案。 </w:t>
      </w:r>
    </w:p>
    <w:p w14:paraId="0218F99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（3）兼容性：</w:t>
      </w:r>
      <w:r>
        <w:rPr>
          <w:rFonts w:hint="eastAsia" w:ascii="宋体" w:hAnsi="宋体" w:cs="宋体"/>
          <w:color w:val="auto"/>
          <w:sz w:val="24"/>
          <w:szCs w:val="24"/>
          <w:highlight w:val="none"/>
          <w:lang w:val="en-US" w:eastAsia="zh-CN"/>
        </w:rPr>
        <w:t>至少满足win10、win11，32与64位系统、linux、MacOS等系统访问。浏览器应至少兼容谷歌，火狐，360，Edge、Safari等浏览器访问。支持跨平台操作，移动端应至少支持Android、IOS和鸿蒙系统使用，并与web端数据同步。</w:t>
      </w:r>
      <w:r>
        <w:rPr>
          <w:rFonts w:hint="eastAsia" w:ascii="宋体" w:hAnsi="宋体" w:eastAsia="宋体" w:cs="宋体"/>
          <w:color w:val="auto"/>
          <w:sz w:val="24"/>
          <w:szCs w:val="24"/>
          <w:highlight w:val="none"/>
          <w:lang w:val="en-US" w:eastAsia="zh-CN"/>
        </w:rPr>
        <w:t xml:space="preserve"> </w:t>
      </w:r>
    </w:p>
    <w:p w14:paraId="0988772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（4）可靠性：在高负荷状态下能不间断、可靠、稳定运行。容量到达规定及超出规定的极限时，系统不因崩溃、异常退出等原因而导致数据错误或丢失。 </w:t>
      </w:r>
    </w:p>
    <w:p w14:paraId="36048F0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（5）扩展性：提供统一的系统版本。支持随用户使用量的增大而只需增加相应的硬件即可，支持服务器集群部署。 </w:t>
      </w:r>
    </w:p>
    <w:p w14:paraId="01D33CE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7B2657CB">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（7）系统管理：具备系统管理员维护功能，如导入模板设置、通用规则设置、角色管理、用户管理、菜单管理、各项业务参数管理等。 </w:t>
      </w:r>
    </w:p>
    <w:p w14:paraId="690ABD80">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（8）数据输出要求：除提供多种格式规范的业务报表之外，还应提供数据导出功能，能导出电子表格文件、DBF文件等。 </w:t>
      </w:r>
    </w:p>
    <w:p w14:paraId="6317732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（9）安全性 </w:t>
      </w:r>
    </w:p>
    <w:p w14:paraId="7356ACC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对于敏感数据需提供操作日志供用户通过平台随时查看。 </w:t>
      </w:r>
    </w:p>
    <w:p w14:paraId="68ADF64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可实现数据库定期备份，包括手动备份和自动备份。 </w:t>
      </w:r>
    </w:p>
    <w:p w14:paraId="7EBE2D16">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须提供系统监控平台，可7×24小时监控平台运行状况与各性能指标。 </w:t>
      </w:r>
    </w:p>
    <w:p w14:paraId="64D4375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 学员信息应严格保密，需签订保密协议</w:t>
      </w:r>
      <w:r>
        <w:rPr>
          <w:rFonts w:hint="eastAsia" w:ascii="宋体" w:hAnsi="宋体" w:cs="宋体"/>
          <w:sz w:val="24"/>
          <w:szCs w:val="24"/>
          <w:lang w:eastAsia="zh-CN"/>
        </w:rPr>
        <w:t>（</w:t>
      </w:r>
      <w:r>
        <w:rPr>
          <w:rFonts w:hint="eastAsia" w:ascii="宋体" w:hAnsi="宋体" w:cs="宋体"/>
          <w:sz w:val="24"/>
          <w:szCs w:val="24"/>
          <w:lang w:val="en-US" w:eastAsia="zh-CN"/>
        </w:rPr>
        <w:t>见附件</w:t>
      </w:r>
      <w:r>
        <w:rPr>
          <w:rFonts w:hint="eastAsia" w:ascii="宋体" w:hAnsi="宋体" w:cs="宋体"/>
          <w:sz w:val="24"/>
          <w:szCs w:val="24"/>
          <w:lang w:eastAsia="zh-CN"/>
        </w:rPr>
        <w:t>）</w:t>
      </w:r>
      <w:r>
        <w:rPr>
          <w:rFonts w:hint="eastAsia" w:ascii="宋体" w:hAnsi="宋体" w:eastAsia="宋体" w:cs="宋体"/>
          <w:color w:val="auto"/>
          <w:sz w:val="24"/>
          <w:szCs w:val="24"/>
          <w:highlight w:val="none"/>
          <w:lang w:val="en-US" w:eastAsia="zh-CN"/>
        </w:rPr>
        <w:t xml:space="preserve">。 </w:t>
      </w:r>
    </w:p>
    <w:p w14:paraId="6AA96B4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（10）用户数：满足平台≥2万注册用户，同时在线人数≥5000人。</w:t>
      </w:r>
    </w:p>
    <w:p w14:paraId="5207125C">
      <w:pPr>
        <w:spacing w:line="360" w:lineRule="auto"/>
        <w:ind w:firstLine="480" w:firstLineChars="200"/>
        <w:jc w:val="left"/>
        <w:rPr>
          <w:rFonts w:hint="default" w:ascii="宋体" w:hAnsi="Times New Roman" w:eastAsia="宋体" w:cs="Times New Roman"/>
          <w:b/>
          <w:bCs/>
          <w:kern w:val="0"/>
          <w:sz w:val="24"/>
          <w:szCs w:val="20"/>
          <w:shd w:val="clear" w:color="auto" w:fill="FFFFFF"/>
          <w:lang w:val="en-US" w:eastAsia="zh-CN"/>
        </w:rPr>
      </w:pPr>
      <w:r>
        <w:rPr>
          <w:rFonts w:hint="eastAsia" w:ascii="宋体" w:hAnsi="Times New Roman" w:eastAsia="宋体" w:cs="Times New Roman"/>
          <w:b/>
          <w:bCs/>
          <w:kern w:val="0"/>
          <w:sz w:val="24"/>
          <w:szCs w:val="20"/>
          <w:shd w:val="clear" w:color="auto" w:fill="FFFFFF"/>
          <w:lang w:val="en-US" w:eastAsia="zh-CN"/>
        </w:rPr>
        <w:t>3.服务要求</w:t>
      </w:r>
    </w:p>
    <w:p w14:paraId="2B971B6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系统采用云部署服务方式提供，满足甲方业务需要的服务器、网络带宽、存储、安全等硬件及云平台服务。服务期内，所提供的技术平台版本如有更新，实现免费更新，bug免费修复。甲方可根据需要拷贝各类数据。合同到期后，乙方有义务交给采购方所有的数据备份。若甲方后期考虑采取本地部署服务方式，乙方有义务配合采购方做好数据迁移工作。在系统试运行前一周对甲方相关人员进行培训，使甲方全面掌握该系统的结构、功能、使用方法和系统日常维护，并制作所需培训资料。远程技术服务以电话、QQ、微信等方式提供每周 7*24 小时响应。</w:t>
      </w:r>
    </w:p>
    <w:p w14:paraId="2A5D05D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第二条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合同价款</w:t>
      </w:r>
    </w:p>
    <w:p w14:paraId="78BEC9A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本合同价款为人民币</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元/人/届</w:t>
      </w:r>
      <w:r>
        <w:rPr>
          <w:rFonts w:ascii="宋体" w:hAnsi="宋体"/>
          <w:kern w:val="0"/>
          <w:sz w:val="24"/>
          <w:szCs w:val="20"/>
          <w:shd w:val="clear" w:color="auto" w:fill="FFFFFF"/>
        </w:rPr>
        <w:t>（小写），</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元/人/届</w:t>
      </w:r>
      <w:r>
        <w:rPr>
          <w:rFonts w:ascii="宋体" w:hAnsi="宋体"/>
          <w:kern w:val="0"/>
          <w:sz w:val="24"/>
          <w:szCs w:val="20"/>
          <w:shd w:val="clear" w:color="auto" w:fill="FFFFFF"/>
        </w:rPr>
        <w:t>（大写）。</w:t>
      </w:r>
    </w:p>
    <w:p w14:paraId="4D11D993">
      <w:pPr>
        <w:spacing w:line="360" w:lineRule="auto"/>
        <w:ind w:firstLine="480" w:firstLineChars="200"/>
        <w:jc w:val="left"/>
        <w:rPr>
          <w:rFonts w:ascii="宋体"/>
          <w:kern w:val="0"/>
          <w:sz w:val="24"/>
          <w:szCs w:val="20"/>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单价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按实结算。</w:t>
      </w:r>
      <w:r>
        <w:rPr>
          <w:rFonts w:ascii="宋体" w:hAnsi="宋体"/>
          <w:kern w:val="0"/>
          <w:sz w:val="24"/>
          <w:szCs w:val="20"/>
          <w:highlight w:val="none"/>
          <w:shd w:val="clear" w:color="auto" w:fill="FFFFFF"/>
        </w:rPr>
        <w:t>合同价</w:t>
      </w:r>
      <w:r>
        <w:rPr>
          <w:rFonts w:hint="eastAsia" w:ascii="宋体" w:hAnsi="宋体"/>
          <w:kern w:val="0"/>
          <w:sz w:val="24"/>
          <w:szCs w:val="20"/>
          <w:shd w:val="clear" w:color="auto" w:fill="FFFFFF"/>
          <w:lang w:val="en-US" w:eastAsia="zh-CN"/>
        </w:rPr>
        <w:t>包含</w:t>
      </w:r>
      <w:r>
        <w:rPr>
          <w:rFonts w:hint="eastAsia" w:ascii="宋体" w:hAnsi="宋体"/>
          <w:kern w:val="0"/>
          <w:sz w:val="24"/>
          <w:szCs w:val="20"/>
          <w:shd w:val="clear" w:color="auto" w:fill="FFFFFF"/>
        </w:rPr>
        <w:t>不限于服务费、维护费、人员薪酬、利润、税费等一切费用。招标人不再另行支付其他费用。服务期内报价不随国家政策或法规、标准及市场因素的变化而进行调整。</w:t>
      </w:r>
    </w:p>
    <w:p w14:paraId="025A7C48">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第三条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组成本合同的有关文件</w:t>
      </w:r>
    </w:p>
    <w:p w14:paraId="5E092C6C">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1</w:t>
      </w:r>
      <w:r>
        <w:rPr>
          <w:rFonts w:ascii="宋体" w:hAnsi="宋体"/>
          <w:kern w:val="0"/>
          <w:sz w:val="24"/>
          <w:szCs w:val="20"/>
          <w:shd w:val="clear" w:color="auto" w:fill="FFFFFF"/>
        </w:rPr>
        <w:t>）</w:t>
      </w:r>
      <w:r>
        <w:rPr>
          <w:rFonts w:hint="eastAsia" w:ascii="宋体" w:hAnsi="宋体"/>
          <w:kern w:val="0"/>
          <w:sz w:val="24"/>
          <w:szCs w:val="20"/>
          <w:shd w:val="clear" w:color="auto" w:fill="FFFFFF"/>
        </w:rPr>
        <w:t>招标</w:t>
      </w:r>
      <w:r>
        <w:rPr>
          <w:rFonts w:ascii="宋体" w:hAnsi="宋体"/>
          <w:kern w:val="0"/>
          <w:sz w:val="24"/>
          <w:szCs w:val="20"/>
          <w:shd w:val="clear" w:color="auto" w:fill="FFFFFF"/>
        </w:rPr>
        <w:t>文件；</w:t>
      </w:r>
    </w:p>
    <w:p w14:paraId="4B1FC42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2</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投标</w:t>
      </w:r>
      <w:r>
        <w:rPr>
          <w:rFonts w:ascii="宋体" w:hAnsi="宋体"/>
          <w:kern w:val="0"/>
          <w:sz w:val="24"/>
          <w:szCs w:val="20"/>
          <w:shd w:val="clear" w:color="auto" w:fill="FFFFFF"/>
        </w:rPr>
        <w:t>文件；</w:t>
      </w:r>
    </w:p>
    <w:p w14:paraId="041D94C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3</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中标</w:t>
      </w:r>
      <w:r>
        <w:rPr>
          <w:rFonts w:ascii="宋体" w:hAnsi="宋体"/>
          <w:kern w:val="0"/>
          <w:sz w:val="24"/>
          <w:szCs w:val="20"/>
          <w:shd w:val="clear" w:color="auto" w:fill="FFFFFF"/>
        </w:rPr>
        <w:t>通知书；</w:t>
      </w:r>
    </w:p>
    <w:p w14:paraId="1463F4E7">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4</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乙方</w:t>
      </w:r>
      <w:r>
        <w:rPr>
          <w:rFonts w:ascii="宋体" w:hAnsi="宋体"/>
          <w:kern w:val="0"/>
          <w:sz w:val="24"/>
          <w:szCs w:val="20"/>
          <w:shd w:val="clear" w:color="auto" w:fill="FFFFFF"/>
        </w:rPr>
        <w:t>在投标、评标过程中所作其它有关承诺、声明、书面澄清；</w:t>
      </w:r>
    </w:p>
    <w:p w14:paraId="2AB9054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5</w:t>
      </w:r>
      <w:r>
        <w:rPr>
          <w:rFonts w:ascii="宋体" w:hAnsi="宋体"/>
          <w:kern w:val="0"/>
          <w:sz w:val="24"/>
          <w:szCs w:val="20"/>
          <w:shd w:val="clear" w:color="auto" w:fill="FFFFFF"/>
        </w:rPr>
        <w:t>）甲乙双方商定的其他文件等。</w:t>
      </w:r>
    </w:p>
    <w:p w14:paraId="6BA16610">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第四条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权利保证</w:t>
      </w:r>
    </w:p>
    <w:p w14:paraId="0350E37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乙方应保证甲方在合同履行期限内不受第三方提出侵犯其专利权、版权、商标权或其他权利的起诉。一旦出现侵权，乙方应承担全部责任。</w:t>
      </w:r>
    </w:p>
    <w:p w14:paraId="4BEEAEAB">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第五条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项目验收</w:t>
      </w:r>
    </w:p>
    <w:p w14:paraId="443097F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组织相关专业技术人员，必要时邀请校外专家及质检等部门共同参与</w:t>
      </w:r>
      <w:r>
        <w:rPr>
          <w:rFonts w:hint="eastAsia" w:ascii="宋体" w:hAnsi="宋体" w:eastAsia="宋体" w:cs="宋体"/>
          <w:bCs/>
          <w:color w:val="auto"/>
          <w:sz w:val="24"/>
          <w:szCs w:val="24"/>
          <w:highlight w:val="none"/>
          <w:lang w:val="zh-CN"/>
        </w:rPr>
        <w:t>验收</w:t>
      </w:r>
      <w:r>
        <w:rPr>
          <w:rFonts w:hint="eastAsia" w:ascii="宋体" w:hAnsi="宋体" w:eastAsia="宋体" w:cs="宋体"/>
          <w:color w:val="auto"/>
          <w:sz w:val="24"/>
          <w:szCs w:val="24"/>
          <w:highlight w:val="none"/>
        </w:rPr>
        <w:t>，出具验收报告，作为支付货款的依据。</w:t>
      </w:r>
    </w:p>
    <w:p w14:paraId="5CFF96F6">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在本期项目的</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rPr>
        <w:t>过程中和交付使用后，要求将各个阶段产生的全面、规范的成果和文档资料交付给</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，而且需要提供明确的交付清单。同时，成果和文档资料必须符合软件工程的相关要求，支持在线管理相关文档和知识。要交付的成果和文档资料需要包括以下部分：</w:t>
      </w:r>
    </w:p>
    <w:p w14:paraId="3EFB225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①可运行的系统</w:t>
      </w:r>
    </w:p>
    <w:p w14:paraId="015665B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②技术文档</w:t>
      </w:r>
    </w:p>
    <w:p w14:paraId="70D2820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包括软件工具清单、需求分析说明、用户手册、系统培训资料等。</w:t>
      </w:r>
    </w:p>
    <w:p w14:paraId="2484CFFD">
      <w:pPr>
        <w:spacing w:line="360" w:lineRule="auto"/>
        <w:ind w:firstLine="480" w:firstLineChars="200"/>
        <w:jc w:val="left"/>
        <w:rPr>
          <w:rFonts w:hint="eastAsia" w:ascii="宋体" w:hAnsi="宋体"/>
          <w:b/>
          <w:bCs/>
          <w:kern w:val="0"/>
          <w:sz w:val="24"/>
          <w:szCs w:val="20"/>
          <w:shd w:val="clear" w:color="auto" w:fill="FFFFFF"/>
        </w:rPr>
      </w:pPr>
      <w:r>
        <w:rPr>
          <w:rFonts w:ascii="宋体" w:hAnsi="宋体"/>
          <w:b/>
          <w:bCs/>
          <w:kern w:val="0"/>
          <w:sz w:val="24"/>
          <w:szCs w:val="20"/>
          <w:shd w:val="clear" w:color="auto" w:fill="FFFFFF"/>
        </w:rPr>
        <w:t xml:space="preserve">第六条 </w:t>
      </w:r>
      <w:r>
        <w:rPr>
          <w:rFonts w:hint="eastAsia" w:ascii="宋体" w:hAnsi="宋体" w:eastAsia="宋体" w:cs="宋体"/>
          <w:b/>
          <w:color w:val="auto"/>
          <w:sz w:val="24"/>
          <w:szCs w:val="24"/>
          <w:highlight w:val="none"/>
          <w:lang w:val="en-US" w:eastAsia="zh-CN"/>
        </w:rPr>
        <w:t>售后服务</w:t>
      </w:r>
    </w:p>
    <w:p w14:paraId="6B2E156A">
      <w:pPr>
        <w:keepNext w:val="0"/>
        <w:keepLines w:val="0"/>
        <w:pageBreakBefore w:val="0"/>
        <w:numPr>
          <w:ilvl w:val="0"/>
          <w:numId w:val="0"/>
        </w:numPr>
        <w:kinsoku/>
        <w:wordWrap/>
        <w:overflowPunct/>
        <w:topLinePunct w:val="0"/>
        <w:autoSpaceDE/>
        <w:autoSpaceDN/>
        <w:bidi w:val="0"/>
        <w:adjustRightInd/>
        <w:spacing w:line="360" w:lineRule="auto"/>
        <w:ind w:left="0" w:leftChars="0"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2"/>
          <w:sz w:val="24"/>
          <w:szCs w:val="24"/>
          <w:lang w:val="zh-CN" w:eastAsia="zh-CN" w:bidi="ar-SA"/>
        </w:rPr>
        <w:t>1.</w:t>
      </w: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服务自验收合格之日起质保期为5年</w:t>
      </w:r>
      <w:r>
        <w:rPr>
          <w:rFonts w:hint="eastAsia" w:ascii="宋体" w:hAnsi="宋体" w:eastAsia="宋体" w:cs="宋体"/>
          <w:bCs/>
          <w:color w:val="auto"/>
          <w:sz w:val="24"/>
          <w:szCs w:val="24"/>
          <w:highlight w:val="none"/>
          <w:lang w:val="zh-CN"/>
        </w:rPr>
        <w:t>。</w:t>
      </w:r>
    </w:p>
    <w:p w14:paraId="3077F263">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具备完整的售后服务保障能力，包含（但不限于）以下服务要求：</w:t>
      </w:r>
    </w:p>
    <w:p w14:paraId="6179088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接到甲方通知后</w:t>
      </w:r>
      <w:r>
        <w:rPr>
          <w:rFonts w:hint="eastAsia" w:ascii="宋体" w:hAnsi="宋体" w:eastAsia="宋体" w:cs="宋体"/>
          <w:color w:val="auto"/>
          <w:sz w:val="24"/>
          <w:szCs w:val="24"/>
          <w:highlight w:val="none"/>
        </w:rPr>
        <w:t>两小时内必须响应；</w:t>
      </w:r>
    </w:p>
    <w:p w14:paraId="00069A4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）须提供多种服务受理通道，包括但不限于</w:t>
      </w:r>
      <w:r>
        <w:rPr>
          <w:rFonts w:hint="eastAsia" w:ascii="宋体" w:hAnsi="宋体" w:cs="宋体"/>
          <w:color w:val="auto"/>
          <w:sz w:val="24"/>
          <w:szCs w:val="24"/>
          <w:highlight w:val="none"/>
          <w:lang w:val="en-US" w:eastAsia="zh-CN"/>
        </w:rPr>
        <w:t>在线客服</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联系</w:t>
      </w:r>
      <w:r>
        <w:rPr>
          <w:rFonts w:hint="eastAsia" w:ascii="宋体" w:hAnsi="宋体" w:eastAsia="宋体" w:cs="宋体"/>
          <w:color w:val="auto"/>
          <w:sz w:val="24"/>
          <w:szCs w:val="24"/>
          <w:highlight w:val="none"/>
        </w:rPr>
        <w:t>电话、邮件等；</w:t>
      </w:r>
      <w:r>
        <w:rPr>
          <w:rFonts w:hint="eastAsia" w:ascii="宋体" w:hAnsi="宋体" w:cs="宋体"/>
          <w:color w:val="auto"/>
          <w:sz w:val="24"/>
          <w:szCs w:val="24"/>
          <w:highlight w:val="none"/>
          <w:lang w:val="en-US" w:eastAsia="zh-CN"/>
        </w:rPr>
        <w:t>乙方服务受理联系电话：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，邮件地址：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1BEF3B67">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）须提供详细的线上服务流程说明，线上报修须能够做到问题登记、问题处理、加急处理、问题关闭与评价，常见问题案例库，消息通知等。</w:t>
      </w:r>
    </w:p>
    <w:p w14:paraId="12F176E6">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）要求在服务响应过程中，须有运营专员参与，全程跟踪服务过程，协调解决服务过程中的问题。</w:t>
      </w:r>
    </w:p>
    <w:p w14:paraId="74ADD6AB">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）须提供线上服务申诉通道，要求可针对服务人员、服务流程等进行投诉。</w:t>
      </w:r>
    </w:p>
    <w:p w14:paraId="50C7B12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已发</w:t>
      </w:r>
      <w:r>
        <w:rPr>
          <w:rFonts w:hint="eastAsia" w:ascii="宋体" w:hAnsi="宋体" w:eastAsia="宋体" w:cs="宋体"/>
          <w:color w:val="auto"/>
          <w:sz w:val="24"/>
          <w:szCs w:val="24"/>
          <w:highlight w:val="none"/>
        </w:rPr>
        <w:t>提供本次投标产品的售后服务，包含（但不限于）以下服务要求：</w:t>
      </w:r>
    </w:p>
    <w:p w14:paraId="7B84A78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（1）BUG处理：如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交付的业务系统存在BUG，</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须提供修正与消缺服务，如有修复BUG的补丁，应提供升级服务。</w:t>
      </w:r>
    </w:p>
    <w:p w14:paraId="4CF4026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（2）故障处理：如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交付的系统上线运行时，出现问题导致业务中断时，</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应对故障进行限时处理。</w:t>
      </w:r>
    </w:p>
    <w:p w14:paraId="3CD769B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（3）运行支持：</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对系统运行过程中系统管理员及业务管理员提出的问题提供解答和问题解决跟踪。</w:t>
      </w:r>
    </w:p>
    <w:p w14:paraId="5F72203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（4）在项目质保期内，因为软件系统本身原因导致系统不可用，</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全程跟踪解决，确保问题快速解决，因为操作系统、服务器、网络设备及其他硬件设备导致系统不可用时，</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应配合</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排查故障，提供解决方法供</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选择，配合</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解决问题。</w:t>
      </w:r>
    </w:p>
    <w:p w14:paraId="389B1236">
      <w:pPr>
        <w:spacing w:line="360" w:lineRule="auto"/>
        <w:ind w:firstLine="480" w:firstLineChars="200"/>
        <w:jc w:val="left"/>
        <w:rPr>
          <w:rFonts w:hint="eastAsia" w:ascii="宋体" w:hAnsi="宋体"/>
          <w:b/>
          <w:bCs/>
          <w:kern w:val="0"/>
          <w:sz w:val="24"/>
          <w:szCs w:val="20"/>
          <w:shd w:val="clear" w:color="auto" w:fill="FFFFFF"/>
        </w:rPr>
      </w:pPr>
      <w:r>
        <w:rPr>
          <w:rFonts w:ascii="宋体" w:hAnsi="宋体"/>
          <w:b/>
          <w:bCs/>
          <w:kern w:val="0"/>
          <w:sz w:val="24"/>
          <w:szCs w:val="20"/>
          <w:shd w:val="clear" w:color="auto" w:fill="FFFFFF"/>
        </w:rPr>
        <w:t>第七条  付款方式</w:t>
      </w:r>
    </w:p>
    <w:p w14:paraId="0ABB2FD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申请</w:t>
      </w:r>
      <w:r>
        <w:rPr>
          <w:rFonts w:hint="eastAsia" w:ascii="宋体" w:hAnsi="宋体" w:eastAsia="宋体" w:cs="宋体"/>
          <w:color w:val="auto"/>
          <w:sz w:val="24"/>
          <w:szCs w:val="24"/>
          <w:highlight w:val="none"/>
        </w:rPr>
        <w:t>部门应在项目验收合格后按合同约定办理结算手续。</w:t>
      </w:r>
    </w:p>
    <w:p w14:paraId="78E4F70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付款方式：在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现场安装调试（或服务）完毕后，经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根据合同和标书条款验收合格，每年度10月底前，由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一次性支付当年度服务费用（按当年度</w:t>
      </w:r>
      <w:r>
        <w:rPr>
          <w:rFonts w:hint="eastAsia" w:ascii="宋体" w:hAnsi="宋体" w:eastAsia="宋体" w:cs="宋体"/>
          <w:color w:val="auto"/>
          <w:sz w:val="24"/>
          <w:szCs w:val="24"/>
          <w:highlight w:val="none"/>
          <w:lang w:val="en-US" w:eastAsia="zh-CN"/>
        </w:rPr>
        <w:t>校外教学点</w:t>
      </w:r>
      <w:r>
        <w:rPr>
          <w:rFonts w:hint="eastAsia" w:ascii="宋体" w:hAnsi="宋体" w:eastAsia="宋体" w:cs="宋体"/>
          <w:color w:val="auto"/>
          <w:sz w:val="24"/>
          <w:szCs w:val="24"/>
          <w:highlight w:val="none"/>
        </w:rPr>
        <w:t>在籍人数</w:t>
      </w:r>
      <w:r>
        <w:rPr>
          <w:rFonts w:hint="default" w:ascii="Arial" w:hAnsi="Arial" w:eastAsia="宋体" w:cs="Arial"/>
          <w:color w:val="auto"/>
          <w:sz w:val="24"/>
          <w:szCs w:val="24"/>
          <w:highlight w:val="none"/>
        </w:rPr>
        <w:t>×</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单价结算后实际支付）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校本部学生免费使用平台服务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如有学生中途退学，中标人应按学校学费退费比例退还招标人教育管理平台服务费。</w:t>
      </w:r>
    </w:p>
    <w:p w14:paraId="2B7670B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在使用过程中如发现</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提供的服务与投标文件响应的功能及技术指标不相符，视为</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违约。</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有权终止合同，并将按照合同约定扣除其全部或部分履约保证金。</w:t>
      </w:r>
    </w:p>
    <w:p w14:paraId="09036D2A">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第八条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服务周期</w:t>
      </w:r>
    </w:p>
    <w:p w14:paraId="365090ED">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本项目一招三年，合同一年一签。本合同有效期自2026年  月  日至2027年  月  日。</w:t>
      </w:r>
    </w:p>
    <w:p w14:paraId="3F81D18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经甲方考核中标方的工作内容及服务并通过后，双方均无异议，续签下一年合同。甲方有权根据服务情况决定是否签署下一个服务周期的合同，乙方须无条件服从和接受。如甲方决定不予签约的，视为双方不再合作，本合同到期后乙方应无条件退场。</w:t>
      </w:r>
    </w:p>
    <w:p w14:paraId="5044220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合同签订完成后，</w:t>
      </w:r>
      <w:r>
        <w:rPr>
          <w:rFonts w:hint="eastAsia" w:ascii="宋体" w:hAnsi="宋体" w:cs="宋体"/>
          <w:b w:val="0"/>
          <w:bCs/>
          <w:color w:val="auto"/>
          <w:sz w:val="24"/>
          <w:szCs w:val="24"/>
          <w:highlight w:val="none"/>
          <w:lang w:val="en-US" w:eastAsia="zh-CN"/>
        </w:rPr>
        <w:t>乙方</w:t>
      </w:r>
      <w:r>
        <w:rPr>
          <w:rFonts w:hint="eastAsia" w:ascii="宋体" w:hAnsi="宋体" w:eastAsia="宋体" w:cs="宋体"/>
          <w:b w:val="0"/>
          <w:bCs/>
          <w:color w:val="auto"/>
          <w:sz w:val="24"/>
          <w:szCs w:val="24"/>
          <w:highlight w:val="none"/>
          <w:lang w:val="en-US" w:eastAsia="zh-CN"/>
        </w:rPr>
        <w:t>需在15个工作日内完成</w:t>
      </w:r>
      <w:r>
        <w:rPr>
          <w:rFonts w:hint="eastAsia" w:ascii="宋体" w:hAnsi="宋体" w:cs="宋体"/>
          <w:b w:val="0"/>
          <w:bCs/>
          <w:color w:val="auto"/>
          <w:sz w:val="24"/>
          <w:szCs w:val="24"/>
          <w:highlight w:val="none"/>
          <w:lang w:val="en-US" w:eastAsia="zh-CN"/>
        </w:rPr>
        <w:t>项目交付并</w:t>
      </w:r>
      <w:r>
        <w:rPr>
          <w:rFonts w:hint="eastAsia" w:ascii="宋体" w:hAnsi="宋体" w:eastAsia="宋体" w:cs="宋体"/>
          <w:b w:val="0"/>
          <w:bCs/>
          <w:color w:val="auto"/>
          <w:sz w:val="24"/>
          <w:szCs w:val="24"/>
          <w:highlight w:val="none"/>
          <w:lang w:val="en-US" w:eastAsia="zh-CN"/>
        </w:rPr>
        <w:t>上线使用。</w:t>
      </w:r>
    </w:p>
    <w:p w14:paraId="0AB576C2">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第九条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履约保证金</w:t>
      </w:r>
    </w:p>
    <w:p w14:paraId="4C38D317">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1.乙方向甲方缴纳</w:t>
      </w:r>
      <w:r>
        <w:rPr>
          <w:rFonts w:hint="eastAsia" w:ascii="宋体" w:hAnsi="宋体" w:eastAsia="宋体" w:cs="宋体"/>
          <w:color w:val="auto"/>
          <w:sz w:val="24"/>
          <w:szCs w:val="24"/>
          <w:highlight w:val="none"/>
          <w:lang w:bidi="ar"/>
        </w:rPr>
        <w:t>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color w:val="auto"/>
          <w:sz w:val="24"/>
          <w:szCs w:val="24"/>
          <w:highlight w:val="none"/>
          <w:lang w:bidi="ar"/>
        </w:rPr>
        <w:t>（转至</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指定账户。户名：南通市财政局，账号：513902006610906</w:t>
      </w:r>
      <w:r>
        <w:rPr>
          <w:rFonts w:hint="eastAsia" w:ascii="宋体" w:hAnsi="宋体" w:eastAsia="宋体" w:cs="宋体"/>
          <w:color w:val="auto"/>
          <w:sz w:val="24"/>
          <w:szCs w:val="24"/>
          <w:highlight w:val="none"/>
          <w:lang w:eastAsia="zh-CN" w:bidi="ar"/>
        </w:rPr>
        <w:t>，开户行：</w:t>
      </w:r>
      <w:r>
        <w:rPr>
          <w:rFonts w:hint="eastAsia" w:ascii="宋体" w:hAnsi="宋体" w:eastAsia="宋体" w:cs="宋体"/>
          <w:color w:val="auto"/>
          <w:sz w:val="24"/>
          <w:szCs w:val="24"/>
          <w:highlight w:val="none"/>
          <w:lang w:val="en-US" w:eastAsia="zh-CN" w:bidi="ar"/>
        </w:rPr>
        <w:t>招商银行</w:t>
      </w:r>
      <w:r>
        <w:rPr>
          <w:rFonts w:hint="eastAsia" w:ascii="宋体" w:hAnsi="宋体" w:eastAsia="宋体" w:cs="宋体"/>
          <w:color w:val="auto"/>
          <w:sz w:val="24"/>
          <w:szCs w:val="24"/>
          <w:highlight w:val="none"/>
          <w:lang w:eastAsia="zh-CN" w:bidi="ar"/>
        </w:rPr>
        <w:t>南通分行，备注：南通</w:t>
      </w:r>
      <w:r>
        <w:rPr>
          <w:rFonts w:hint="eastAsia" w:ascii="宋体" w:hAnsi="宋体" w:eastAsia="宋体" w:cs="宋体"/>
          <w:color w:val="auto"/>
          <w:sz w:val="24"/>
          <w:szCs w:val="24"/>
          <w:highlight w:val="none"/>
          <w:lang w:val="en-US" w:eastAsia="zh-CN" w:bidi="ar"/>
        </w:rPr>
        <w:t>职大</w:t>
      </w:r>
      <w:r>
        <w:rPr>
          <w:rFonts w:hint="eastAsia" w:ascii="宋体" w:hAnsi="宋体" w:eastAsia="宋体" w:cs="宋体"/>
          <w:color w:val="auto"/>
          <w:sz w:val="24"/>
          <w:szCs w:val="24"/>
          <w:highlight w:val="none"/>
          <w:lang w:eastAsia="zh-CN" w:bidi="ar"/>
        </w:rPr>
        <w:t>继</w:t>
      </w:r>
      <w:r>
        <w:rPr>
          <w:rFonts w:hint="eastAsia" w:ascii="宋体" w:hAnsi="宋体" w:eastAsia="宋体" w:cs="宋体"/>
          <w:color w:val="auto"/>
          <w:sz w:val="24"/>
          <w:szCs w:val="24"/>
          <w:highlight w:val="none"/>
          <w:lang w:val="en-US" w:eastAsia="zh-CN" w:bidi="ar"/>
        </w:rPr>
        <w:t>教</w:t>
      </w:r>
      <w:r>
        <w:rPr>
          <w:rFonts w:hint="eastAsia" w:ascii="宋体" w:hAnsi="宋体" w:eastAsia="宋体" w:cs="宋体"/>
          <w:color w:val="auto"/>
          <w:sz w:val="24"/>
          <w:szCs w:val="24"/>
          <w:highlight w:val="none"/>
          <w:lang w:eastAsia="zh-CN" w:bidi="ar"/>
        </w:rPr>
        <w:t>平台履约保证金），免费维保期结束后，</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全额返还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w:t>
      </w:r>
    </w:p>
    <w:p w14:paraId="5E4F0B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发生以下情况的，履约保证金不予退还或部分退还：a.签订合同后，</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不履行合同义务的，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有权全额扣除履约保证金，全额不予退还，同时</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亦有权终止合同，</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还须承担相应的法律赔偿责任。b.</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在履约过程中发生违约行为，给</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造成损失的，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有权在</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缴纳的履约保证金中予以扣款，以弥补招标人经济损失，不足的部分</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另外补齐。c.</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w:t>
      </w:r>
      <w:r>
        <w:rPr>
          <w:rFonts w:hint="eastAsia" w:ascii="宋体" w:hAnsi="宋体" w:eastAsia="宋体" w:cs="宋体"/>
          <w:color w:val="auto"/>
          <w:sz w:val="24"/>
          <w:szCs w:val="24"/>
          <w:highlight w:val="none"/>
          <w:lang w:val="en-US" w:eastAsia="zh-CN" w:bidi="ar"/>
        </w:rPr>
        <w:t>服务期</w:t>
      </w:r>
      <w:r>
        <w:rPr>
          <w:rFonts w:hint="eastAsia" w:ascii="宋体" w:hAnsi="宋体" w:eastAsia="宋体" w:cs="宋体"/>
          <w:color w:val="auto"/>
          <w:sz w:val="24"/>
          <w:szCs w:val="24"/>
          <w:highlight w:val="none"/>
          <w:lang w:eastAsia="zh-CN" w:bidi="ar"/>
        </w:rPr>
        <w:t>内服务响应、服务质量方面达不到要求的，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有权拒绝退还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w:t>
      </w:r>
    </w:p>
    <w:p w14:paraId="1FAF523D">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违约责任</w:t>
      </w:r>
    </w:p>
    <w:p w14:paraId="360739B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不能按期供货，</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付给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1500元</w:t>
      </w:r>
      <w:r>
        <w:rPr>
          <w:rFonts w:hint="eastAsia" w:ascii="宋体" w:hAnsi="宋体" w:eastAsia="宋体" w:cs="宋体"/>
          <w:color w:val="auto"/>
          <w:sz w:val="24"/>
          <w:szCs w:val="24"/>
          <w:highlight w:val="none"/>
        </w:rPr>
        <w:t>/天）。</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原因或不可抗力的因素影响除外。</w:t>
      </w:r>
    </w:p>
    <w:p w14:paraId="5CBB5BBB">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甲方向乙方发出整改通知，乙方未能在整改期限内完成整改的，乙方</w:t>
      </w:r>
      <w:r>
        <w:rPr>
          <w:rFonts w:hint="eastAsia" w:ascii="宋体" w:hAnsi="宋体" w:eastAsia="宋体" w:cs="宋体"/>
          <w:color w:val="auto"/>
          <w:sz w:val="24"/>
          <w:szCs w:val="24"/>
          <w:highlight w:val="none"/>
        </w:rPr>
        <w:t>返还向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收取的服务费，并付给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违约金</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31557164">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一</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不可抗力</w:t>
      </w:r>
    </w:p>
    <w:p w14:paraId="1179CB1C">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11.1 在合同有效期内，任何一方因不可抗力事件导致不能履行合同，则合同履行期可延长，其延长期与不可抗力影响期相同。</w:t>
      </w:r>
    </w:p>
    <w:p w14:paraId="2DDB82D7">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11.2 不可抗力事件发生后，应立即通知对方，并寄送有关权威机构出具的证明。</w:t>
      </w:r>
    </w:p>
    <w:p w14:paraId="44BD7232">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11.3 不可抗力事件延续120天以上，双方应通过友好协商，确定是否继续履行合同。</w:t>
      </w:r>
    </w:p>
    <w:p w14:paraId="51DF5852">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二</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合同的变更和终止</w:t>
      </w:r>
    </w:p>
    <w:p w14:paraId="4AD0B605">
      <w:pPr>
        <w:spacing w:line="360" w:lineRule="auto"/>
        <w:ind w:firstLine="480" w:firstLineChars="200"/>
        <w:jc w:val="left"/>
        <w:rPr>
          <w:rFonts w:ascii="宋体"/>
          <w:kern w:val="0"/>
          <w:sz w:val="24"/>
          <w:szCs w:val="20"/>
          <w:shd w:val="clear" w:color="auto" w:fill="FFFFFF"/>
        </w:rPr>
      </w:pPr>
      <w:r>
        <w:rPr>
          <w:rFonts w:hint="eastAsia" w:ascii="宋体"/>
          <w:kern w:val="0"/>
          <w:sz w:val="24"/>
          <w:szCs w:val="20"/>
          <w:shd w:val="clear" w:color="auto" w:fill="FFFFFF"/>
          <w:lang w:val="en-US" w:eastAsia="zh-CN"/>
        </w:rPr>
        <w:t>1.</w:t>
      </w:r>
      <w:r>
        <w:rPr>
          <w:rFonts w:ascii="宋体" w:hAnsi="宋体"/>
          <w:kern w:val="0"/>
          <w:sz w:val="24"/>
          <w:szCs w:val="20"/>
          <w:shd w:val="clear" w:color="auto" w:fill="FFFFFF"/>
        </w:rPr>
        <w:t>除发生法律规定的不能预见、不能避免并不能克服的客观情况外，甲乙双方</w:t>
      </w:r>
      <w:r>
        <w:rPr>
          <w:rFonts w:hint="eastAsia" w:ascii="宋体" w:hAnsi="宋体"/>
          <w:kern w:val="0"/>
          <w:sz w:val="24"/>
          <w:szCs w:val="20"/>
          <w:shd w:val="clear" w:color="auto" w:fill="FFFFFF"/>
        </w:rPr>
        <w:t>不得擅自变更、中止或终止合同。</w:t>
      </w:r>
    </w:p>
    <w:p w14:paraId="06ECDD6C">
      <w:pPr>
        <w:spacing w:line="360" w:lineRule="auto"/>
        <w:ind w:firstLine="480" w:firstLineChars="200"/>
        <w:jc w:val="left"/>
        <w:rPr>
          <w:rFonts w:ascii="宋体"/>
          <w:kern w:val="0"/>
          <w:sz w:val="24"/>
          <w:szCs w:val="20"/>
          <w:shd w:val="clear" w:color="auto" w:fill="FFFFFF"/>
        </w:rPr>
      </w:pPr>
      <w:r>
        <w:rPr>
          <w:rFonts w:hint="eastAsia" w:ascii="宋体" w:hAnsi="宋体"/>
          <w:kern w:val="0"/>
          <w:sz w:val="24"/>
          <w:szCs w:val="20"/>
          <w:shd w:val="clear" w:color="auto" w:fill="FFFFFF"/>
          <w:lang w:val="en-US" w:eastAsia="zh-CN"/>
        </w:rPr>
        <w:t>2.</w:t>
      </w:r>
      <w:r>
        <w:rPr>
          <w:rFonts w:ascii="宋体" w:hAnsi="宋体"/>
          <w:kern w:val="0"/>
          <w:sz w:val="24"/>
          <w:szCs w:val="20"/>
          <w:shd w:val="clear" w:color="auto" w:fill="FFFFFF"/>
        </w:rPr>
        <w:t>本合同因下列原因而终止：</w:t>
      </w:r>
    </w:p>
    <w:p w14:paraId="5E1B82B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1</w:t>
      </w:r>
      <w:r>
        <w:rPr>
          <w:rFonts w:ascii="宋体" w:hAnsi="宋体"/>
          <w:kern w:val="0"/>
          <w:sz w:val="24"/>
          <w:szCs w:val="20"/>
          <w:shd w:val="clear" w:color="auto" w:fill="FFFFFF"/>
        </w:rPr>
        <w:t>）本合同正常履行完毕；</w:t>
      </w:r>
    </w:p>
    <w:p w14:paraId="59DA9502">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2</w:t>
      </w:r>
      <w:r>
        <w:rPr>
          <w:rFonts w:ascii="宋体" w:hAnsi="宋体"/>
          <w:kern w:val="0"/>
          <w:sz w:val="24"/>
          <w:szCs w:val="20"/>
          <w:shd w:val="clear" w:color="auto" w:fill="FFFFFF"/>
        </w:rPr>
        <w:t>）因不可抗力导致本合同无法履行或履行不必要；</w:t>
      </w:r>
    </w:p>
    <w:p w14:paraId="30A1616E">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3</w:t>
      </w:r>
      <w:r>
        <w:rPr>
          <w:rFonts w:ascii="宋体" w:hAnsi="宋体"/>
          <w:kern w:val="0"/>
          <w:sz w:val="24"/>
          <w:szCs w:val="20"/>
          <w:shd w:val="clear" w:color="auto" w:fill="FFFFFF"/>
        </w:rPr>
        <w:t>）任何一方行使解除权解除本合同；</w:t>
      </w:r>
    </w:p>
    <w:p w14:paraId="719C114D">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4</w:t>
      </w:r>
      <w:r>
        <w:rPr>
          <w:rFonts w:ascii="宋体" w:hAnsi="宋体"/>
          <w:kern w:val="0"/>
          <w:sz w:val="24"/>
          <w:szCs w:val="20"/>
          <w:shd w:val="clear" w:color="auto" w:fill="FFFFFF"/>
        </w:rPr>
        <w:t>）合同的继续履行将损害国家利益和社会公共利益。</w:t>
      </w:r>
    </w:p>
    <w:p w14:paraId="27723BC5">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除上述情形外，甲乙双方不得擅自终止合同。</w:t>
      </w:r>
    </w:p>
    <w:p w14:paraId="21A4099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三</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争议的解决</w:t>
      </w:r>
    </w:p>
    <w:p w14:paraId="63653E81">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rPr>
        <w:t xml:space="preserve">双方约定，在履行合同过程中产生争议时： </w:t>
      </w:r>
    </w:p>
    <w:p w14:paraId="472CDECA">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lang w:val="en-US" w:eastAsia="zh-CN"/>
        </w:rPr>
        <w:t>1.</w:t>
      </w:r>
      <w:r>
        <w:rPr>
          <w:rFonts w:hint="eastAsia" w:ascii="宋体" w:hAnsi="宋体"/>
          <w:kern w:val="0"/>
          <w:sz w:val="24"/>
          <w:szCs w:val="20"/>
          <w:shd w:val="clear" w:color="auto" w:fill="FFFFFF"/>
        </w:rPr>
        <w:t xml:space="preserve">由仲裁机构调解，调解不成由仲裁机构提出仲裁决定； </w:t>
      </w:r>
    </w:p>
    <w:p w14:paraId="54EC275A">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lang w:val="en-US" w:eastAsia="zh-CN"/>
        </w:rPr>
        <w:t>2.</w:t>
      </w:r>
      <w:r>
        <w:rPr>
          <w:rFonts w:hint="eastAsia" w:ascii="宋体" w:hAnsi="宋体"/>
          <w:kern w:val="0"/>
          <w:sz w:val="24"/>
          <w:szCs w:val="20"/>
          <w:shd w:val="clear" w:color="auto" w:fill="FFFFFF"/>
        </w:rPr>
        <w:t>当采取第</w:t>
      </w:r>
      <w:r>
        <w:rPr>
          <w:rFonts w:hint="eastAsia" w:ascii="宋体" w:hAnsi="宋体"/>
          <w:kern w:val="0"/>
          <w:sz w:val="24"/>
          <w:szCs w:val="20"/>
          <w:shd w:val="clear" w:color="auto" w:fill="FFFFFF"/>
          <w:lang w:val="en-US" w:eastAsia="zh-CN"/>
        </w:rPr>
        <w:t>1</w:t>
      </w:r>
      <w:r>
        <w:rPr>
          <w:rFonts w:hint="eastAsia" w:ascii="宋体" w:hAnsi="宋体"/>
          <w:kern w:val="0"/>
          <w:sz w:val="24"/>
          <w:szCs w:val="20"/>
          <w:shd w:val="clear" w:color="auto" w:fill="FFFFFF"/>
        </w:rPr>
        <w:t xml:space="preserve">种方式不能解决时，双方约定向南通市崇川区人民法院提起诉讼。 </w:t>
      </w:r>
    </w:p>
    <w:p w14:paraId="0F0467D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四</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合同生效及其他</w:t>
      </w:r>
    </w:p>
    <w:p w14:paraId="29E47DA7">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1</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本合同由甲乙双方签字、盖章后生效。</w:t>
      </w:r>
    </w:p>
    <w:p w14:paraId="066CF3C2">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2</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本合同一式陆份，甲方、乙方各执叁份。</w:t>
      </w:r>
    </w:p>
    <w:p w14:paraId="444C7662">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3</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本合同应按照中华人民共和国的现行法律进行解释。</w:t>
      </w:r>
    </w:p>
    <w:p w14:paraId="1D8A4B9A">
      <w:pPr>
        <w:spacing w:line="360" w:lineRule="auto"/>
        <w:ind w:firstLine="480" w:firstLineChars="200"/>
        <w:jc w:val="left"/>
        <w:rPr>
          <w:rFonts w:hint="eastAsia" w:ascii="宋体" w:hAnsi="宋体"/>
          <w:kern w:val="0"/>
          <w:sz w:val="24"/>
          <w:szCs w:val="20"/>
          <w:shd w:val="clear" w:color="auto" w:fill="FFFFFF"/>
        </w:rPr>
      </w:pPr>
    </w:p>
    <w:p w14:paraId="44BE9394">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甲方（盖章）：</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乙方（盖章）：</w:t>
      </w:r>
    </w:p>
    <w:p w14:paraId="7E75FD61">
      <w:pPr>
        <w:spacing w:line="360" w:lineRule="auto"/>
        <w:ind w:firstLine="480" w:firstLineChars="200"/>
        <w:jc w:val="left"/>
        <w:rPr>
          <w:rFonts w:hint="eastAsia" w:ascii="宋体" w:hAnsi="宋体"/>
          <w:kern w:val="0"/>
          <w:sz w:val="24"/>
          <w:szCs w:val="20"/>
          <w:shd w:val="clear" w:color="auto" w:fill="FFFFFF"/>
        </w:rPr>
      </w:pPr>
      <w:r>
        <w:rPr>
          <w:rFonts w:ascii="宋体" w:hAnsi="宋体"/>
          <w:kern w:val="0"/>
          <w:sz w:val="24"/>
          <w:szCs w:val="20"/>
          <w:shd w:val="clear" w:color="auto" w:fill="FFFFFF"/>
        </w:rPr>
        <w:t>法定代表人或委托代理人签字：</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法定代表人或委托代理人签字：</w:t>
      </w:r>
    </w:p>
    <w:p w14:paraId="2B80280A">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kern w:val="0"/>
          <w:sz w:val="24"/>
          <w:szCs w:val="20"/>
          <w:shd w:val="clear" w:color="auto" w:fill="FFFFFF"/>
        </w:rPr>
        <w:t>日期： 年 月 日                     日期： 年 月 日</w:t>
      </w:r>
    </w:p>
    <w:p w14:paraId="365AE616">
      <w:pPr>
        <w:spacing w:line="240" w:lineRule="auto"/>
        <w:rPr>
          <w:rFonts w:hint="eastAsia" w:ascii="宋体" w:hAnsi="宋体" w:eastAsia="宋体" w:cs="宋体"/>
          <w:sz w:val="24"/>
          <w:highlight w:val="yellow"/>
        </w:rPr>
      </w:pPr>
    </w:p>
    <w:p w14:paraId="3581E6E2">
      <w:pPr>
        <w:spacing w:line="240" w:lineRule="auto"/>
        <w:rPr>
          <w:rFonts w:hint="eastAsia" w:ascii="宋体" w:hAnsi="宋体" w:eastAsia="宋体" w:cs="宋体"/>
          <w:sz w:val="24"/>
          <w:highlight w:val="yellow"/>
        </w:rPr>
      </w:pPr>
      <w:r>
        <w:rPr>
          <w:rFonts w:hint="eastAsia" w:ascii="宋体" w:hAnsi="宋体" w:cs="宋体"/>
          <w:sz w:val="24"/>
          <w:highlight w:val="none"/>
          <w:lang w:val="en-US" w:eastAsia="zh-CN"/>
        </w:rPr>
        <w:t>附件：保密协议书</w:t>
      </w:r>
      <w:r>
        <w:rPr>
          <w:rFonts w:hint="eastAsia" w:ascii="宋体" w:hAnsi="宋体" w:eastAsia="宋体" w:cs="宋体"/>
          <w:sz w:val="24"/>
          <w:highlight w:val="yellow"/>
        </w:rPr>
        <w:br w:type="page"/>
      </w:r>
    </w:p>
    <w:p w14:paraId="3BE3C069">
      <w:pPr>
        <w:keepNext w:val="0"/>
        <w:keepLines w:val="0"/>
        <w:pageBreakBefore w:val="0"/>
        <w:widowControl/>
        <w:kinsoku/>
        <w:wordWrap w:val="0"/>
        <w:overflowPunct/>
        <w:topLinePunct w:val="0"/>
        <w:autoSpaceDE/>
        <w:autoSpaceDN/>
        <w:bidi w:val="0"/>
        <w:adjustRightInd/>
        <w:snapToGrid/>
        <w:spacing w:before="340" w:after="330" w:line="360" w:lineRule="auto"/>
        <w:ind w:firstLine="0" w:firstLineChars="0"/>
        <w:jc w:val="left"/>
        <w:textAlignment w:val="auto"/>
        <w:outlineLvl w:val="9"/>
        <w:rPr>
          <w:rFonts w:hint="default" w:ascii="Times New Roman" w:hAnsi="Times New Roman" w:eastAsia="宋体" w:cs="Times New Roman"/>
          <w:b w:val="0"/>
          <w:bCs/>
          <w:kern w:val="44"/>
          <w:sz w:val="28"/>
          <w:szCs w:val="28"/>
          <w:lang w:val="en-US" w:eastAsia="zh-CN" w:bidi="ar-SA"/>
        </w:rPr>
      </w:pPr>
      <w:r>
        <w:rPr>
          <w:rFonts w:hint="eastAsia" w:cs="Times New Roman"/>
          <w:b w:val="0"/>
          <w:bCs/>
          <w:kern w:val="44"/>
          <w:sz w:val="28"/>
          <w:szCs w:val="28"/>
          <w:lang w:val="en-US" w:eastAsia="zh-CN" w:bidi="ar-SA"/>
        </w:rPr>
        <w:t>附件：</w:t>
      </w:r>
    </w:p>
    <w:p w14:paraId="4B10D3CA">
      <w:pPr>
        <w:keepNext w:val="0"/>
        <w:keepLines w:val="0"/>
        <w:pageBreakBefore w:val="0"/>
        <w:widowControl/>
        <w:kinsoku/>
        <w:wordWrap w:val="0"/>
        <w:overflowPunct/>
        <w:topLinePunct w:val="0"/>
        <w:bidi w:val="0"/>
        <w:spacing w:before="340" w:after="330" w:line="360" w:lineRule="auto"/>
        <w:ind w:firstLine="880" w:firstLineChars="200"/>
        <w:jc w:val="center"/>
        <w:textAlignment w:val="auto"/>
        <w:outlineLvl w:val="9"/>
        <w:rPr>
          <w:rFonts w:hint="eastAsia" w:ascii="宋体" w:hAnsi="宋体" w:eastAsia="宋体" w:cs="宋体"/>
          <w:b/>
          <w:bCs/>
          <w:kern w:val="36"/>
          <w:sz w:val="24"/>
          <w:szCs w:val="24"/>
        </w:rPr>
      </w:pPr>
      <w:r>
        <w:rPr>
          <w:rFonts w:hint="eastAsia" w:ascii="Times New Roman" w:hAnsi="Times New Roman" w:eastAsia="宋体" w:cs="Times New Roman"/>
          <w:b/>
          <w:kern w:val="44"/>
          <w:sz w:val="44"/>
          <w:lang w:val="en-US" w:eastAsia="zh-CN" w:bidi="ar-SA"/>
        </w:rPr>
        <w:t>保密协议书</w:t>
      </w:r>
    </w:p>
    <w:p w14:paraId="608A9D55">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u w:val="single"/>
        </w:rPr>
      </w:pPr>
      <w:r>
        <w:rPr>
          <w:rFonts w:hint="eastAsia" w:ascii="宋体" w:hAnsi="宋体" w:eastAsia="宋体" w:cs="宋体"/>
          <w:b/>
          <w:bCs/>
          <w:sz w:val="24"/>
          <w:szCs w:val="24"/>
        </w:rPr>
        <w:t>甲方：</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南通职业大学</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544FD31D">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乙方：</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4AB1EC8F">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u w:val="single"/>
        </w:rPr>
      </w:pPr>
      <w:r>
        <w:rPr>
          <w:rFonts w:hint="eastAsia" w:ascii="宋体" w:hAnsi="宋体" w:eastAsia="宋体" w:cs="宋体"/>
          <w:b/>
          <w:bCs/>
          <w:sz w:val="24"/>
          <w:szCs w:val="24"/>
        </w:rPr>
        <w:t>项目名称：</w:t>
      </w:r>
      <w:r>
        <w:rPr>
          <w:rFonts w:hint="eastAsia" w:ascii="宋体" w:hAnsi="宋体" w:cs="宋体"/>
          <w:b/>
          <w:bCs/>
          <w:sz w:val="24"/>
          <w:szCs w:val="24"/>
          <w:u w:val="single"/>
          <w:lang w:eastAsia="zh-CN"/>
        </w:rPr>
        <w:t>南通职业大学高等学历继续教育管理平台服务采购</w:t>
      </w:r>
      <w:r>
        <w:rPr>
          <w:rFonts w:hint="eastAsia" w:ascii="宋体" w:hAnsi="宋体" w:eastAsia="宋体" w:cs="宋体"/>
          <w:b/>
          <w:bCs/>
          <w:sz w:val="24"/>
          <w:szCs w:val="24"/>
          <w:u w:val="single"/>
        </w:rPr>
        <w:t>项目</w:t>
      </w:r>
    </w:p>
    <w:p w14:paraId="7763B636">
      <w:pPr>
        <w:keepNext w:val="0"/>
        <w:keepLines w:val="0"/>
        <w:pageBreakBefore w:val="0"/>
        <w:widowControl/>
        <w:kinsoku/>
        <w:wordWrap w:val="0"/>
        <w:overflowPunct/>
        <w:topLinePunct w:val="0"/>
        <w:bidi w:val="0"/>
        <w:adjustRightIn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snapToGrid w:val="0"/>
          <w:kern w:val="0"/>
          <w:sz w:val="24"/>
          <w:szCs w:val="24"/>
        </w:rPr>
        <w:t>根据中华人民共和国有关法律、法规，经甲乙双方协商一致，就甲方委托乙方进行</w:t>
      </w:r>
      <w:r>
        <w:rPr>
          <w:rFonts w:hint="eastAsia" w:ascii="宋体" w:hAnsi="宋体" w:cs="宋体"/>
          <w:b/>
          <w:bCs/>
          <w:sz w:val="24"/>
          <w:szCs w:val="24"/>
          <w:u w:val="single"/>
          <w:lang w:eastAsia="zh-CN"/>
        </w:rPr>
        <w:t>南通职业大学高等学历继续教育管理平台服务采购</w:t>
      </w:r>
      <w:r>
        <w:rPr>
          <w:rFonts w:hint="eastAsia" w:ascii="宋体" w:hAnsi="宋体" w:eastAsia="宋体" w:cs="宋体"/>
          <w:b/>
          <w:bCs/>
          <w:sz w:val="24"/>
          <w:szCs w:val="24"/>
          <w:u w:val="single"/>
        </w:rPr>
        <w:t>项目</w:t>
      </w:r>
      <w:r>
        <w:rPr>
          <w:rFonts w:hint="eastAsia" w:ascii="宋体" w:hAnsi="宋体" w:eastAsia="宋体" w:cs="宋体"/>
          <w:snapToGrid w:val="0"/>
          <w:kern w:val="0"/>
          <w:sz w:val="24"/>
          <w:szCs w:val="24"/>
        </w:rPr>
        <w:t>（下称“本次项目”）所涉及的秘密信息（资料、数据、技术等）事宜，双方达协议如下：</w:t>
      </w:r>
    </w:p>
    <w:p w14:paraId="16E75E35">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1.乙方</w:t>
      </w:r>
      <w:r>
        <w:rPr>
          <w:rFonts w:hint="eastAsia" w:ascii="宋体" w:hAnsi="宋体" w:eastAsia="宋体" w:cs="宋体"/>
          <w:bCs/>
          <w:kern w:val="0"/>
          <w:sz w:val="24"/>
          <w:szCs w:val="24"/>
        </w:rPr>
        <w:t>不得泄露甲方学生个人信息、教学管理中成绩、学籍和财务等属于甲方管理的相关信息。</w:t>
      </w:r>
      <w:r>
        <w:rPr>
          <w:rFonts w:hint="eastAsia" w:ascii="宋体" w:hAnsi="宋体" w:eastAsia="宋体" w:cs="宋体"/>
          <w:bCs/>
          <w:kern w:val="0"/>
          <w:sz w:val="24"/>
          <w:szCs w:val="24"/>
          <w:lang w:val="zh-CN"/>
        </w:rPr>
        <w:t>必须对甲方提供的所有资料、数据、档案负有保密责任，乙方不得透露给任何第三方。</w:t>
      </w:r>
    </w:p>
    <w:p w14:paraId="05A782E7">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2.乙方须严格按照《中华人民共和国保守国家秘密法》、《中华人民共和国保守国家秘密法实施办法》、《计算机信息系统保密管理暂行规定》、《</w:t>
      </w:r>
      <w:r>
        <w:rPr>
          <w:rFonts w:hint="eastAsia" w:ascii="宋体" w:hAnsi="宋体" w:eastAsia="宋体" w:cs="宋体"/>
          <w:bCs/>
          <w:kern w:val="0"/>
          <w:sz w:val="24"/>
          <w:szCs w:val="24"/>
          <w:lang w:val="en-US" w:eastAsia="zh-CN"/>
        </w:rPr>
        <w:t>关于</w:t>
      </w:r>
      <w:r>
        <w:rPr>
          <w:rFonts w:hint="eastAsia" w:ascii="宋体" w:hAnsi="宋体" w:eastAsia="宋体" w:cs="宋体"/>
          <w:bCs/>
          <w:kern w:val="0"/>
          <w:sz w:val="24"/>
          <w:szCs w:val="24"/>
          <w:lang w:val="zh-CN"/>
        </w:rPr>
        <w:t>国家秘密载体保密管理的规定》等相关法律法规及管理文件的要求，对保密资料进行有效管理，做好安全保密工作。</w:t>
      </w:r>
    </w:p>
    <w:p w14:paraId="4E40F5B5">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3.乙方为保密资料的安全管理者。乙方不得将保密资料未经甲方授权用于其他用途；不得以商业目的使用该数据或者开发和生产其他产品；乙方可根据甲方需要对数据内容进行必要的修改和对数据格式进行转换，但未经许可，不得将修改、转换后的数据对外发布和提供；乙方不得将成果在计算机互联网上传输、登载。</w:t>
      </w:r>
    </w:p>
    <w:p w14:paraId="28E3AF72">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4.乙方按照甲方要求使用完成后应将资料删除销毁。本协议期满后乙方按要求协助甲方完成数据迁移。</w:t>
      </w:r>
    </w:p>
    <w:p w14:paraId="40DB379A">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zh-CN"/>
        </w:rPr>
        <w:t>5.</w:t>
      </w:r>
      <w:r>
        <w:rPr>
          <w:rFonts w:hint="eastAsia" w:ascii="宋体" w:hAnsi="宋体" w:eastAsia="宋体" w:cs="宋体"/>
          <w:bCs/>
          <w:kern w:val="0"/>
          <w:sz w:val="24"/>
          <w:szCs w:val="24"/>
        </w:rPr>
        <w:t>如</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因故意、过失导致</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方保密信息被透露、公开或为任何第三知晓或为第三方所利用，由此造成的损失应由</w:t>
      </w:r>
      <w:r>
        <w:rPr>
          <w:rFonts w:hint="eastAsia" w:ascii="宋体" w:hAnsi="宋体" w:cs="宋体"/>
          <w:bCs/>
          <w:kern w:val="0"/>
          <w:sz w:val="24"/>
          <w:szCs w:val="24"/>
          <w:lang w:val="en-US" w:eastAsia="zh-CN"/>
        </w:rPr>
        <w:t>乙方</w:t>
      </w:r>
      <w:r>
        <w:rPr>
          <w:rFonts w:hint="eastAsia" w:ascii="宋体" w:hAnsi="宋体" w:eastAsia="宋体" w:cs="宋体"/>
          <w:bCs/>
          <w:kern w:val="0"/>
          <w:sz w:val="24"/>
          <w:szCs w:val="24"/>
        </w:rPr>
        <w:t>全部承担。</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方保留追究</w:t>
      </w:r>
      <w:r>
        <w:rPr>
          <w:rFonts w:hint="eastAsia" w:ascii="宋体" w:hAnsi="宋体" w:cs="宋体"/>
          <w:bCs/>
          <w:kern w:val="0"/>
          <w:sz w:val="24"/>
          <w:szCs w:val="24"/>
          <w:lang w:val="en-US" w:eastAsia="zh-CN"/>
        </w:rPr>
        <w:t>乙</w:t>
      </w:r>
      <w:r>
        <w:rPr>
          <w:rFonts w:hint="eastAsia" w:ascii="宋体" w:hAnsi="宋体" w:eastAsia="宋体" w:cs="宋体"/>
          <w:bCs/>
          <w:kern w:val="0"/>
          <w:sz w:val="24"/>
          <w:szCs w:val="24"/>
        </w:rPr>
        <w:t>方法律责任的权利。</w:t>
      </w:r>
    </w:p>
    <w:p w14:paraId="79748C7F">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6</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应采取必要的有效措施保证其参与本项目</w:t>
      </w:r>
      <w:r>
        <w:rPr>
          <w:rFonts w:hint="eastAsia" w:ascii="宋体" w:hAnsi="宋体" w:cs="宋体"/>
          <w:bCs/>
          <w:kern w:val="0"/>
          <w:sz w:val="24"/>
          <w:szCs w:val="24"/>
          <w:lang w:val="en-US" w:eastAsia="zh-CN"/>
        </w:rPr>
        <w:t>的</w:t>
      </w:r>
      <w:r>
        <w:rPr>
          <w:rFonts w:hint="eastAsia" w:ascii="宋体" w:hAnsi="宋体" w:eastAsia="宋体" w:cs="宋体"/>
          <w:bCs/>
          <w:kern w:val="0"/>
          <w:sz w:val="24"/>
          <w:szCs w:val="24"/>
        </w:rPr>
        <w:t>雇员无论是在职中或离职后都能够履行本合同项下的保密义务，若</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员工违反本条规定，</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应承担连带责任，使</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得到充分有效的赔偿。</w:t>
      </w:r>
    </w:p>
    <w:p w14:paraId="32B71802">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7</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如果</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违反保密义务，</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有权立即终止合同并且要求</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支付不低于合同金额10%的违约金。上述违约金不足以弥补</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损失的，</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应当补偿</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的所有损失，包括（但不限于）：法院诉讼的费用、合理的律师酬金和费用、所有损失或损害等。</w:t>
      </w:r>
    </w:p>
    <w:p w14:paraId="2CB77DB0">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8</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p>
    <w:p w14:paraId="623BC539">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9</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保密期限自</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方书面通知</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保密义务终止，或保密信息已合法进入公知领域。</w:t>
      </w:r>
    </w:p>
    <w:p w14:paraId="36E19472">
      <w:pPr>
        <w:pStyle w:val="27"/>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bCs/>
          <w:kern w:val="0"/>
          <w:sz w:val="24"/>
          <w:szCs w:val="24"/>
        </w:rPr>
      </w:pPr>
    </w:p>
    <w:p w14:paraId="5D0E32B2">
      <w:pPr>
        <w:rPr>
          <w:rFonts w:hint="eastAsia" w:ascii="宋体" w:hAnsi="宋体" w:eastAsia="宋体" w:cs="宋体"/>
          <w:bCs/>
          <w:kern w:val="0"/>
          <w:sz w:val="24"/>
          <w:szCs w:val="24"/>
        </w:rPr>
      </w:pPr>
    </w:p>
    <w:p w14:paraId="1AEE0941">
      <w:pPr>
        <w:rPr>
          <w:rFonts w:hint="eastAsia" w:ascii="宋体" w:hAnsi="宋体" w:eastAsia="宋体" w:cs="宋体"/>
          <w:bCs/>
          <w:kern w:val="0"/>
          <w:sz w:val="24"/>
          <w:szCs w:val="24"/>
        </w:rPr>
      </w:pPr>
    </w:p>
    <w:p w14:paraId="79603E28">
      <w:pPr>
        <w:rPr>
          <w:rFonts w:hint="eastAsia" w:ascii="宋体" w:hAnsi="宋体" w:eastAsia="宋体" w:cs="宋体"/>
          <w:bCs/>
          <w:kern w:val="0"/>
          <w:sz w:val="24"/>
          <w:szCs w:val="24"/>
        </w:rPr>
      </w:pPr>
    </w:p>
    <w:p w14:paraId="375CF6F5">
      <w:pPr>
        <w:rPr>
          <w:rFonts w:hint="eastAsia" w:ascii="宋体" w:hAnsi="宋体" w:eastAsia="宋体" w:cs="宋体"/>
          <w:bCs/>
          <w:kern w:val="0"/>
          <w:sz w:val="24"/>
          <w:szCs w:val="24"/>
        </w:rPr>
      </w:pPr>
    </w:p>
    <w:p w14:paraId="4381A1F4">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甲方（盖章）：</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乙方（盖章）：</w:t>
      </w:r>
    </w:p>
    <w:p w14:paraId="04B0BC21">
      <w:pPr>
        <w:spacing w:line="360" w:lineRule="auto"/>
        <w:ind w:firstLine="480" w:firstLineChars="200"/>
        <w:jc w:val="left"/>
        <w:rPr>
          <w:rFonts w:hint="eastAsia" w:ascii="宋体" w:hAnsi="宋体"/>
          <w:kern w:val="0"/>
          <w:sz w:val="24"/>
          <w:szCs w:val="20"/>
          <w:shd w:val="clear" w:color="auto" w:fill="FFFFFF"/>
        </w:rPr>
      </w:pPr>
      <w:r>
        <w:rPr>
          <w:rFonts w:ascii="宋体" w:hAnsi="宋体"/>
          <w:kern w:val="0"/>
          <w:sz w:val="24"/>
          <w:szCs w:val="20"/>
          <w:shd w:val="clear" w:color="auto" w:fill="FFFFFF"/>
        </w:rPr>
        <w:t>法定代表人或委托代理人签字：</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法定代表人或委托代理人签字：</w:t>
      </w:r>
    </w:p>
    <w:p w14:paraId="6DCD4E2D">
      <w:pPr>
        <w:spacing w:line="360" w:lineRule="auto"/>
        <w:ind w:firstLine="480" w:firstLineChars="200"/>
        <w:jc w:val="left"/>
        <w:rPr>
          <w:rFonts w:ascii="宋体"/>
          <w:kern w:val="0"/>
          <w:sz w:val="24"/>
          <w:szCs w:val="20"/>
          <w:shd w:val="clear" w:color="auto" w:fill="FFFFFF"/>
        </w:rPr>
      </w:pPr>
      <w:r>
        <w:rPr>
          <w:rFonts w:hint="eastAsia" w:ascii="宋体"/>
          <w:kern w:val="0"/>
          <w:sz w:val="24"/>
          <w:szCs w:val="20"/>
          <w:shd w:val="clear" w:color="auto" w:fill="FFFFFF"/>
        </w:rPr>
        <w:t>日期： 年 月 日                     日期： 年 月 日</w:t>
      </w:r>
    </w:p>
    <w:p w14:paraId="467D7B18">
      <w:pPr>
        <w:spacing w:line="360" w:lineRule="auto"/>
        <w:ind w:firstLine="480" w:firstLineChars="200"/>
        <w:jc w:val="left"/>
        <w:rPr>
          <w:rFonts w:ascii="宋体"/>
          <w:kern w:val="0"/>
          <w:sz w:val="24"/>
          <w:szCs w:val="20"/>
          <w:shd w:val="clear" w:color="auto" w:fill="FFFFFF"/>
        </w:rPr>
      </w:pPr>
    </w:p>
    <w:p w14:paraId="627AADEE">
      <w:pPr>
        <w:spacing w:line="460" w:lineRule="exact"/>
        <w:rPr>
          <w:rFonts w:hint="eastAsia" w:ascii="宋体" w:hAnsi="宋体" w:eastAsia="宋体" w:cs="宋体"/>
          <w:sz w:val="24"/>
          <w:highlight w:val="yellow"/>
        </w:rPr>
      </w:pPr>
    </w:p>
    <w:p w14:paraId="2EEBA267">
      <w:pPr>
        <w:snapToGrid w:val="0"/>
        <w:spacing w:line="360" w:lineRule="auto"/>
        <w:ind w:firstLine="480" w:firstLineChars="200"/>
        <w:rPr>
          <w:rFonts w:hint="eastAsia" w:ascii="宋体" w:hAnsi="宋体" w:eastAsia="宋体" w:cs="宋体"/>
          <w:b/>
          <w:sz w:val="24"/>
        </w:rPr>
      </w:pPr>
    </w:p>
    <w:p w14:paraId="78537126">
      <w:pPr>
        <w:topLinePunct/>
        <w:snapToGrid w:val="0"/>
        <w:spacing w:line="360" w:lineRule="auto"/>
        <w:ind w:firstLine="55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28"/>
          <w:szCs w:val="28"/>
        </w:rPr>
        <w:br w:type="page"/>
      </w:r>
      <w:r>
        <w:rPr>
          <w:rStyle w:val="122"/>
          <w:rFonts w:hint="eastAsia" w:ascii="宋体" w:hAnsi="宋体" w:eastAsia="宋体" w:cs="宋体"/>
          <w:bCs/>
          <w:color w:val="000000"/>
          <w:sz w:val="32"/>
          <w:szCs w:val="32"/>
        </w:rPr>
        <w:t>第六章  质疑提出和处理</w:t>
      </w:r>
    </w:p>
    <w:p w14:paraId="0B3A43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提出质疑的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依法获取其可质疑的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文件的，可以对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w:t>
      </w:r>
    </w:p>
    <w:p w14:paraId="554CDAED">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二、投标人</w:t>
      </w:r>
      <w:r>
        <w:rPr>
          <w:rFonts w:hint="eastAsia" w:ascii="宋体" w:hAnsi="宋体" w:eastAsia="宋体" w:cs="宋体"/>
          <w:color w:val="000000" w:themeColor="text1"/>
          <w:sz w:val="24"/>
          <w:szCs w:val="24"/>
          <w14:textFill>
            <w14:solidFill>
              <w14:schemeClr w14:val="tx1"/>
            </w14:solidFill>
          </w14:textFill>
        </w:rPr>
        <w:t>认为</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过程和</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人提出质疑。上述应知其权益受到损害之日，是指：</w:t>
      </w:r>
    </w:p>
    <w:p w14:paraId="00778B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对可以质疑的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文件提出质疑的，为收到</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文件之日或者</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文件公告期限届满之日；</w:t>
      </w:r>
    </w:p>
    <w:p w14:paraId="052783E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过程提出质疑的，为各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程序环节结束之日；</w:t>
      </w:r>
    </w:p>
    <w:p w14:paraId="57FB1B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结果提出质疑的，为</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结果公告期限届满之日。</w:t>
      </w:r>
    </w:p>
    <w:p w14:paraId="574B2A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应当在</w:t>
      </w:r>
      <w:r>
        <w:rPr>
          <w:rFonts w:hint="eastAsia" w:ascii="宋体" w:hAnsi="宋体" w:eastAsia="宋体" w:cs="宋体"/>
          <w:color w:val="000000" w:themeColor="text1"/>
          <w:sz w:val="24"/>
          <w:szCs w:val="24"/>
          <w:lang w:val="en-US" w:eastAsia="zh-CN"/>
          <w14:textFill>
            <w14:solidFill>
              <w14:schemeClr w14:val="tx1"/>
            </w14:solidFill>
          </w14:textFill>
        </w:rPr>
        <w:t>规定</w:t>
      </w:r>
      <w:r>
        <w:rPr>
          <w:rFonts w:hint="eastAsia" w:ascii="宋体" w:hAnsi="宋体" w:eastAsia="宋体" w:cs="宋体"/>
          <w:color w:val="000000" w:themeColor="text1"/>
          <w:sz w:val="24"/>
          <w:szCs w:val="24"/>
          <w14:textFill>
            <w14:solidFill>
              <w14:schemeClr w14:val="tx1"/>
            </w14:solidFill>
          </w14:textFill>
        </w:rPr>
        <w:t>质疑期内一次性提出针对同一</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程序环节的质疑。</w:t>
      </w:r>
    </w:p>
    <w:p w14:paraId="799F46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质疑函必须按照本</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如组成联合体参加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活动，则《质疑函范本》中要求签字、盖章、加盖公章之处，联合体各方均须按要求签字、盖章、加盖公章。</w:t>
      </w:r>
    </w:p>
    <w:p w14:paraId="6E713F8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文件中项目需求、</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人答复的质疑，请向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人负责答复。</w:t>
      </w:r>
    </w:p>
    <w:p w14:paraId="099FE07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人质疑接收人及联系方式，见</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文件第一章。</w:t>
      </w:r>
    </w:p>
    <w:p w14:paraId="5572D96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以下情形的质疑不予受理</w:t>
      </w:r>
    </w:p>
    <w:p w14:paraId="320BD3C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内容不符合《政府采购质疑和投诉办法》财政部第94号令第十二条规定的质疑。</w:t>
      </w:r>
    </w:p>
    <w:p w14:paraId="0AC982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超出</w:t>
      </w:r>
      <w:r>
        <w:rPr>
          <w:rFonts w:hint="eastAsia" w:ascii="宋体" w:hAnsi="宋体" w:eastAsia="宋体" w:cs="宋体"/>
          <w:color w:val="000000" w:themeColor="text1"/>
          <w:sz w:val="24"/>
          <w:szCs w:val="24"/>
          <w:lang w:val="en-US" w:eastAsia="zh-CN"/>
          <w14:textFill>
            <w14:solidFill>
              <w14:schemeClr w14:val="tx1"/>
            </w14:solidFill>
          </w14:textFill>
        </w:rPr>
        <w:t>招标文件规定</w:t>
      </w:r>
      <w:r>
        <w:rPr>
          <w:rFonts w:hint="eastAsia" w:ascii="宋体" w:hAnsi="宋体" w:eastAsia="宋体" w:cs="宋体"/>
          <w:color w:val="000000" w:themeColor="text1"/>
          <w:sz w:val="24"/>
          <w:szCs w:val="24"/>
          <w14:textFill>
            <w14:solidFill>
              <w14:schemeClr w14:val="tx1"/>
            </w14:solidFill>
          </w14:textFill>
        </w:rPr>
        <w:t>期限的质疑。</w:t>
      </w:r>
    </w:p>
    <w:p w14:paraId="6F9845C5">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w:t>
      </w:r>
    </w:p>
    <w:p w14:paraId="3FB97E31">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4.投标人</w:t>
      </w:r>
      <w:r>
        <w:rPr>
          <w:rFonts w:hint="eastAsia" w:ascii="宋体" w:hAnsi="宋体" w:eastAsia="宋体" w:cs="宋体"/>
          <w:color w:val="000000" w:themeColor="text1"/>
          <w:sz w:val="24"/>
          <w:szCs w:val="24"/>
          <w14:textFill>
            <w14:solidFill>
              <w14:schemeClr w14:val="tx1"/>
            </w14:solidFill>
          </w14:textFill>
        </w:rPr>
        <w:t>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活动，联合体中任何一方或多方未按要求签字、盖章、加盖公章的质疑。</w:t>
      </w:r>
    </w:p>
    <w:p w14:paraId="4A2AFFB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六、投标人</w:t>
      </w:r>
      <w:r>
        <w:rPr>
          <w:rFonts w:hint="eastAsia" w:ascii="宋体" w:hAnsi="宋体" w:eastAsia="宋体" w:cs="宋体"/>
          <w:color w:val="000000" w:themeColor="text1"/>
          <w:sz w:val="24"/>
          <w:szCs w:val="24"/>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人有权依据有关规定，报请</w:t>
      </w:r>
      <w:r>
        <w:rPr>
          <w:rFonts w:hint="eastAsia" w:ascii="宋体" w:hAnsi="宋体" w:eastAsia="宋体" w:cs="宋体"/>
          <w:color w:val="000000" w:themeColor="text1"/>
          <w:sz w:val="24"/>
          <w:szCs w:val="24"/>
          <w:lang w:val="en-US" w:eastAsia="zh-CN"/>
          <w14:textFill>
            <w14:solidFill>
              <w14:schemeClr w14:val="tx1"/>
            </w14:solidFill>
          </w14:textFill>
        </w:rPr>
        <w:t>有关</w:t>
      </w:r>
      <w:r>
        <w:rPr>
          <w:rFonts w:hint="eastAsia" w:ascii="宋体" w:hAnsi="宋体" w:eastAsia="宋体" w:cs="宋体"/>
          <w:color w:val="000000" w:themeColor="text1"/>
          <w:sz w:val="24"/>
          <w:szCs w:val="24"/>
          <w14:textFill>
            <w14:solidFill>
              <w14:schemeClr w14:val="tx1"/>
            </w14:solidFill>
          </w14:textFill>
        </w:rPr>
        <w:t>部门记录该供应商的失信信息。</w:t>
      </w:r>
    </w:p>
    <w:p w14:paraId="6EA19248">
      <w:pPr>
        <w:spacing w:after="1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Cs w:val="21"/>
          <w14:textFill>
            <w14:solidFill>
              <w14:schemeClr w14:val="tx1"/>
            </w14:solidFill>
          </w14:textFill>
        </w:rPr>
        <w:t>附件：</w:t>
      </w:r>
    </w:p>
    <w:p w14:paraId="4775BCD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质疑函范本</w:t>
      </w:r>
    </w:p>
    <w:p w14:paraId="0ADA07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一、质疑供应商基本信息</w:t>
      </w:r>
    </w:p>
    <w:p w14:paraId="696933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质疑供应商：</w:t>
      </w:r>
    </w:p>
    <w:p w14:paraId="03E24B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B7BD82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联系人：联系电话：</w:t>
      </w:r>
    </w:p>
    <w:p w14:paraId="791FE4E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授权代表：</w:t>
      </w:r>
    </w:p>
    <w:p w14:paraId="579E17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66FDA3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2B6CC2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二、质疑项目基本情况</w:t>
      </w:r>
    </w:p>
    <w:p w14:paraId="0675BE1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质疑项目的名称：</w:t>
      </w:r>
    </w:p>
    <w:p w14:paraId="6E0B59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质疑项目的编号：包号：</w:t>
      </w:r>
    </w:p>
    <w:p w14:paraId="4466B4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采购人名称：</w:t>
      </w:r>
    </w:p>
    <w:p w14:paraId="3315728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采购文件获取日期：</w:t>
      </w:r>
    </w:p>
    <w:p w14:paraId="58D81DF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三、质疑事项具体内容</w:t>
      </w:r>
    </w:p>
    <w:p w14:paraId="760203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质疑事项1：</w:t>
      </w:r>
    </w:p>
    <w:p w14:paraId="46422C3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事实依据：</w:t>
      </w:r>
    </w:p>
    <w:p w14:paraId="73A664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p>
    <w:p w14:paraId="5169DF9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法律依据：</w:t>
      </w:r>
    </w:p>
    <w:p w14:paraId="65B33E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p>
    <w:p w14:paraId="287B53F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1E51337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C3095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四、与质疑事项相关的质疑请求</w:t>
      </w:r>
    </w:p>
    <w:p w14:paraId="5EEDDD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请求：</w:t>
      </w:r>
    </w:p>
    <w:p w14:paraId="6646816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签字(签章)：公章：</w:t>
      </w:r>
    </w:p>
    <w:p w14:paraId="39DE6C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14:paraId="2504039A">
      <w:pPr>
        <w:spacing w:line="360" w:lineRule="auto"/>
        <w:rPr>
          <w:rFonts w:hint="eastAsia" w:ascii="宋体" w:hAnsi="宋体" w:eastAsia="宋体" w:cs="宋体"/>
          <w:color w:val="000000" w:themeColor="text1"/>
          <w:sz w:val="24"/>
          <w:szCs w:val="24"/>
          <w14:textFill>
            <w14:solidFill>
              <w14:schemeClr w14:val="tx1"/>
            </w14:solidFill>
          </w14:textFill>
        </w:rPr>
      </w:pPr>
    </w:p>
    <w:p w14:paraId="260AFB32">
      <w:pPr>
        <w:rPr>
          <w:rFonts w:hint="eastAsia" w:ascii="宋体" w:hAnsi="宋体" w:eastAsia="宋体" w:cs="宋体"/>
          <w:b/>
          <w:color w:val="000000" w:themeColor="text1"/>
          <w:sz w:val="24"/>
          <w:szCs w:val="24"/>
          <w14:textFill>
            <w14:solidFill>
              <w14:schemeClr w14:val="tx1"/>
            </w14:solidFill>
          </w14:textFill>
        </w:rPr>
      </w:pPr>
    </w:p>
    <w:p w14:paraId="32C5C1B0">
      <w:pPr>
        <w:widowControl/>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质疑函制作说明：</w:t>
      </w:r>
    </w:p>
    <w:p w14:paraId="67A44192">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提出质疑时，应提交质疑函和必要的证明材料。</w:t>
      </w:r>
    </w:p>
    <w:p w14:paraId="23746691">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签署的授权委托书。授权委托书应载明代理人的姓名或者名称、代理事项、具体权限、期限和相关事项。</w:t>
      </w:r>
    </w:p>
    <w:p w14:paraId="438F8B1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若对项目的某一分包进行质疑，质疑函中应列明具体分包号。</w:t>
      </w:r>
    </w:p>
    <w:p w14:paraId="74D6BC1A">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6CFB22BC">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797078B6">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为自然人的，质疑函应由本人签字；质疑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为法人或者其他组织的，质疑函应由法定代表人、主要负责人，或者其授权代表签字或者盖章，并加盖公章。</w:t>
      </w:r>
    </w:p>
    <w:p w14:paraId="55D0BB26">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766454D8">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第七章  投标文件组成</w:t>
      </w:r>
    </w:p>
    <w:p w14:paraId="6DA5545F">
      <w:pPr>
        <w:snapToGrid w:val="0"/>
        <w:spacing w:line="360" w:lineRule="auto"/>
        <w:ind w:firstLine="470" w:firstLineChars="196"/>
        <w:rPr>
          <w:rFonts w:hint="eastAsia" w:ascii="宋体" w:hAnsi="宋体" w:eastAsia="宋体" w:cs="宋体"/>
          <w:b/>
          <w:color w:val="000000"/>
          <w:sz w:val="24"/>
        </w:rPr>
      </w:pPr>
      <w:r>
        <w:rPr>
          <w:rFonts w:hint="eastAsia" w:ascii="宋体" w:hAnsi="宋体" w:eastAsia="宋体" w:cs="宋体"/>
          <w:b/>
          <w:color w:val="000000"/>
          <w:sz w:val="24"/>
          <w:u w:val="single"/>
        </w:rPr>
        <w:t>投标文件由</w:t>
      </w:r>
      <w:r>
        <w:rPr>
          <w:rFonts w:hint="eastAsia" w:ascii="宋体" w:hAnsi="宋体" w:eastAsia="宋体" w:cs="宋体"/>
          <w:b/>
          <w:color w:val="000000"/>
          <w:sz w:val="24"/>
          <w:u w:val="single"/>
          <w:lang w:eastAsia="zh-CN"/>
        </w:rPr>
        <w:t>资格审查文件</w:t>
      </w:r>
      <w:r>
        <w:rPr>
          <w:rFonts w:hint="eastAsia" w:ascii="宋体" w:hAnsi="宋体" w:eastAsia="宋体" w:cs="宋体"/>
          <w:b/>
          <w:color w:val="000000"/>
          <w:sz w:val="24"/>
          <w:u w:val="single"/>
        </w:rPr>
        <w:t>、商务技术标、价格标</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电子投标文件四</w:t>
      </w:r>
      <w:r>
        <w:rPr>
          <w:rFonts w:hint="eastAsia" w:ascii="宋体" w:hAnsi="宋体" w:eastAsia="宋体" w:cs="宋体"/>
          <w:b/>
          <w:color w:val="000000"/>
          <w:sz w:val="24"/>
          <w:u w:val="single"/>
        </w:rPr>
        <w:t>部分组成。</w:t>
      </w:r>
      <w:r>
        <w:rPr>
          <w:rFonts w:hint="eastAsia" w:ascii="宋体" w:hAnsi="宋体" w:eastAsia="宋体" w:cs="宋体"/>
          <w:b/>
          <w:color w:val="000000"/>
          <w:sz w:val="24"/>
        </w:rPr>
        <w:t>本次招标采用资格后审方式，投标人须将资格</w:t>
      </w:r>
      <w:r>
        <w:rPr>
          <w:rFonts w:hint="eastAsia" w:ascii="宋体" w:hAnsi="宋体" w:eastAsia="宋体" w:cs="宋体"/>
          <w:b/>
          <w:color w:val="000000"/>
          <w:sz w:val="24"/>
          <w:lang w:val="en-US" w:eastAsia="zh-CN"/>
        </w:rPr>
        <w:t>审查文件</w:t>
      </w:r>
      <w:r>
        <w:rPr>
          <w:rFonts w:hint="eastAsia" w:ascii="宋体" w:hAnsi="宋体" w:eastAsia="宋体" w:cs="宋体"/>
          <w:b/>
          <w:color w:val="000000"/>
          <w:sz w:val="24"/>
        </w:rPr>
        <w:t>作为投标文件组成部分，按要求装订密封后一起递交。</w:t>
      </w:r>
    </w:p>
    <w:p w14:paraId="19FF8189">
      <w:pPr>
        <w:snapToGrid w:val="0"/>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b/>
          <w:color w:val="000000"/>
          <w:sz w:val="24"/>
        </w:rPr>
        <w:t>一、资格审查文件（单独密封，不能出现报价响应文件的内容）</w:t>
      </w:r>
    </w:p>
    <w:p w14:paraId="1D55CABE">
      <w:pPr>
        <w:adjustRightInd w:val="0"/>
        <w:snapToGrid w:val="0"/>
        <w:spacing w:line="360" w:lineRule="auto"/>
        <w:ind w:firstLine="480" w:firstLineChars="200"/>
        <w:rPr>
          <w:rFonts w:hint="eastAsia" w:ascii="宋体" w:hAnsi="宋体"/>
          <w:sz w:val="24"/>
          <w:szCs w:val="24"/>
        </w:rPr>
      </w:pPr>
      <w:r>
        <w:rPr>
          <w:rFonts w:hint="eastAsia" w:ascii="宋体" w:hAnsi="宋体" w:eastAsia="宋体" w:cs="宋体"/>
          <w:color w:val="000000" w:themeColor="text1"/>
          <w:kern w:val="2"/>
          <w:sz w:val="24"/>
          <w:szCs w:val="24"/>
          <w14:textFill>
            <w14:solidFill>
              <w14:schemeClr w14:val="tx1"/>
            </w14:solidFill>
          </w14:textFill>
        </w:rPr>
        <w:t>1</w:t>
      </w: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sz w:val="24"/>
          <w:szCs w:val="24"/>
          <w:lang w:val="zh-CN"/>
        </w:rPr>
        <w:t>具有独立承担民事责任的能力；</w:t>
      </w:r>
      <w:r>
        <w:rPr>
          <w:rFonts w:hint="eastAsia" w:ascii="宋体" w:hAnsi="宋体"/>
          <w:sz w:val="24"/>
          <w:szCs w:val="24"/>
        </w:rPr>
        <w:t>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w:t>
      </w:r>
      <w:r>
        <w:rPr>
          <w:rFonts w:hint="eastAsia" w:ascii="宋体" w:hAnsi="宋体"/>
          <w:sz w:val="24"/>
          <w:szCs w:val="24"/>
        </w:rPr>
        <w:t>（</w:t>
      </w:r>
      <w:r>
        <w:rPr>
          <w:rFonts w:ascii="宋体" w:hAnsi="宋体"/>
          <w:sz w:val="24"/>
          <w:szCs w:val="24"/>
          <w:lang w:val="zh-CN"/>
        </w:rPr>
        <w:t>格式见附件</w:t>
      </w:r>
      <w:r>
        <w:rPr>
          <w:rFonts w:hint="eastAsia" w:ascii="宋体" w:hAnsi="宋体"/>
          <w:sz w:val="24"/>
          <w:szCs w:val="24"/>
        </w:rPr>
        <w:t>）</w:t>
      </w:r>
    </w:p>
    <w:p w14:paraId="74DFB0DB">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提供法人或者其他组织的营业执照等证明文件</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加盖供应商公章）</w:t>
      </w:r>
    </w:p>
    <w:p w14:paraId="39EBD6D1">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rPr>
        <w:t>3</w:t>
      </w:r>
      <w:r>
        <w:rPr>
          <w:rFonts w:hint="eastAsia" w:ascii="宋体" w:hAnsi="宋体"/>
          <w:sz w:val="24"/>
          <w:szCs w:val="24"/>
          <w:lang w:val="en-US" w:eastAsia="zh-CN"/>
        </w:rPr>
        <w:t>.</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7257AB67">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cs="Times New Roman"/>
          <w:sz w:val="24"/>
          <w:szCs w:val="24"/>
          <w:lang w:val="en-US" w:eastAsia="zh-CN"/>
        </w:rPr>
        <w:t>.投标人</w:t>
      </w:r>
      <w:r>
        <w:rPr>
          <w:rFonts w:hint="eastAsia" w:ascii="宋体" w:hAnsi="宋体" w:eastAsia="宋体" w:cs="Times New Roman"/>
          <w:sz w:val="24"/>
          <w:szCs w:val="24"/>
        </w:rPr>
        <w:t>须提供《</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信用承诺书》；（格式见附件）</w:t>
      </w:r>
    </w:p>
    <w:p w14:paraId="077D5CC2">
      <w:pPr>
        <w:snapToGrid w:val="0"/>
        <w:spacing w:line="360" w:lineRule="auto"/>
        <w:ind w:firstLine="480" w:firstLineChars="200"/>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4B2FF58C">
      <w:pPr>
        <w:snapToGrid w:val="0"/>
        <w:spacing w:line="360" w:lineRule="auto"/>
        <w:ind w:firstLine="480" w:firstLineChars="200"/>
        <w:jc w:val="left"/>
        <w:rPr>
          <w:rFonts w:hint="eastAsia" w:ascii="宋体" w:hAnsi="宋体" w:eastAsia="宋体" w:cs="宋体"/>
          <w:b/>
          <w:sz w:val="24"/>
        </w:rPr>
      </w:pPr>
      <w:r>
        <w:rPr>
          <w:rFonts w:hint="eastAsia" w:ascii="宋体" w:hAnsi="宋体" w:eastAsia="宋体" w:cs="宋体"/>
          <w:b/>
          <w:color w:val="000000"/>
          <w:sz w:val="24"/>
        </w:rPr>
        <w:t>二、商务技术</w:t>
      </w:r>
      <w:r>
        <w:rPr>
          <w:rFonts w:hint="eastAsia" w:ascii="宋体" w:hAnsi="宋体" w:eastAsia="宋体" w:cs="宋体"/>
          <w:b/>
          <w:sz w:val="24"/>
        </w:rPr>
        <w:t>标（单独密封，不能出现报价响应文件的内容）</w:t>
      </w:r>
    </w:p>
    <w:p w14:paraId="1C7BD70F">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71F25F7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1.商务技术评分标准中</w:t>
      </w:r>
      <w:r>
        <w:rPr>
          <w:rFonts w:hint="eastAsia" w:ascii="宋体" w:hAnsi="宋体" w:cs="宋体"/>
          <w:bCs/>
          <w:color w:val="000000" w:themeColor="text1"/>
          <w:sz w:val="24"/>
          <w:szCs w:val="24"/>
          <w:lang w:val="zh-CN"/>
          <w14:textFill>
            <w14:solidFill>
              <w14:schemeClr w14:val="tx1"/>
            </w14:solidFill>
          </w14:textFill>
        </w:rPr>
        <w:t>需</w:t>
      </w:r>
      <w:r>
        <w:rPr>
          <w:rFonts w:hint="eastAsia" w:ascii="宋体" w:hAnsi="宋体" w:eastAsia="宋体" w:cs="宋体"/>
          <w:bCs/>
          <w:color w:val="000000" w:themeColor="text1"/>
          <w:sz w:val="24"/>
          <w:szCs w:val="24"/>
          <w:lang w:val="zh-CN"/>
          <w14:textFill>
            <w14:solidFill>
              <w14:schemeClr w14:val="tx1"/>
            </w14:solidFill>
          </w14:textFill>
        </w:rPr>
        <w:t>提供的相关得分佐证材料；</w:t>
      </w:r>
    </w:p>
    <w:p w14:paraId="07FFDF9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2.技术部分偏离表（格式见附件）；</w:t>
      </w:r>
    </w:p>
    <w:p w14:paraId="3F77E06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3.商务部分偏离表（格式见附件）；</w:t>
      </w:r>
    </w:p>
    <w:p w14:paraId="772B4CCE">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4.实质性响应条款需提供的材料；</w:t>
      </w:r>
    </w:p>
    <w:p w14:paraId="26B367DD">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zh-CN" w:eastAsia="zh-CN"/>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投标人认为需要提交的其他商务技术材料。</w:t>
      </w:r>
    </w:p>
    <w:p w14:paraId="6C3F2804">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特别提醒：“</w:t>
      </w:r>
      <w:r>
        <w:rPr>
          <w:rFonts w:hint="eastAsia" w:ascii="宋体" w:hAnsi="宋体" w:eastAsia="宋体" w:cs="宋体"/>
          <w:b/>
          <w:sz w:val="24"/>
          <w:lang w:eastAsia="zh-CN"/>
        </w:rPr>
        <w:t>资格审查文件</w:t>
      </w:r>
      <w:r>
        <w:rPr>
          <w:rFonts w:hint="eastAsia" w:ascii="宋体" w:hAnsi="宋体" w:eastAsia="宋体" w:cs="宋体"/>
          <w:b/>
          <w:sz w:val="24"/>
        </w:rPr>
        <w:t>”“商务技术标”所须提供的材料（须加盖公章）按招标文件要求装订，密封，递交。</w:t>
      </w:r>
    </w:p>
    <w:p w14:paraId="38A0BB43">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三、价格标（单独装订密封）</w:t>
      </w:r>
    </w:p>
    <w:p w14:paraId="6D79FEE0">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开标一览表（</w:t>
      </w:r>
      <w:r>
        <w:rPr>
          <w:rFonts w:hint="eastAsia" w:ascii="宋体" w:hAnsi="宋体" w:eastAsia="宋体" w:cs="宋体"/>
          <w:color w:val="000000"/>
          <w:sz w:val="24"/>
          <w:lang w:val="en-US" w:eastAsia="zh-CN"/>
        </w:rPr>
        <w:t>格式见附件</w:t>
      </w:r>
      <w:r>
        <w:rPr>
          <w:rFonts w:hint="eastAsia" w:ascii="宋体" w:hAnsi="宋体" w:eastAsia="宋体" w:cs="宋体"/>
          <w:color w:val="000000"/>
          <w:sz w:val="24"/>
        </w:rPr>
        <w:t>）；</w:t>
      </w:r>
    </w:p>
    <w:p w14:paraId="44BB4958">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b/>
          <w:sz w:val="24"/>
          <w:lang w:val="en-US" w:eastAsia="zh-CN"/>
        </w:rPr>
        <w:t>四</w:t>
      </w:r>
      <w:r>
        <w:rPr>
          <w:rFonts w:hint="eastAsia" w:ascii="宋体" w:hAnsi="宋体" w:eastAsia="宋体" w:cs="宋体"/>
          <w:b/>
          <w:sz w:val="24"/>
        </w:rPr>
        <w:t>、</w:t>
      </w:r>
      <w:r>
        <w:rPr>
          <w:rFonts w:hint="eastAsia" w:ascii="宋体" w:hAnsi="宋体" w:eastAsia="宋体" w:cs="宋体"/>
          <w:b/>
          <w:sz w:val="24"/>
          <w:lang w:val="en-US" w:eastAsia="zh-CN"/>
        </w:rPr>
        <w:t>电子</w:t>
      </w:r>
      <w:r>
        <w:rPr>
          <w:rFonts w:hint="eastAsia" w:ascii="宋体" w:hAnsi="宋体" w:cs="宋体"/>
          <w:b/>
          <w:sz w:val="24"/>
          <w:lang w:val="en-US" w:eastAsia="zh-CN"/>
        </w:rPr>
        <w:t>投标</w:t>
      </w:r>
      <w:r>
        <w:rPr>
          <w:rFonts w:hint="eastAsia" w:ascii="宋体" w:hAnsi="宋体" w:eastAsia="宋体" w:cs="宋体"/>
          <w:b/>
          <w:sz w:val="24"/>
          <w:lang w:val="en-US" w:eastAsia="zh-CN"/>
        </w:rPr>
        <w:t>文件</w:t>
      </w:r>
      <w:r>
        <w:rPr>
          <w:rFonts w:hint="eastAsia" w:ascii="宋体" w:hAnsi="宋体" w:eastAsia="宋体" w:cs="宋体"/>
          <w:b/>
          <w:sz w:val="24"/>
        </w:rPr>
        <w:t>（单独装订密封）</w:t>
      </w:r>
    </w:p>
    <w:p w14:paraId="435AA759">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电子投标文件的内容为资格审查文件、商务技术标、价格标打印盖章后的投标文件的扫描件（资格审查文件、商务技术标、价格标需分别逐页连续扫描为三个独立的PDF文件）以及演示文件。</w:t>
      </w:r>
    </w:p>
    <w:p w14:paraId="51A6F6D7">
      <w:pPr>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br w:type="page"/>
      </w:r>
    </w:p>
    <w:p w14:paraId="01480576">
      <w:pPr>
        <w:adjustRightInd w:val="0"/>
        <w:snapToGrid w:val="0"/>
        <w:spacing w:line="420" w:lineRule="exact"/>
        <w:jc w:val="left"/>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color w:val="000000" w:themeColor="text1"/>
          <w:sz w:val="32"/>
          <w:szCs w:val="32"/>
          <w:lang w:val="zh-CN"/>
          <w14:textFill>
            <w14:solidFill>
              <w14:schemeClr w14:val="tx1"/>
            </w14:solidFill>
          </w14:textFill>
        </w:rPr>
        <w:t>附件</w:t>
      </w:r>
    </w:p>
    <w:p w14:paraId="09B7D0A4">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p>
    <w:p w14:paraId="00BA0D59">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t>（封面）</w:t>
      </w:r>
    </w:p>
    <w:p w14:paraId="7C9ED23D">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73F4763A">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3B38F793">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lang w:eastAsia="zh-CN"/>
          <w14:textFill>
            <w14:solidFill>
              <w14:schemeClr w14:val="tx1"/>
            </w14:solidFill>
          </w14:textFill>
        </w:rPr>
        <w:t>南通职业大学高等学历继续教育管理平台服务采购项目</w:t>
      </w:r>
    </w:p>
    <w:p w14:paraId="3DD189EA">
      <w:pPr>
        <w:spacing w:line="360" w:lineRule="auto"/>
        <w:jc w:val="center"/>
        <w:rPr>
          <w:rFonts w:hint="eastAsia" w:ascii="宋体" w:hAnsi="宋体" w:eastAsia="宋体" w:cs="宋体"/>
          <w:b/>
          <w:bCs/>
          <w:color w:val="000000" w:themeColor="text1"/>
          <w:kern w:val="2"/>
          <w:sz w:val="32"/>
          <w:szCs w:val="32"/>
          <w14:textFill>
            <w14:solidFill>
              <w14:schemeClr w14:val="tx1"/>
            </w14:solidFill>
          </w14:textFill>
        </w:rPr>
      </w:pPr>
    </w:p>
    <w:p w14:paraId="137E83BE">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14:textFill>
            <w14:solidFill>
              <w14:schemeClr w14:val="tx1"/>
            </w14:solidFill>
          </w14:textFill>
        </w:rPr>
        <w:t>项目编号：</w:t>
      </w:r>
      <w:r>
        <w:rPr>
          <w:rFonts w:hint="eastAsia" w:ascii="宋体" w:hAnsi="宋体" w:eastAsia="宋体" w:cs="宋体"/>
          <w:b/>
          <w:bCs/>
          <w:color w:val="000000" w:themeColor="text1"/>
          <w:kern w:val="2"/>
          <w:sz w:val="32"/>
          <w:szCs w:val="32"/>
          <w:lang w:eastAsia="zh-CN"/>
          <w14:textFill>
            <w14:solidFill>
              <w14:schemeClr w14:val="tx1"/>
            </w14:solidFill>
          </w14:textFill>
        </w:rPr>
        <w:t>FW20260003</w:t>
      </w:r>
    </w:p>
    <w:p w14:paraId="7790D27B">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09E7BD4F">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1A5646A9">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r>
        <w:rPr>
          <w:rFonts w:hint="eastAsia" w:ascii="宋体" w:hAnsi="宋体" w:eastAsia="宋体" w:cs="宋体"/>
          <w:b/>
          <w:bCs/>
          <w:color w:val="000000" w:themeColor="text1"/>
          <w:kern w:val="2"/>
          <w:sz w:val="36"/>
          <w:szCs w:val="36"/>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14:textFill>
            <w14:solidFill>
              <w14:schemeClr w14:val="tx1"/>
            </w14:solidFill>
          </w14:textFill>
        </w:rPr>
        <w:t>文件</w:t>
      </w:r>
    </w:p>
    <w:p w14:paraId="7AE17564">
      <w:pPr>
        <w:spacing w:line="520" w:lineRule="exact"/>
        <w:jc w:val="center"/>
        <w:rPr>
          <w:rFonts w:hint="eastAsia" w:ascii="宋体" w:hAnsi="宋体" w:eastAsia="宋体" w:cs="宋体"/>
          <w:color w:val="000000" w:themeColor="text1"/>
          <w:kern w:val="2"/>
          <w:sz w:val="36"/>
          <w:szCs w:val="36"/>
          <w14:textFill>
            <w14:solidFill>
              <w14:schemeClr w14:val="tx1"/>
            </w14:solidFill>
          </w14:textFill>
        </w:rPr>
      </w:pPr>
    </w:p>
    <w:p w14:paraId="0FE2F6AD">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对应</w:t>
      </w:r>
      <w:r>
        <w:rPr>
          <w:rFonts w:hint="eastAsia" w:ascii="宋体" w:hAnsi="宋体" w:eastAsia="宋体" w:cs="宋体"/>
          <w:color w:val="000000" w:themeColor="text1"/>
          <w:kern w:val="2"/>
          <w:sz w:val="28"/>
          <w:szCs w:val="28"/>
          <w:lang w:val="en-US" w:eastAsia="zh-CN"/>
          <w14:textFill>
            <w14:solidFill>
              <w14:schemeClr w14:val="tx1"/>
            </w14:solidFill>
          </w14:textFill>
        </w:rPr>
        <w:t>招标</w:t>
      </w:r>
      <w:r>
        <w:rPr>
          <w:rFonts w:hint="eastAsia" w:ascii="宋体" w:hAnsi="宋体" w:eastAsia="宋体" w:cs="宋体"/>
          <w:color w:val="000000" w:themeColor="text1"/>
          <w:kern w:val="2"/>
          <w:sz w:val="28"/>
          <w:szCs w:val="28"/>
          <w14:textFill>
            <w14:solidFill>
              <w14:schemeClr w14:val="tx1"/>
            </w14:solidFill>
          </w14:textFill>
        </w:rPr>
        <w:t>文件，相应填写：</w:t>
      </w:r>
    </w:p>
    <w:p w14:paraId="36617FC7">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资格审查文件</w:t>
      </w:r>
    </w:p>
    <w:p w14:paraId="556FD846">
      <w:pPr>
        <w:spacing w:line="360" w:lineRule="auto"/>
        <w:jc w:val="center"/>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商务技术</w:t>
      </w:r>
      <w:r>
        <w:rPr>
          <w:rFonts w:hint="eastAsia" w:ascii="宋体" w:hAnsi="宋体" w:eastAsia="宋体" w:cs="宋体"/>
          <w:color w:val="000000" w:themeColor="text1"/>
          <w:kern w:val="2"/>
          <w:sz w:val="28"/>
          <w:szCs w:val="28"/>
          <w:lang w:val="en-US" w:eastAsia="zh-CN"/>
          <w14:textFill>
            <w14:solidFill>
              <w14:schemeClr w14:val="tx1"/>
            </w14:solidFill>
          </w14:textFill>
        </w:rPr>
        <w:t>标</w:t>
      </w:r>
    </w:p>
    <w:p w14:paraId="3876BF3B">
      <w:pPr>
        <w:spacing w:line="360" w:lineRule="auto"/>
        <w:jc w:val="center"/>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价格标</w:t>
      </w:r>
    </w:p>
    <w:p w14:paraId="66CAFB28">
      <w:pPr>
        <w:spacing w:line="360" w:lineRule="auto"/>
        <w:jc w:val="center"/>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电子投标文件</w:t>
      </w:r>
    </w:p>
    <w:p w14:paraId="2CEC5B84">
      <w:pPr>
        <w:spacing w:line="360" w:lineRule="exact"/>
        <w:jc w:val="center"/>
        <w:rPr>
          <w:rFonts w:hint="eastAsia" w:ascii="宋体" w:hAnsi="宋体" w:eastAsia="宋体" w:cs="宋体"/>
          <w:color w:val="000000" w:themeColor="text1"/>
          <w:kern w:val="2"/>
          <w:sz w:val="28"/>
          <w:szCs w:val="28"/>
          <w:lang w:val="en-US" w:eastAsia="zh-CN"/>
          <w14:textFill>
            <w14:solidFill>
              <w14:schemeClr w14:val="tx1"/>
            </w14:solidFill>
          </w14:textFill>
        </w:rPr>
      </w:pPr>
    </w:p>
    <w:p w14:paraId="3E931001">
      <w:pPr>
        <w:spacing w:line="360" w:lineRule="exact"/>
        <w:jc w:val="center"/>
        <w:rPr>
          <w:rFonts w:hint="eastAsia" w:ascii="宋体" w:hAnsi="宋体" w:eastAsia="宋体" w:cs="宋体"/>
          <w:color w:val="000000" w:themeColor="text1"/>
          <w:kern w:val="2"/>
          <w:sz w:val="28"/>
          <w:szCs w:val="28"/>
          <w14:textFill>
            <w14:solidFill>
              <w14:schemeClr w14:val="tx1"/>
            </w14:solidFill>
          </w14:textFill>
        </w:rPr>
      </w:pPr>
    </w:p>
    <w:p w14:paraId="2AD9BA7A">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DD39210">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8977569">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1FAE842C">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05F086AB">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76AFC5A">
      <w:pPr>
        <w:adjustRightInd w:val="0"/>
        <w:snapToGrid w:val="0"/>
        <w:spacing w:line="480" w:lineRule="auto"/>
        <w:jc w:val="center"/>
        <w:rPr>
          <w:rFonts w:hint="eastAsia" w:ascii="宋体" w:hAnsi="宋体" w:eastAsia="宋体" w:cs="宋体"/>
          <w:color w:val="000000" w:themeColor="text1"/>
          <w:kern w:val="2"/>
          <w:sz w:val="30"/>
          <w:szCs w:val="30"/>
          <w14:textFill>
            <w14:solidFill>
              <w14:schemeClr w14:val="tx1"/>
            </w14:solidFill>
          </w14:textFill>
        </w:rPr>
      </w:pP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w:t>
      </w: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全称</w:t>
      </w:r>
    </w:p>
    <w:p w14:paraId="5E5FFC4C">
      <w:pPr>
        <w:snapToGrid w:val="0"/>
        <w:spacing w:line="480" w:lineRule="auto"/>
        <w:jc w:val="center"/>
        <w:rPr>
          <w:rFonts w:hint="eastAsia" w:ascii="宋体" w:hAnsi="宋体" w:eastAsia="宋体" w:cs="宋体"/>
          <w:color w:val="000000" w:themeColor="text1"/>
          <w:kern w:val="2"/>
          <w:sz w:val="36"/>
          <w:szCs w:val="36"/>
          <w14:textFill>
            <w14:solidFill>
              <w14:schemeClr w14:val="tx1"/>
            </w14:solidFill>
          </w14:textFill>
        </w:rPr>
      </w:pPr>
      <w:r>
        <w:rPr>
          <w:rFonts w:hint="eastAsia" w:ascii="宋体" w:hAnsi="宋体" w:eastAsia="宋体" w:cs="宋体"/>
          <w:color w:val="000000" w:themeColor="text1"/>
          <w:kern w:val="2"/>
          <w:sz w:val="30"/>
          <w:szCs w:val="30"/>
          <w14:textFill>
            <w14:solidFill>
              <w14:schemeClr w14:val="tx1"/>
            </w14:solidFill>
          </w14:textFill>
        </w:rPr>
        <w:t>二〇二六年 月 日</w:t>
      </w:r>
    </w:p>
    <w:p w14:paraId="70E9DEA8">
      <w:pPr>
        <w:widowControl/>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w:t>
      </w:r>
    </w:p>
    <w:p w14:paraId="704662A3">
      <w:pPr>
        <w:jc w:val="center"/>
        <w:rPr>
          <w:rFonts w:hint="eastAsia" w:ascii="宋体" w:hAnsi="宋体" w:eastAsia="宋体" w:cs="宋体"/>
          <w:b/>
          <w:color w:val="000000" w:themeColor="text1"/>
          <w:kern w:val="2"/>
          <w:sz w:val="30"/>
          <w:szCs w:val="30"/>
          <w14:textFill>
            <w14:solidFill>
              <w14:schemeClr w14:val="tx1"/>
            </w14:solidFill>
          </w14:textFill>
        </w:rPr>
      </w:pPr>
    </w:p>
    <w:p w14:paraId="235EEB05">
      <w:pPr>
        <w:jc w:val="center"/>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sz w:val="30"/>
          <w:szCs w:val="30"/>
          <w:lang w:eastAsia="zh-CN"/>
        </w:rPr>
        <w:t>投标人</w:t>
      </w:r>
      <w:r>
        <w:rPr>
          <w:rFonts w:hint="eastAsia" w:ascii="宋体" w:hAnsi="宋体" w:eastAsia="宋体" w:cs="宋体"/>
          <w:b/>
          <w:sz w:val="30"/>
          <w:szCs w:val="30"/>
        </w:rPr>
        <w:t>符合条件的声明函</w:t>
      </w:r>
    </w:p>
    <w:p w14:paraId="0B6AD884">
      <w:pPr>
        <w:spacing w:line="460" w:lineRule="exact"/>
        <w:rPr>
          <w:rFonts w:hint="eastAsia" w:ascii="宋体" w:hAnsi="宋体" w:eastAsia="宋体" w:cs="宋体"/>
          <w:b/>
          <w:bCs/>
          <w:color w:val="000000" w:themeColor="text1"/>
          <w:kern w:val="2"/>
          <w:sz w:val="44"/>
          <w:szCs w:val="44"/>
          <w14:textFill>
            <w14:solidFill>
              <w14:schemeClr w14:val="tx1"/>
            </w14:solidFill>
          </w14:textFill>
        </w:rPr>
      </w:pPr>
    </w:p>
    <w:p w14:paraId="1D00EE30">
      <w:pPr>
        <w:spacing w:line="520" w:lineRule="exact"/>
        <w:ind w:firstLine="480" w:firstLineChars="200"/>
        <w:rPr>
          <w:rFonts w:hint="eastAsia"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我单位参加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（项目名称）</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bCs/>
          <w:color w:val="000000" w:themeColor="text1"/>
          <w:kern w:val="2"/>
          <w:sz w:val="24"/>
          <w:szCs w:val="21"/>
          <w14:textFill>
            <w14:solidFill>
              <w14:schemeClr w14:val="tx1"/>
            </w14:solidFill>
          </w14:textFill>
        </w:rPr>
        <w:t>的</w:t>
      </w:r>
      <w:r>
        <w:rPr>
          <w:rFonts w:hint="eastAsia" w:ascii="宋体" w:hAnsi="宋体" w:eastAsia="宋体" w:cs="宋体"/>
          <w:bCs/>
          <w:color w:val="000000" w:themeColor="text1"/>
          <w:kern w:val="2"/>
          <w:sz w:val="24"/>
          <w:szCs w:val="21"/>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14:textFill>
            <w14:solidFill>
              <w14:schemeClr w14:val="tx1"/>
            </w14:solidFill>
          </w14:textFill>
        </w:rPr>
        <w:t>活动。现做出如下声明：</w:t>
      </w:r>
    </w:p>
    <w:p w14:paraId="47BE5DAF">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1.我单位具有独立承担民事责任的能力；</w:t>
      </w:r>
    </w:p>
    <w:p w14:paraId="6D1CEFE4">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2.我单位具有良好的商业信誉和健全的财务会计制度；</w:t>
      </w:r>
    </w:p>
    <w:p w14:paraId="0A2BFE8F">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3.我单位具有履行合同所必需的设备和专业技术能力；</w:t>
      </w:r>
    </w:p>
    <w:p w14:paraId="54D169D2">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4.我单位有依法缴纳税收和社会保障资金的良好记录；</w:t>
      </w:r>
    </w:p>
    <w:p w14:paraId="1BBA76F6">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5.我单位参加本次采购活动前三年内，在经营活动中没有重大违法记录；</w:t>
      </w:r>
    </w:p>
    <w:p w14:paraId="5B726F38">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6.我单位满足法律、行政法规规定的其他条件。</w:t>
      </w:r>
    </w:p>
    <w:p w14:paraId="502190FF">
      <w:pPr>
        <w:spacing w:line="500" w:lineRule="exact"/>
        <w:ind w:firstLine="482"/>
        <w:rPr>
          <w:rFonts w:hint="eastAsia" w:ascii="宋体" w:hAnsi="宋体" w:eastAsia="宋体" w:cs="宋体"/>
          <w:color w:val="000000" w:themeColor="text1"/>
          <w:kern w:val="2"/>
          <w:sz w:val="24"/>
          <w:szCs w:val="24"/>
          <w14:textFill>
            <w14:solidFill>
              <w14:schemeClr w14:val="tx1"/>
            </w14:solidFill>
          </w14:textFill>
        </w:rPr>
      </w:pPr>
    </w:p>
    <w:p w14:paraId="32C45A1C">
      <w:pPr>
        <w:spacing w:line="500" w:lineRule="exact"/>
        <w:rPr>
          <w:rFonts w:hint="eastAsia" w:ascii="宋体" w:hAnsi="宋体" w:eastAsia="宋体" w:cs="宋体"/>
          <w:color w:val="000000" w:themeColor="text1"/>
          <w:kern w:val="2"/>
          <w:sz w:val="24"/>
          <w:szCs w:val="24"/>
          <w14:textFill>
            <w14:solidFill>
              <w14:schemeClr w14:val="tx1"/>
            </w14:solidFill>
          </w14:textFill>
        </w:rPr>
      </w:pPr>
    </w:p>
    <w:p w14:paraId="31C1A4FC">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6CE335F4">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6399CCBF">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1E50A603">
      <w:pPr>
        <w:spacing w:line="460" w:lineRule="exact"/>
        <w:jc w:val="center"/>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声明人名称：</w:t>
      </w:r>
      <w:r>
        <w:rPr>
          <w:rFonts w:hint="eastAsia" w:ascii="宋体" w:hAnsi="宋体" w:eastAsia="宋体" w:cs="宋体"/>
          <w:bCs/>
          <w:color w:val="000000" w:themeColor="text1"/>
          <w:kern w:val="2"/>
          <w:sz w:val="24"/>
          <w:szCs w:val="21"/>
          <w:u w:val="single"/>
          <w14:textFill>
            <w14:solidFill>
              <w14:schemeClr w14:val="tx1"/>
            </w14:solidFill>
          </w14:textFill>
        </w:rPr>
        <w:t>__________________</w:t>
      </w:r>
      <w:r>
        <w:rPr>
          <w:rFonts w:hint="eastAsia" w:ascii="宋体" w:hAnsi="宋体" w:eastAsia="宋体" w:cs="宋体"/>
          <w:bCs/>
          <w:color w:val="000000" w:themeColor="text1"/>
          <w:kern w:val="2"/>
          <w:sz w:val="24"/>
          <w:szCs w:val="21"/>
          <w14:textFill>
            <w14:solidFill>
              <w14:schemeClr w14:val="tx1"/>
            </w14:solidFill>
          </w14:textFill>
        </w:rPr>
        <w:t>（公章）</w:t>
      </w:r>
    </w:p>
    <w:p w14:paraId="16FD86C7">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p>
    <w:p w14:paraId="172830ED">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日期：年</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月</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日</w:t>
      </w:r>
    </w:p>
    <w:p w14:paraId="2DA5FEC6">
      <w:pPr>
        <w:snapToGrid w:val="0"/>
        <w:spacing w:line="360" w:lineRule="auto"/>
        <w:jc w:val="righ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17B111DF">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w:t>
      </w:r>
    </w:p>
    <w:p w14:paraId="379709D5">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法定代表人身份证明</w:t>
      </w:r>
    </w:p>
    <w:p w14:paraId="3860F0D1">
      <w:pPr>
        <w:spacing w:line="480" w:lineRule="exact"/>
        <w:rPr>
          <w:rFonts w:hint="eastAsia" w:ascii="宋体" w:hAnsi="宋体" w:eastAsia="宋体" w:cs="宋体"/>
          <w:color w:val="000000" w:themeColor="text1"/>
          <w:kern w:val="2"/>
          <w:sz w:val="24"/>
          <w:szCs w:val="24"/>
          <w14:textFill>
            <w14:solidFill>
              <w14:schemeClr w14:val="tx1"/>
            </w14:solidFill>
          </w14:textFill>
        </w:rPr>
      </w:pPr>
    </w:p>
    <w:p w14:paraId="0BEF59A4">
      <w:pPr>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先生/女士： 现任我单位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职务，为法定代表人，特此证明。</w:t>
      </w:r>
    </w:p>
    <w:p w14:paraId="784EB17B">
      <w:pPr>
        <w:spacing w:line="480" w:lineRule="exact"/>
        <w:ind w:firstLine="480"/>
        <w:rPr>
          <w:rFonts w:hint="eastAsia" w:ascii="宋体" w:hAnsi="宋体" w:eastAsia="宋体" w:cs="宋体"/>
          <w:kern w:val="2"/>
          <w:sz w:val="24"/>
          <w:szCs w:val="24"/>
          <w:u w:val="single"/>
        </w:rPr>
      </w:pPr>
      <w:r>
        <w:rPr>
          <w:rFonts w:hint="eastAsia" w:ascii="宋体" w:hAnsi="宋体" w:eastAsia="宋体" w:cs="宋体"/>
          <w:kern w:val="2"/>
          <w:sz w:val="24"/>
          <w:szCs w:val="24"/>
        </w:rPr>
        <w:t>身份证号码：</w:t>
      </w:r>
      <w:r>
        <w:rPr>
          <w:rFonts w:hint="eastAsia" w:ascii="宋体" w:hAnsi="宋体" w:eastAsia="宋体" w:cs="宋体"/>
          <w:kern w:val="2"/>
          <w:sz w:val="24"/>
          <w:szCs w:val="24"/>
          <w:u w:val="single"/>
        </w:rPr>
        <w:t xml:space="preserve">                                    </w:t>
      </w:r>
    </w:p>
    <w:p w14:paraId="28D9D094">
      <w:pPr>
        <w:spacing w:line="480" w:lineRule="exact"/>
        <w:ind w:firstLine="480"/>
        <w:rPr>
          <w:rFonts w:hint="eastAsia" w:ascii="宋体" w:hAnsi="宋体" w:eastAsia="宋体" w:cs="宋体"/>
          <w:color w:val="000000" w:themeColor="text1"/>
          <w:kern w:val="2"/>
          <w:sz w:val="24"/>
          <w:szCs w:val="24"/>
          <w14:textFill>
            <w14:solidFill>
              <w14:schemeClr w14:val="tx1"/>
            </w14:solidFill>
          </w14:textFill>
        </w:rPr>
      </w:pPr>
    </w:p>
    <w:p w14:paraId="0EB2BC26">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79E8A54A">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5417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6D19FD85">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191FB80D">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70E49161">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法定代表人身份证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0BAA1B18">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17DE2E14">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419A7E3F">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EEA0D94">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F2DA182">
      <w:pPr>
        <w:snapToGrid w:val="0"/>
        <w:spacing w:line="420" w:lineRule="exact"/>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499B6B9">
      <w:pPr>
        <w:spacing w:line="600" w:lineRule="exact"/>
        <w:rPr>
          <w:rFonts w:hint="eastAsia" w:ascii="宋体" w:hAnsi="宋体" w:eastAsia="宋体" w:cs="宋体"/>
          <w:b/>
          <w:color w:val="000000" w:themeColor="text1"/>
          <w:kern w:val="2"/>
          <w:sz w:val="24"/>
          <w:szCs w:val="24"/>
          <w14:textFill>
            <w14:solidFill>
              <w14:schemeClr w14:val="tx1"/>
            </w14:solidFill>
          </w14:textFill>
        </w:rPr>
      </w:pPr>
    </w:p>
    <w:p w14:paraId="1803770E">
      <w:pPr>
        <w:spacing w:line="480" w:lineRule="exact"/>
        <w:ind w:firstLine="480" w:firstLineChars="200"/>
        <w:rPr>
          <w:rFonts w:hint="eastAsia" w:ascii="宋体" w:hAnsi="宋体" w:eastAsia="宋体" w:cs="宋体"/>
          <w:color w:val="000000" w:themeColor="text1"/>
          <w:kern w:val="2"/>
          <w:sz w:val="24"/>
          <w:szCs w:val="24"/>
          <w14:textFill>
            <w14:solidFill>
              <w14:schemeClr w14:val="tx1"/>
            </w14:solidFill>
          </w14:textFill>
        </w:rPr>
      </w:pPr>
    </w:p>
    <w:p w14:paraId="57FB0F21">
      <w:pPr>
        <w:rPr>
          <w:rFonts w:hint="eastAsia" w:ascii="宋体" w:hAnsi="宋体" w:eastAsia="宋体" w:cs="宋体"/>
          <w:color w:val="000000" w:themeColor="text1"/>
          <w:kern w:val="2"/>
          <w:szCs w:val="24"/>
          <w14:textFill>
            <w14:solidFill>
              <w14:schemeClr w14:val="tx1"/>
            </w14:solidFill>
          </w14:textFill>
        </w:rPr>
      </w:pPr>
    </w:p>
    <w:p w14:paraId="558043EC">
      <w:pPr>
        <w:snapToGrid w:val="0"/>
        <w:spacing w:line="400" w:lineRule="exact"/>
        <w:ind w:firstLine="537" w:firstLineChars="192"/>
        <w:contextualSpacing/>
        <w:jc w:val="right"/>
        <w:rPr>
          <w:rFonts w:hint="eastAsia" w:ascii="宋体" w:hAnsi="宋体" w:eastAsia="宋体" w:cs="宋体"/>
          <w:b/>
          <w:color w:val="000000" w:themeColor="text1"/>
          <w:sz w:val="28"/>
          <w:szCs w:val="28"/>
          <w14:textFill>
            <w14:solidFill>
              <w14:schemeClr w14:val="tx1"/>
            </w14:solidFill>
          </w14:textFill>
        </w:rPr>
      </w:pPr>
    </w:p>
    <w:p w14:paraId="2F83CBE7">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74C885E4">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4BC56387">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p w14:paraId="6E881ADD">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67B94E8">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E0C759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3F086F62">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br w:type="page"/>
      </w:r>
    </w:p>
    <w:p w14:paraId="0FBB22D6">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rPr>
        <w:t>：</w:t>
      </w:r>
    </w:p>
    <w:p w14:paraId="41A5E5BB">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法定代表人授权委托书</w:t>
      </w:r>
    </w:p>
    <w:p w14:paraId="146B1CB0">
      <w:pPr>
        <w:rPr>
          <w:rFonts w:hint="eastAsia" w:ascii="宋体" w:hAnsi="宋体" w:eastAsia="宋体" w:cs="宋体"/>
          <w:color w:val="000000" w:themeColor="text1"/>
          <w:kern w:val="2"/>
          <w:sz w:val="32"/>
          <w:szCs w:val="32"/>
          <w14:textFill>
            <w14:solidFill>
              <w14:schemeClr w14:val="tx1"/>
            </w14:solidFill>
          </w14:textFill>
        </w:rPr>
      </w:pPr>
    </w:p>
    <w:p w14:paraId="6C385909">
      <w:pPr>
        <w:snapToGrid w:val="0"/>
        <w:spacing w:line="360" w:lineRule="auto"/>
        <w:rPr>
          <w:rFonts w:hint="eastAsia" w:ascii="宋体" w:hAnsi="宋体" w:eastAsia="宋体" w:cs="宋体"/>
          <w:color w:val="000000" w:themeColor="text1"/>
          <w:kern w:val="2"/>
          <w:sz w:val="24"/>
          <w:szCs w:val="24"/>
          <w:u w:val="single"/>
          <w14:textFill>
            <w14:solidFill>
              <w14:schemeClr w14:val="tx1"/>
            </w14:solidFill>
          </w14:textFill>
        </w:rPr>
      </w:pPr>
      <w:r>
        <w:rPr>
          <w:rFonts w:hint="eastAsia" w:ascii="宋体" w:hAnsi="宋体" w:eastAsia="宋体" w:cs="宋体"/>
          <w:color w:val="000000" w:themeColor="text1"/>
          <w:kern w:val="2"/>
          <w:sz w:val="24"/>
          <w:szCs w:val="24"/>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u w:val="single"/>
          <w14:textFill>
            <w14:solidFill>
              <w14:schemeClr w14:val="tx1"/>
            </w14:solidFill>
          </w14:textFill>
        </w:rPr>
        <w:t>：</w:t>
      </w:r>
    </w:p>
    <w:p w14:paraId="48BCAAF3">
      <w:pPr>
        <w:snapToGrid w:val="0"/>
        <w:spacing w:line="360" w:lineRule="auto"/>
        <w:ind w:firstLine="484" w:firstLineChars="202"/>
        <w:textAlignment w:val="baseline"/>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本授权委托书声明：我</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（姓名）系</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eastAsia="zh-CN"/>
          <w14:textFill>
            <w14:solidFill>
              <w14:schemeClr w14:val="tx1"/>
            </w14:solidFill>
          </w14:textFill>
        </w:rPr>
        <w:t>投标人</w:t>
      </w:r>
      <w:r>
        <w:rPr>
          <w:rFonts w:hint="eastAsia" w:ascii="宋体" w:hAnsi="宋体" w:eastAsia="宋体" w:cs="宋体"/>
          <w:color w:val="000000" w:themeColor="text1"/>
          <w:kern w:val="2"/>
          <w:sz w:val="24"/>
          <w:szCs w:val="24"/>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u w:val="single" w:color="000000"/>
          <w14:textFill>
            <w14:solidFill>
              <w14:schemeClr w14:val="tx1"/>
            </w14:solidFill>
          </w14:textFill>
        </w:rPr>
        <w:t>　　</w:t>
      </w:r>
      <w:r>
        <w:rPr>
          <w:rFonts w:hint="eastAsia" w:ascii="宋体" w:hAnsi="宋体" w:eastAsia="宋体" w:cs="宋体"/>
          <w:color w:val="000000" w:themeColor="text1"/>
          <w:kern w:val="2"/>
          <w:sz w:val="24"/>
          <w:szCs w:val="24"/>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的</w:t>
      </w:r>
      <w:r>
        <w:rPr>
          <w:rFonts w:hint="eastAsia" w:ascii="宋体" w:hAnsi="宋体" w:eastAsia="宋体" w:cs="宋体"/>
          <w:color w:val="000000" w:themeColor="text1"/>
          <w:kern w:val="2"/>
          <w:sz w:val="24"/>
          <w:szCs w:val="24"/>
          <w:lang w:val="en-US" w:eastAsia="zh-CN"/>
          <w14:textFill>
            <w14:solidFill>
              <w14:schemeClr w14:val="tx1"/>
            </w14:solidFill>
          </w14:textFill>
        </w:rPr>
        <w:t>采购</w:t>
      </w:r>
      <w:r>
        <w:rPr>
          <w:rFonts w:hint="eastAsia" w:ascii="宋体" w:hAnsi="宋体" w:eastAsia="宋体" w:cs="宋体"/>
          <w:color w:val="000000" w:themeColor="text1"/>
          <w:kern w:val="2"/>
          <w:sz w:val="24"/>
          <w:szCs w:val="24"/>
          <w14:textFill>
            <w14:solidFill>
              <w14:schemeClr w14:val="tx1"/>
            </w14:solidFill>
          </w14:textFill>
        </w:rPr>
        <w:t>活动。</w:t>
      </w:r>
      <w:r>
        <w:rPr>
          <w:rFonts w:hint="eastAsia" w:ascii="宋体" w:hAnsi="宋体" w:eastAsia="宋体" w:cs="宋体"/>
          <w:color w:val="000000" w:themeColor="text1"/>
          <w:kern w:val="2"/>
          <w:sz w:val="24"/>
          <w:szCs w:val="24"/>
          <w:lang w:val="en-US" w:eastAsia="zh-CN"/>
          <w14:textFill>
            <w14:solidFill>
              <w14:schemeClr w14:val="tx1"/>
            </w14:solidFill>
          </w14:textFill>
        </w:rPr>
        <w:t>全权处理一切与该项目公开招标有关的事务。其在办理上述事宜过程中所签署的所有文件我公司均予承认。</w:t>
      </w:r>
    </w:p>
    <w:p w14:paraId="08F70FB6">
      <w:pPr>
        <w:snapToGrid w:val="0"/>
        <w:spacing w:line="360" w:lineRule="auto"/>
        <w:ind w:firstLine="484" w:firstLineChars="202"/>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被授权人无转委权。特此委托。</w:t>
      </w:r>
    </w:p>
    <w:p w14:paraId="09226E05">
      <w:pPr>
        <w:snapToGrid w:val="0"/>
        <w:spacing w:line="360" w:lineRule="auto"/>
        <w:textAlignment w:val="baseline"/>
        <w:rPr>
          <w:rFonts w:hint="eastAsia" w:ascii="宋体" w:hAnsi="宋体" w:eastAsia="宋体" w:cs="宋体"/>
          <w:color w:val="000000" w:themeColor="text1"/>
          <w:szCs w:val="24"/>
          <w14:textFill>
            <w14:solidFill>
              <w14:schemeClr w14:val="tx1"/>
            </w14:solidFill>
          </w14:textFill>
        </w:rPr>
      </w:pPr>
    </w:p>
    <w:p w14:paraId="08E37270">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法定代表人签字：</w:t>
      </w:r>
    </w:p>
    <w:p w14:paraId="18A9E425">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被授权人身份证号：</w:t>
      </w:r>
    </w:p>
    <w:p w14:paraId="48A20E6C">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被授权人签字：</w:t>
      </w:r>
    </w:p>
    <w:p w14:paraId="0C101ACE">
      <w:pPr>
        <w:snapToGrid w:val="0"/>
        <w:spacing w:line="520" w:lineRule="exact"/>
        <w:jc w:val="right"/>
        <w:textAlignment w:val="baseline"/>
        <w:rPr>
          <w:rFonts w:hint="eastAsia" w:ascii="宋体" w:hAnsi="宋体" w:eastAsia="宋体" w:cs="宋体"/>
          <w:color w:val="000000" w:themeColor="text1"/>
          <w:kern w:val="2"/>
          <w:sz w:val="24"/>
          <w:szCs w:val="24"/>
          <w14:textFill>
            <w14:solidFill>
              <w14:schemeClr w14:val="tx1"/>
            </w14:solidFill>
          </w14:textFill>
        </w:rPr>
      </w:pPr>
    </w:p>
    <w:p w14:paraId="100382B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153FC6C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法定代表人（签字或盖章）：</w:t>
      </w:r>
    </w:p>
    <w:p w14:paraId="35ED660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6F6FD369">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7B64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00E5E2E">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323FC814">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被授权人身份证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53EB780A">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0B68EA22">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2EACD4D">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p w14:paraId="14D2F099">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BFA67D6">
      <w:pPr>
        <w:widowControl/>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0609E055">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w:t>
      </w:r>
    </w:p>
    <w:p w14:paraId="10FA2EE3">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lang w:val="en-US" w:eastAsia="zh-CN"/>
        </w:rPr>
        <w:t>投标人</w:t>
      </w:r>
      <w:r>
        <w:rPr>
          <w:rFonts w:hint="eastAsia" w:ascii="宋体" w:hAnsi="宋体"/>
          <w:b/>
          <w:color w:val="000000"/>
          <w:kern w:val="2"/>
          <w:sz w:val="30"/>
          <w:szCs w:val="30"/>
        </w:rPr>
        <w:t>信用承诺书</w:t>
      </w:r>
    </w:p>
    <w:p w14:paraId="6938E34C">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0CD268B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675DE908">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w:t>
      </w:r>
      <w:r>
        <w:rPr>
          <w:rFonts w:hint="eastAsia" w:ascii="宋体" w:hAnsi="Times New Roman"/>
          <w:kern w:val="2"/>
          <w:sz w:val="24"/>
          <w:szCs w:val="24"/>
          <w:lang w:eastAsia="zh-CN"/>
        </w:rPr>
        <w:t>法律法规</w:t>
      </w:r>
      <w:r>
        <w:rPr>
          <w:rFonts w:hint="eastAsia" w:ascii="宋体" w:hAnsi="Times New Roman"/>
          <w:kern w:val="2"/>
          <w:sz w:val="24"/>
          <w:szCs w:val="24"/>
        </w:rPr>
        <w:t>、规章、规范性文件，参加交易活动；积极履行社会责任，促进廉政建设；</w:t>
      </w:r>
    </w:p>
    <w:p w14:paraId="23B0F83A">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42E9195A">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06AD53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38124AD8">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38909783">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6886E813">
      <w:pPr>
        <w:overflowPunct w:val="0"/>
        <w:adjustRightInd w:val="0"/>
        <w:spacing w:line="360" w:lineRule="auto"/>
        <w:ind w:firstLine="420"/>
        <w:jc w:val="left"/>
        <w:textAlignment w:val="baseline"/>
        <w:rPr>
          <w:rFonts w:ascii="宋体" w:hAnsi="Times New Roman"/>
          <w:kern w:val="2"/>
          <w:sz w:val="24"/>
          <w:szCs w:val="24"/>
          <w:u w:val="single"/>
        </w:rPr>
      </w:pPr>
    </w:p>
    <w:p w14:paraId="5B0D9EF5">
      <w:pPr>
        <w:overflowPunct w:val="0"/>
        <w:adjustRightInd w:val="0"/>
        <w:spacing w:line="360" w:lineRule="auto"/>
        <w:ind w:firstLine="420"/>
        <w:jc w:val="left"/>
        <w:textAlignment w:val="baseline"/>
        <w:rPr>
          <w:rFonts w:ascii="宋体" w:hAnsi="Times New Roman"/>
          <w:kern w:val="2"/>
          <w:sz w:val="24"/>
          <w:szCs w:val="24"/>
        </w:rPr>
      </w:pPr>
    </w:p>
    <w:p w14:paraId="61061CE6">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028F4084">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0A5050C7">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0A4E7C55">
      <w:pPr>
        <w:widowControl/>
        <w:jc w:val="left"/>
        <w:rPr>
          <w:rFonts w:hint="eastAsia" w:ascii="宋体" w:hAnsi="宋体" w:eastAsia="宋体" w:cs="宋体"/>
          <w:b/>
          <w:bCs/>
          <w:color w:val="000000"/>
          <w:sz w:val="28"/>
          <w:szCs w:val="28"/>
        </w:rPr>
      </w:pPr>
    </w:p>
    <w:p w14:paraId="02A00944">
      <w:pPr>
        <w:rPr>
          <w:rFonts w:hint="eastAsia" w:ascii="宋体" w:hAnsi="宋体" w:eastAsia="宋体" w:cs="宋体"/>
          <w:b w:val="0"/>
          <w:bCs/>
          <w:color w:val="000000"/>
          <w:sz w:val="24"/>
        </w:rPr>
      </w:pPr>
      <w:bookmarkStart w:id="27" w:name="_Toc420058377"/>
      <w:bookmarkStart w:id="28" w:name="_Toc425960677"/>
      <w:r>
        <w:rPr>
          <w:rFonts w:hint="eastAsia" w:ascii="宋体" w:hAnsi="宋体" w:eastAsia="宋体" w:cs="宋体"/>
          <w:b w:val="0"/>
          <w:bCs/>
          <w:color w:val="000000"/>
          <w:sz w:val="24"/>
        </w:rPr>
        <w:br w:type="page"/>
      </w:r>
    </w:p>
    <w:p w14:paraId="1D09F93F">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w:t>
      </w:r>
    </w:p>
    <w:p w14:paraId="6C9302AE">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rPr>
        <w:t>商务部分偏离表</w:t>
      </w:r>
    </w:p>
    <w:p w14:paraId="5CB4C589">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服务要求</w:t>
            </w: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b w:val="0"/>
                <w:bCs/>
                <w:color w:val="auto"/>
                <w:sz w:val="21"/>
                <w:szCs w:val="21"/>
                <w:highlight w:val="none"/>
                <w:lang w:val="en-US" w:eastAsia="zh-CN"/>
              </w:rPr>
              <w:t>本项目系统采用云部署服务方式提供，满足采购方业务需要的服务器、网络带宽、存储、安全等硬件及云平台服务。服务期内，所提供的技术平台版本如有更新，实现免费更新，bug免费修复。采购方可根据需要拷贝各类数据。合同到期后，中标方有义务交给采购方所有的数据备份。若采购方后期考虑采取本地部署服务方式，中标方有义务配合采购方做好数据迁移工作。在系统试运行前一周对采购方相关人员进行培训，使采购方全面掌握该系统的结构、功能、使用方法和系统日常维护，并制作所需培训资料。远程技术服务以电话、QQ、微信等方式提供每周 7*24 小时响应。</w:t>
            </w: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服务期限</w:t>
            </w: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rPr>
            </w:pPr>
            <w:r>
              <w:rPr>
                <w:rFonts w:hint="eastAsia" w:ascii="宋体" w:hAnsi="宋体" w:eastAsia="宋体" w:cs="宋体"/>
                <w:b w:val="0"/>
                <w:bCs/>
                <w:color w:val="auto"/>
                <w:sz w:val="21"/>
                <w:szCs w:val="21"/>
                <w:highlight w:val="none"/>
                <w:lang w:val="en-US" w:eastAsia="zh-CN"/>
              </w:rPr>
              <w:t>本项目一招三年，合同一年一签。经招标人考核中标方的工作内容及服务并通过后，双方均无异议，续签下一年合同。招标人有权根据服务情况决定是否签署下一个服务周期的合同，投标人无条件服从和接受。如招标人决定不予签约的，视为双方不再合作，原合同到期后投标人应无条件退场。合同签订完成后，中标人需在15个工作日内完成项目交付并上线使用。</w:t>
            </w: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项目交货期</w:t>
            </w:r>
          </w:p>
        </w:tc>
        <w:tc>
          <w:tcPr>
            <w:tcW w:w="2171" w:type="pct"/>
            <w:tcBorders>
              <w:top w:val="single" w:color="auto" w:sz="6" w:space="0"/>
              <w:left w:val="single" w:color="auto" w:sz="6" w:space="0"/>
              <w:bottom w:val="single" w:color="auto" w:sz="6" w:space="0"/>
              <w:right w:val="single" w:color="auto" w:sz="6" w:space="0"/>
            </w:tcBorders>
            <w:vAlign w:val="center"/>
          </w:tcPr>
          <w:p w14:paraId="71847E90">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签订合同日期：自中标（成交）通知书发出之日起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日内按时签约。</w:t>
            </w:r>
          </w:p>
          <w:p w14:paraId="061607CF">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交货期（服务时间）： 自合同签订之日起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none"/>
                <w:lang w:val="en-US" w:eastAsia="zh-CN"/>
              </w:rPr>
              <w:t>个工作日</w:t>
            </w:r>
            <w:r>
              <w:rPr>
                <w:rFonts w:hint="eastAsia" w:ascii="宋体" w:hAnsi="宋体" w:eastAsia="宋体" w:cs="宋体"/>
                <w:color w:val="auto"/>
                <w:sz w:val="21"/>
                <w:szCs w:val="21"/>
                <w:highlight w:val="none"/>
              </w:rPr>
              <w:t>内。</w:t>
            </w:r>
          </w:p>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交货（服务）地点：</w:t>
            </w:r>
            <w:r>
              <w:rPr>
                <w:rFonts w:hint="eastAsia" w:ascii="宋体" w:hAnsi="宋体" w:eastAsia="宋体" w:cs="宋体"/>
                <w:color w:val="auto"/>
                <w:sz w:val="21"/>
                <w:szCs w:val="21"/>
                <w:highlight w:val="none"/>
                <w:u w:val="single"/>
              </w:rPr>
              <w:t xml:space="preserve">  南通职业大学青年路校区   </w:t>
            </w:r>
            <w:r>
              <w:rPr>
                <w:rFonts w:hint="eastAsia" w:ascii="宋体" w:hAnsi="宋体" w:eastAsia="宋体" w:cs="宋体"/>
                <w:color w:val="auto"/>
                <w:sz w:val="21"/>
                <w:szCs w:val="21"/>
                <w:highlight w:val="none"/>
              </w:rPr>
              <w:t>。</w:t>
            </w: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67599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02" w:hRule="atLeast"/>
        </w:trPr>
        <w:tc>
          <w:tcPr>
            <w:tcW w:w="380" w:type="pct"/>
            <w:tcBorders>
              <w:top w:val="single" w:color="auto" w:sz="6" w:space="0"/>
              <w:left w:val="single" w:color="auto" w:sz="12" w:space="0"/>
              <w:bottom w:val="single" w:color="auto" w:sz="6" w:space="0"/>
              <w:right w:val="single" w:color="auto" w:sz="6" w:space="0"/>
            </w:tcBorders>
            <w:vAlign w:val="center"/>
          </w:tcPr>
          <w:p w14:paraId="4F45E2E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80" w:type="pct"/>
            <w:tcBorders>
              <w:top w:val="single" w:color="auto" w:sz="6" w:space="0"/>
              <w:left w:val="single" w:color="auto" w:sz="6" w:space="0"/>
              <w:bottom w:val="single" w:color="auto" w:sz="6" w:space="0"/>
              <w:right w:val="single" w:color="auto" w:sz="6" w:space="0"/>
            </w:tcBorders>
            <w:vAlign w:val="center"/>
          </w:tcPr>
          <w:p w14:paraId="4483D8F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售后服务</w:t>
            </w:r>
          </w:p>
        </w:tc>
        <w:tc>
          <w:tcPr>
            <w:tcW w:w="2171" w:type="pct"/>
            <w:tcBorders>
              <w:top w:val="single" w:color="auto" w:sz="6" w:space="0"/>
              <w:left w:val="single" w:color="auto" w:sz="6" w:space="0"/>
              <w:bottom w:val="single" w:color="auto" w:sz="6" w:space="0"/>
              <w:right w:val="single" w:color="auto" w:sz="6" w:space="0"/>
            </w:tcBorders>
            <w:vAlign w:val="center"/>
          </w:tcPr>
          <w:p w14:paraId="771D7689">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1.质量要求、技术标准、供方对质量负责的条件和期限：所提供服务自验收合格之日起质保期为5年。</w:t>
            </w:r>
          </w:p>
          <w:p w14:paraId="3BCEC39F">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2.投标人应具备完整的售后服务保障能力，包含（但不限于）以下服务要求：</w:t>
            </w:r>
          </w:p>
          <w:p w14:paraId="570E13A1">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（1）接到招标人通知后两小时内必须响应；</w:t>
            </w:r>
          </w:p>
          <w:p w14:paraId="2C09D66F">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（2）须提供多种服务受理通道，包括但不限于在线客服、联系电话、邮件等；</w:t>
            </w:r>
          </w:p>
          <w:p w14:paraId="2679B191">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（3）须提供详细的线上服务流程说明，线上报修须能够做到问题登记、问题处理、加急处理、问题关闭与评价，常见问题案例库，消息通知等。</w:t>
            </w:r>
          </w:p>
          <w:p w14:paraId="7108ADD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（4）要求在服务响应过程中，须有运营专员参与，全程跟踪服务过程，协调解决服务过程中的问题。</w:t>
            </w:r>
          </w:p>
          <w:p w14:paraId="38DB7F9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（5）须提供线上服务申诉通道，要求可针对服务人员、服务流程等进行投诉。</w:t>
            </w:r>
          </w:p>
          <w:p w14:paraId="17F52D83">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3.投标人应提供本次投标产品的售后服务，包含（但不限于）以下服务要求：</w:t>
            </w:r>
          </w:p>
          <w:p w14:paraId="20B904A7">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（1）BUG处理：如投标人交付的业务系统存在BUG，投标人须提供修正与消缺服务，如有修复BUG的补丁，应提供升级服务。</w:t>
            </w:r>
          </w:p>
          <w:p w14:paraId="7B4AEA10">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（2）故障处理：如投标人交付的系统上线运行时，出现问题导致业务中断时，投标人应对故障进行限时处理。</w:t>
            </w:r>
          </w:p>
          <w:p w14:paraId="54D8C565">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（3）运行支持：投标人应对系统运行过程中系统管理员及业务管理员提出的问题提供解答和问题解决跟踪。</w:t>
            </w:r>
          </w:p>
          <w:p w14:paraId="28FC788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bCs/>
                <w:color w:val="auto"/>
                <w:kern w:val="2"/>
                <w:sz w:val="21"/>
                <w:szCs w:val="21"/>
                <w:lang w:val="zh-CN" w:eastAsia="zh-CN" w:bidi="ar-SA"/>
              </w:rPr>
              <w:t>（4）在项目质保期内，因为软件系统本身原因导致系统不可用，投标方应全程跟踪解决，确保问题快速解决，因为操作系统、服务器、网络设备及其他硬件设备导致系统不可用时，投标人应配合招标人排查故障，提供解决方法供招标人选择，配合招标人解决问题。</w:t>
            </w:r>
          </w:p>
        </w:tc>
        <w:tc>
          <w:tcPr>
            <w:tcW w:w="1090" w:type="pct"/>
            <w:tcBorders>
              <w:top w:val="single" w:color="auto" w:sz="6" w:space="0"/>
              <w:left w:val="single" w:color="auto" w:sz="6" w:space="0"/>
              <w:bottom w:val="single" w:color="auto" w:sz="6" w:space="0"/>
              <w:right w:val="single" w:color="auto" w:sz="6" w:space="0"/>
            </w:tcBorders>
            <w:vAlign w:val="center"/>
          </w:tcPr>
          <w:p w14:paraId="6DA62C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6AA36E1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5DF42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BE06B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580" w:type="pct"/>
            <w:tcBorders>
              <w:top w:val="single" w:color="auto" w:sz="6" w:space="0"/>
              <w:left w:val="single" w:color="auto" w:sz="6" w:space="0"/>
              <w:bottom w:val="single" w:color="auto" w:sz="6" w:space="0"/>
              <w:right w:val="single" w:color="auto" w:sz="6" w:space="0"/>
            </w:tcBorders>
            <w:vAlign w:val="center"/>
          </w:tcPr>
          <w:p w14:paraId="7AB8189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履约验收</w:t>
            </w:r>
          </w:p>
        </w:tc>
        <w:tc>
          <w:tcPr>
            <w:tcW w:w="2171" w:type="pct"/>
            <w:tcBorders>
              <w:top w:val="single" w:color="auto" w:sz="6" w:space="0"/>
              <w:left w:val="single" w:color="auto" w:sz="6" w:space="0"/>
              <w:bottom w:val="single" w:color="auto" w:sz="6" w:space="0"/>
              <w:right w:val="single" w:color="auto" w:sz="6" w:space="0"/>
            </w:tcBorders>
            <w:vAlign w:val="center"/>
          </w:tcPr>
          <w:p w14:paraId="50960D63">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组织相关专业技术人员，必要时邀请校外专家及质检等部门共同参与</w:t>
            </w:r>
            <w:r>
              <w:rPr>
                <w:rFonts w:hint="eastAsia" w:ascii="宋体" w:hAnsi="宋体" w:eastAsia="宋体" w:cs="宋体"/>
                <w:bCs/>
                <w:color w:val="auto"/>
                <w:sz w:val="21"/>
                <w:szCs w:val="21"/>
                <w:highlight w:val="none"/>
                <w:lang w:val="zh-CN"/>
              </w:rPr>
              <w:t>验收</w:t>
            </w:r>
            <w:r>
              <w:rPr>
                <w:rFonts w:hint="eastAsia" w:ascii="宋体" w:hAnsi="宋体" w:eastAsia="宋体" w:cs="宋体"/>
                <w:color w:val="auto"/>
                <w:sz w:val="21"/>
                <w:szCs w:val="21"/>
                <w:highlight w:val="none"/>
              </w:rPr>
              <w:t>，出具验收报告，作为支付货款的依据。</w:t>
            </w:r>
          </w:p>
          <w:p w14:paraId="6A309ED5">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在本期项目的</w:t>
            </w:r>
            <w:r>
              <w:rPr>
                <w:rFonts w:hint="eastAsia" w:ascii="宋体" w:hAnsi="宋体" w:eastAsia="宋体" w:cs="宋体"/>
                <w:color w:val="auto"/>
                <w:sz w:val="21"/>
                <w:szCs w:val="21"/>
                <w:highlight w:val="none"/>
                <w:lang w:val="en-US" w:eastAsia="zh-CN"/>
              </w:rPr>
              <w:t>交付</w:t>
            </w:r>
            <w:r>
              <w:rPr>
                <w:rFonts w:hint="eastAsia" w:ascii="宋体" w:hAnsi="宋体" w:eastAsia="宋体" w:cs="宋体"/>
                <w:color w:val="auto"/>
                <w:sz w:val="21"/>
                <w:szCs w:val="21"/>
                <w:highlight w:val="none"/>
              </w:rPr>
              <w:t>过程中和交付使用后，要求将各个阶段产生的全面、规范的成果和文档资料交付给</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，而且需要提供明确的交付清单。同时，成果和文档资料必须符合软件工程的相关要求，支持在线管理相关文档和知识。要交付的成果和文档资料需要包括以下部分：</w:t>
            </w:r>
          </w:p>
          <w:p w14:paraId="53E847B1">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①可运行的系统</w:t>
            </w:r>
          </w:p>
          <w:p w14:paraId="1ED9978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②技术文档</w:t>
            </w:r>
          </w:p>
          <w:p w14:paraId="2E7D72C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包括软件工具清单、需求分析说明、用户手册、系统培训资料等。</w:t>
            </w:r>
          </w:p>
        </w:tc>
        <w:tc>
          <w:tcPr>
            <w:tcW w:w="1090" w:type="pct"/>
            <w:tcBorders>
              <w:top w:val="single" w:color="auto" w:sz="6" w:space="0"/>
              <w:left w:val="single" w:color="auto" w:sz="6" w:space="0"/>
              <w:bottom w:val="single" w:color="auto" w:sz="6" w:space="0"/>
              <w:right w:val="single" w:color="auto" w:sz="6" w:space="0"/>
            </w:tcBorders>
            <w:vAlign w:val="center"/>
          </w:tcPr>
          <w:p w14:paraId="241887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F8F506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4B3620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C64336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580" w:type="pct"/>
            <w:tcBorders>
              <w:top w:val="single" w:color="auto" w:sz="6" w:space="0"/>
              <w:left w:val="single" w:color="auto" w:sz="6" w:space="0"/>
              <w:bottom w:val="single" w:color="auto" w:sz="6" w:space="0"/>
              <w:right w:val="single" w:color="auto" w:sz="6" w:space="0"/>
            </w:tcBorders>
            <w:vAlign w:val="center"/>
          </w:tcPr>
          <w:p w14:paraId="333A195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付款方式</w:t>
            </w:r>
          </w:p>
        </w:tc>
        <w:tc>
          <w:tcPr>
            <w:tcW w:w="2171" w:type="pct"/>
            <w:tcBorders>
              <w:top w:val="single" w:color="auto" w:sz="6" w:space="0"/>
              <w:left w:val="single" w:color="auto" w:sz="6" w:space="0"/>
              <w:bottom w:val="single" w:color="auto" w:sz="6" w:space="0"/>
              <w:right w:val="single" w:color="auto" w:sz="6" w:space="0"/>
            </w:tcBorders>
            <w:vAlign w:val="center"/>
          </w:tcPr>
          <w:p w14:paraId="55AA08FA">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val="zh-CN"/>
              </w:rPr>
              <w:t>申请</w:t>
            </w:r>
            <w:r>
              <w:rPr>
                <w:rFonts w:hint="eastAsia" w:ascii="宋体" w:hAnsi="宋体" w:eastAsia="宋体" w:cs="宋体"/>
                <w:color w:val="auto"/>
                <w:sz w:val="21"/>
                <w:szCs w:val="21"/>
                <w:highlight w:val="none"/>
              </w:rPr>
              <w:t>部门应在项目验收合格后按合同约定办理结算手续。</w:t>
            </w:r>
          </w:p>
          <w:p w14:paraId="5EFE8E0A">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eastAsia="zh-CN"/>
              </w:rPr>
              <w:t>在招标人现场安装调试（或服务）完毕后，经招标人根据合同和标书条款验收合格，每年度10月底前，由招标人一次性支付当年度服务费用（按当年度校外教学点在籍人数×中标单价结算后实际支付），校本部学生免费使用平台服务。如有学生中途退学，中标人应按学校学费退费比例退还招标人教育管理平台服务费。</w:t>
            </w:r>
          </w:p>
          <w:p w14:paraId="70F5F786">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在使用过程中如发现</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提供的服务与投标文件响应的功能及技术指标不相符，视为</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违约。采购方有权终止合同，并将按照合同约定扣除其全部或部分履约保证金。</w:t>
            </w:r>
          </w:p>
        </w:tc>
        <w:tc>
          <w:tcPr>
            <w:tcW w:w="1090" w:type="pct"/>
            <w:tcBorders>
              <w:top w:val="single" w:color="auto" w:sz="6" w:space="0"/>
              <w:left w:val="single" w:color="auto" w:sz="6" w:space="0"/>
              <w:bottom w:val="single" w:color="auto" w:sz="6" w:space="0"/>
              <w:right w:val="single" w:color="auto" w:sz="6" w:space="0"/>
            </w:tcBorders>
            <w:vAlign w:val="center"/>
          </w:tcPr>
          <w:p w14:paraId="0CA3DF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72076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560D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BB6E2D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580" w:type="pct"/>
            <w:tcBorders>
              <w:top w:val="single" w:color="auto" w:sz="6" w:space="0"/>
              <w:left w:val="single" w:color="auto" w:sz="6" w:space="0"/>
              <w:bottom w:val="single" w:color="auto" w:sz="6" w:space="0"/>
              <w:right w:val="single" w:color="auto" w:sz="6" w:space="0"/>
            </w:tcBorders>
            <w:vAlign w:val="center"/>
          </w:tcPr>
          <w:p w14:paraId="55125D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违约责任</w:t>
            </w:r>
          </w:p>
        </w:tc>
        <w:tc>
          <w:tcPr>
            <w:tcW w:w="2171" w:type="pct"/>
            <w:tcBorders>
              <w:top w:val="single" w:color="auto" w:sz="6" w:space="0"/>
              <w:left w:val="single" w:color="auto" w:sz="6" w:space="0"/>
              <w:bottom w:val="single" w:color="auto" w:sz="6" w:space="0"/>
              <w:right w:val="single" w:color="auto" w:sz="6" w:space="0"/>
            </w:tcBorders>
            <w:vAlign w:val="center"/>
          </w:tcPr>
          <w:p w14:paraId="1A6F647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1.中标人</w:t>
            </w:r>
            <w:r>
              <w:rPr>
                <w:rFonts w:hint="eastAsia" w:ascii="宋体" w:hAnsi="宋体" w:eastAsia="宋体" w:cs="宋体"/>
                <w:color w:val="auto"/>
                <w:sz w:val="21"/>
                <w:szCs w:val="21"/>
                <w:highlight w:val="none"/>
              </w:rPr>
              <w:t>不能按期供货，</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付给</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违约金（违约金的计算：</w:t>
            </w:r>
            <w:r>
              <w:rPr>
                <w:rFonts w:hint="eastAsia" w:ascii="宋体" w:hAnsi="宋体" w:eastAsia="宋体" w:cs="宋体"/>
                <w:color w:val="auto"/>
                <w:sz w:val="21"/>
                <w:szCs w:val="21"/>
                <w:highlight w:val="none"/>
                <w:lang w:val="en-US" w:eastAsia="zh-CN"/>
              </w:rPr>
              <w:t>1500元</w:t>
            </w:r>
            <w:r>
              <w:rPr>
                <w:rFonts w:hint="eastAsia" w:ascii="宋体" w:hAnsi="宋体" w:eastAsia="宋体" w:cs="宋体"/>
                <w:color w:val="auto"/>
                <w:sz w:val="21"/>
                <w:szCs w:val="21"/>
                <w:highlight w:val="none"/>
              </w:rPr>
              <w:t>/天）。</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原因或不可抗力的因素影响除外。</w:t>
            </w:r>
          </w:p>
          <w:p w14:paraId="4AC894BB">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2.中标人</w:t>
            </w:r>
            <w:r>
              <w:rPr>
                <w:rFonts w:hint="eastAsia" w:ascii="宋体" w:hAnsi="宋体" w:eastAsia="宋体" w:cs="宋体"/>
                <w:color w:val="auto"/>
                <w:sz w:val="21"/>
                <w:szCs w:val="21"/>
                <w:highlight w:val="none"/>
              </w:rPr>
              <w:t>不能按期服务、降低服务标准、服务质量，或不兑现服务承诺，</w:t>
            </w:r>
            <w:r>
              <w:rPr>
                <w:rFonts w:hint="eastAsia" w:ascii="宋体" w:hAnsi="宋体" w:eastAsia="宋体" w:cs="宋体"/>
                <w:color w:val="auto"/>
                <w:sz w:val="21"/>
                <w:szCs w:val="21"/>
                <w:highlight w:val="none"/>
                <w:lang w:val="en-US" w:eastAsia="zh-CN"/>
              </w:rPr>
              <w:t>招标人向中标人发出整改通知，中标人未能在整改期限内完成整改的，中标人</w:t>
            </w:r>
            <w:r>
              <w:rPr>
                <w:rFonts w:hint="eastAsia" w:ascii="宋体" w:hAnsi="宋体" w:eastAsia="宋体" w:cs="宋体"/>
                <w:color w:val="auto"/>
                <w:sz w:val="21"/>
                <w:szCs w:val="21"/>
                <w:highlight w:val="none"/>
              </w:rPr>
              <w:t>返还向</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收取的服务费，并付给需方违约金</w:t>
            </w:r>
            <w:r>
              <w:rPr>
                <w:rFonts w:hint="eastAsia" w:ascii="宋体" w:hAnsi="宋体" w:eastAsia="宋体" w:cs="宋体"/>
                <w:color w:val="auto"/>
                <w:sz w:val="21"/>
                <w:szCs w:val="21"/>
                <w:highlight w:val="none"/>
                <w:lang w:val="en-US" w:eastAsia="zh-CN"/>
              </w:rPr>
              <w:t>2万元</w:t>
            </w:r>
            <w:r>
              <w:rPr>
                <w:rFonts w:hint="eastAsia" w:ascii="宋体" w:hAnsi="宋体" w:eastAsia="宋体" w:cs="宋体"/>
                <w:color w:val="auto"/>
                <w:sz w:val="21"/>
                <w:szCs w:val="21"/>
                <w:highlight w:val="none"/>
              </w:rPr>
              <w:t>。</w:t>
            </w:r>
          </w:p>
        </w:tc>
        <w:tc>
          <w:tcPr>
            <w:tcW w:w="1090" w:type="pct"/>
            <w:tcBorders>
              <w:top w:val="single" w:color="auto" w:sz="6" w:space="0"/>
              <w:left w:val="single" w:color="auto" w:sz="6" w:space="0"/>
              <w:bottom w:val="single" w:color="auto" w:sz="6" w:space="0"/>
              <w:right w:val="single" w:color="auto" w:sz="6" w:space="0"/>
            </w:tcBorders>
            <w:vAlign w:val="center"/>
          </w:tcPr>
          <w:p w14:paraId="5AD103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7F9AA9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A956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08370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580" w:type="pct"/>
            <w:tcBorders>
              <w:top w:val="single" w:color="auto" w:sz="6" w:space="0"/>
              <w:left w:val="single" w:color="auto" w:sz="6" w:space="0"/>
              <w:bottom w:val="single" w:color="auto" w:sz="6" w:space="0"/>
              <w:right w:val="single" w:color="auto" w:sz="6" w:space="0"/>
            </w:tcBorders>
            <w:vAlign w:val="center"/>
          </w:tcPr>
          <w:p w14:paraId="6DFA5D5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履约</w:t>
            </w:r>
          </w:p>
          <w:p w14:paraId="530F9E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保证金</w:t>
            </w:r>
          </w:p>
        </w:tc>
        <w:tc>
          <w:tcPr>
            <w:tcW w:w="2171" w:type="pct"/>
            <w:tcBorders>
              <w:top w:val="single" w:color="auto" w:sz="6" w:space="0"/>
              <w:left w:val="single" w:color="auto" w:sz="6" w:space="0"/>
              <w:bottom w:val="single" w:color="auto" w:sz="6" w:space="0"/>
              <w:right w:val="single" w:color="auto" w:sz="6" w:space="0"/>
            </w:tcBorders>
            <w:vAlign w:val="center"/>
          </w:tcPr>
          <w:p w14:paraId="3D28AC55">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投标人</w:t>
            </w:r>
            <w:r>
              <w:rPr>
                <w:rFonts w:hint="eastAsia" w:ascii="宋体" w:hAnsi="宋体" w:eastAsia="宋体" w:cs="宋体"/>
                <w:color w:val="auto"/>
                <w:sz w:val="21"/>
                <w:szCs w:val="21"/>
                <w:highlight w:val="none"/>
                <w:lang w:bidi="ar"/>
              </w:rPr>
              <w:t>需于中标后签订合同前支付给</w:t>
            </w:r>
            <w:r>
              <w:rPr>
                <w:rFonts w:hint="eastAsia" w:ascii="宋体" w:hAnsi="宋体" w:eastAsia="宋体" w:cs="宋体"/>
                <w:color w:val="auto"/>
                <w:sz w:val="21"/>
                <w:szCs w:val="21"/>
                <w:highlight w:val="none"/>
                <w:lang w:eastAsia="zh-CN" w:bidi="ar"/>
              </w:rPr>
              <w:t>招标人</w:t>
            </w:r>
            <w:r>
              <w:rPr>
                <w:rFonts w:hint="eastAsia" w:ascii="宋体" w:hAnsi="宋体" w:eastAsia="宋体" w:cs="宋体"/>
                <w:color w:val="auto"/>
                <w:sz w:val="21"/>
                <w:szCs w:val="21"/>
                <w:highlight w:val="none"/>
                <w:lang w:bidi="ar"/>
              </w:rPr>
              <w:t>履约保证金</w:t>
            </w:r>
            <w:r>
              <w:rPr>
                <w:rFonts w:hint="eastAsia" w:ascii="宋体" w:hAnsi="宋体" w:eastAsia="宋体" w:cs="宋体"/>
                <w:b/>
                <w:bCs/>
                <w:kern w:val="0"/>
                <w:sz w:val="21"/>
                <w:szCs w:val="21"/>
                <w:u w:val="single"/>
                <w:lang w:val="en-US" w:eastAsia="zh-CN"/>
              </w:rPr>
              <w:t>人民币贰</w:t>
            </w:r>
            <w:r>
              <w:rPr>
                <w:rFonts w:hint="eastAsia" w:ascii="宋体" w:hAnsi="宋体" w:eastAsia="宋体" w:cs="宋体"/>
                <w:b/>
                <w:bCs/>
                <w:kern w:val="0"/>
                <w:sz w:val="21"/>
                <w:szCs w:val="21"/>
                <w:u w:val="single"/>
                <w:lang w:val="zh-CN"/>
              </w:rPr>
              <w:t>万元</w:t>
            </w:r>
            <w:r>
              <w:rPr>
                <w:rFonts w:hint="eastAsia" w:ascii="宋体" w:hAnsi="宋体" w:eastAsia="宋体" w:cs="宋体"/>
                <w:b/>
                <w:bCs/>
                <w:kern w:val="0"/>
                <w:sz w:val="21"/>
                <w:szCs w:val="21"/>
                <w:u w:val="single"/>
                <w:lang w:val="en-US" w:eastAsia="zh-CN"/>
              </w:rPr>
              <w:t>整（¥20000.00）</w:t>
            </w:r>
            <w:r>
              <w:rPr>
                <w:rFonts w:hint="eastAsia" w:ascii="宋体" w:hAnsi="宋体" w:eastAsia="宋体" w:cs="宋体"/>
                <w:color w:val="auto"/>
                <w:sz w:val="21"/>
                <w:szCs w:val="21"/>
                <w:highlight w:val="none"/>
                <w:lang w:bidi="ar"/>
              </w:rPr>
              <w:t>（转至</w:t>
            </w:r>
            <w:r>
              <w:rPr>
                <w:rFonts w:hint="eastAsia" w:ascii="宋体" w:hAnsi="宋体" w:eastAsia="宋体" w:cs="宋体"/>
                <w:color w:val="auto"/>
                <w:sz w:val="21"/>
                <w:szCs w:val="21"/>
                <w:highlight w:val="none"/>
                <w:lang w:eastAsia="zh-CN" w:bidi="ar"/>
              </w:rPr>
              <w:t>招标人</w:t>
            </w:r>
            <w:r>
              <w:rPr>
                <w:rFonts w:hint="eastAsia" w:ascii="宋体" w:hAnsi="宋体" w:eastAsia="宋体" w:cs="宋体"/>
                <w:color w:val="auto"/>
                <w:sz w:val="21"/>
                <w:szCs w:val="21"/>
                <w:highlight w:val="none"/>
                <w:lang w:bidi="ar"/>
              </w:rPr>
              <w:t>指定账户。户名：南通市财政局，账号：513902006610906</w:t>
            </w:r>
            <w:r>
              <w:rPr>
                <w:rFonts w:hint="eastAsia" w:ascii="宋体" w:hAnsi="宋体" w:eastAsia="宋体" w:cs="宋体"/>
                <w:color w:val="auto"/>
                <w:sz w:val="21"/>
                <w:szCs w:val="21"/>
                <w:highlight w:val="none"/>
                <w:lang w:eastAsia="zh-CN" w:bidi="ar"/>
              </w:rPr>
              <w:t>，开户行：</w:t>
            </w:r>
            <w:r>
              <w:rPr>
                <w:rFonts w:hint="eastAsia" w:ascii="宋体" w:hAnsi="宋体" w:eastAsia="宋体" w:cs="宋体"/>
                <w:color w:val="auto"/>
                <w:sz w:val="21"/>
                <w:szCs w:val="21"/>
                <w:highlight w:val="none"/>
                <w:lang w:val="en-US" w:eastAsia="zh-CN" w:bidi="ar"/>
              </w:rPr>
              <w:t>招商银行</w:t>
            </w:r>
            <w:r>
              <w:rPr>
                <w:rFonts w:hint="eastAsia" w:ascii="宋体" w:hAnsi="宋体" w:eastAsia="宋体" w:cs="宋体"/>
                <w:color w:val="auto"/>
                <w:sz w:val="21"/>
                <w:szCs w:val="21"/>
                <w:highlight w:val="none"/>
                <w:lang w:eastAsia="zh-CN" w:bidi="ar"/>
              </w:rPr>
              <w:t>南通分行，备注：南通</w:t>
            </w:r>
            <w:r>
              <w:rPr>
                <w:rFonts w:hint="eastAsia" w:ascii="宋体" w:hAnsi="宋体" w:eastAsia="宋体" w:cs="宋体"/>
                <w:color w:val="auto"/>
                <w:sz w:val="21"/>
                <w:szCs w:val="21"/>
                <w:highlight w:val="none"/>
                <w:lang w:val="en-US" w:eastAsia="zh-CN" w:bidi="ar"/>
              </w:rPr>
              <w:t>职大</w:t>
            </w:r>
            <w:r>
              <w:rPr>
                <w:rFonts w:hint="eastAsia" w:ascii="宋体" w:hAnsi="宋体" w:eastAsia="宋体" w:cs="宋体"/>
                <w:color w:val="auto"/>
                <w:sz w:val="21"/>
                <w:szCs w:val="21"/>
                <w:highlight w:val="none"/>
                <w:lang w:eastAsia="zh-CN" w:bidi="ar"/>
              </w:rPr>
              <w:t>继</w:t>
            </w:r>
            <w:r>
              <w:rPr>
                <w:rFonts w:hint="eastAsia" w:ascii="宋体" w:hAnsi="宋体" w:eastAsia="宋体" w:cs="宋体"/>
                <w:color w:val="auto"/>
                <w:sz w:val="21"/>
                <w:szCs w:val="21"/>
                <w:highlight w:val="none"/>
                <w:lang w:val="en-US" w:eastAsia="zh-CN" w:bidi="ar"/>
              </w:rPr>
              <w:t>教</w:t>
            </w:r>
            <w:r>
              <w:rPr>
                <w:rFonts w:hint="eastAsia" w:ascii="宋体" w:hAnsi="宋体" w:eastAsia="宋体" w:cs="宋体"/>
                <w:color w:val="auto"/>
                <w:sz w:val="21"/>
                <w:szCs w:val="21"/>
                <w:highlight w:val="none"/>
                <w:lang w:eastAsia="zh-CN" w:bidi="ar"/>
              </w:rPr>
              <w:t>平台履约保证金），免费维保期结束后，招标人全额返还投标人。</w:t>
            </w:r>
          </w:p>
          <w:p w14:paraId="257198A2">
            <w:pPr>
              <w:keepNext w:val="0"/>
              <w:keepLines w:val="0"/>
              <w:pageBreakBefore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投标人缴纳的履约保证金。</w:t>
            </w:r>
          </w:p>
        </w:tc>
        <w:tc>
          <w:tcPr>
            <w:tcW w:w="1090" w:type="pct"/>
            <w:tcBorders>
              <w:top w:val="single" w:color="auto" w:sz="6" w:space="0"/>
              <w:left w:val="single" w:color="auto" w:sz="6" w:space="0"/>
              <w:bottom w:val="single" w:color="auto" w:sz="6" w:space="0"/>
              <w:right w:val="single" w:color="auto" w:sz="6" w:space="0"/>
            </w:tcBorders>
            <w:vAlign w:val="center"/>
          </w:tcPr>
          <w:p w14:paraId="6294425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7A37CF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bl>
    <w:p w14:paraId="610943C6">
      <w:pPr>
        <w:snapToGrid w:val="0"/>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3C2B0FC2">
      <w:pPr>
        <w:snapToGrid w:val="0"/>
        <w:spacing w:line="300" w:lineRule="auto"/>
        <w:ind w:firstLine="480" w:firstLineChars="200"/>
        <w:contextualSpacing/>
        <w:rPr>
          <w:rFonts w:hint="eastAsia" w:ascii="宋体" w:hAnsi="宋体" w:eastAsia="宋体" w:cs="宋体"/>
          <w:color w:val="000000"/>
          <w:sz w:val="24"/>
        </w:rPr>
      </w:pPr>
      <w:r>
        <w:rPr>
          <w:rFonts w:hint="eastAsia" w:ascii="宋体" w:hAnsi="宋体" w:eastAsia="宋体" w:cs="宋体"/>
          <w:sz w:val="24"/>
        </w:rPr>
        <w:t>1.</w:t>
      </w:r>
      <w:r>
        <w:rPr>
          <w:rFonts w:hint="eastAsia" w:ascii="宋体" w:hAnsi="宋体" w:eastAsia="宋体" w:cs="宋体"/>
          <w:color w:val="000000"/>
          <w:sz w:val="24"/>
        </w:rPr>
        <w:t>投标人提交的投标文件中与招标文件第三部分“项目需求”中的商务部分的要求，应逐条填列在偏离表中。</w:t>
      </w:r>
    </w:p>
    <w:p w14:paraId="1FAB571E">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color w:val="000000"/>
          <w:sz w:val="24"/>
        </w:rPr>
        <w:t>2.</w:t>
      </w:r>
      <w:r>
        <w:rPr>
          <w:rFonts w:hint="eastAsia" w:ascii="宋体" w:hAnsi="宋体" w:eastAsia="宋体" w:cs="宋体"/>
          <w:sz w:val="24"/>
        </w:rPr>
        <w:t>“偏离说明”一栏选择“正偏离”“无偏离”“负偏离”进行填写。正偏离的确认和</w:t>
      </w:r>
      <w:r>
        <w:rPr>
          <w:rFonts w:hint="eastAsia" w:ascii="宋体" w:hAnsi="宋体" w:eastAsia="宋体" w:cs="宋体"/>
          <w:color w:val="000000"/>
          <w:sz w:val="24"/>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sz w:val="24"/>
        </w:rPr>
        <w:t>3.投标人如果虚假响应，将依法追究有关责任。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eastAsia="zh-CN"/>
        </w:rPr>
        <w:t>投标人</w:t>
      </w:r>
      <w:r>
        <w:rPr>
          <w:rFonts w:hint="eastAsia" w:ascii="宋体" w:hAnsi="宋体" w:eastAsia="宋体" w:cs="宋体"/>
          <w:bCs/>
          <w:sz w:val="24"/>
        </w:rPr>
        <w:t>若提供其他增值服务，可以在表中自行据实填写。</w:t>
      </w:r>
    </w:p>
    <w:p w14:paraId="03A88C74">
      <w:pPr>
        <w:spacing w:line="360" w:lineRule="auto"/>
        <w:ind w:firstLine="3840" w:firstLineChars="1600"/>
        <w:jc w:val="left"/>
        <w:rPr>
          <w:rFonts w:hint="eastAsia" w:ascii="宋体" w:hAnsi="宋体" w:eastAsia="宋体" w:cs="宋体"/>
          <w:sz w:val="24"/>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303EE636">
      <w:pPr>
        <w:widowControl/>
        <w:jc w:val="left"/>
        <w:rPr>
          <w:rStyle w:val="77"/>
          <w:rFonts w:hint="eastAsia" w:ascii="宋体" w:hAnsi="宋体" w:eastAsia="宋体" w:cs="宋体"/>
          <w:color w:val="000000"/>
          <w:sz w:val="28"/>
          <w:szCs w:val="28"/>
        </w:rPr>
      </w:pPr>
    </w:p>
    <w:p w14:paraId="67D90A16">
      <w:pPr>
        <w:snapToGrid w:val="0"/>
        <w:spacing w:line="400" w:lineRule="exact"/>
        <w:contextualSpacing/>
        <w:rPr>
          <w:rFonts w:hint="eastAsia" w:ascii="宋体" w:hAnsi="宋体" w:eastAsia="宋体" w:cs="宋体"/>
          <w:sz w:val="32"/>
          <w:szCs w:val="32"/>
        </w:rPr>
      </w:pPr>
      <w:r>
        <w:rPr>
          <w:rStyle w:val="77"/>
          <w:rFonts w:hint="eastAsia" w:ascii="宋体" w:hAnsi="宋体" w:eastAsia="宋体" w:cs="宋体"/>
          <w:color w:val="000000"/>
          <w:sz w:val="28"/>
          <w:szCs w:val="28"/>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w:t>
      </w:r>
    </w:p>
    <w:p w14:paraId="75F24257">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lang w:val="en-US" w:eastAsia="zh-CN"/>
        </w:rPr>
        <w:t>技术</w:t>
      </w:r>
      <w:r>
        <w:rPr>
          <w:rStyle w:val="77"/>
          <w:rFonts w:hint="eastAsia" w:ascii="宋体" w:hAnsi="宋体" w:eastAsia="宋体" w:cs="宋体"/>
          <w:color w:val="000000"/>
          <w:sz w:val="28"/>
          <w:szCs w:val="28"/>
        </w:rPr>
        <w:t>部分偏离表</w:t>
      </w:r>
    </w:p>
    <w:p w14:paraId="52DDADB3">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9"/>
        <w:gridCol w:w="1325"/>
        <w:gridCol w:w="4713"/>
        <w:gridCol w:w="1166"/>
        <w:gridCol w:w="1488"/>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服务名称</w:t>
            </w:r>
          </w:p>
        </w:tc>
        <w:tc>
          <w:tcPr>
            <w:tcW w:w="2461"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招标文件要求的</w:t>
            </w:r>
            <w:r>
              <w:rPr>
                <w:rFonts w:hint="eastAsia" w:ascii="宋体" w:hAnsi="宋体" w:eastAsia="宋体" w:cs="宋体"/>
                <w:sz w:val="21"/>
                <w:szCs w:val="21"/>
                <w:lang w:val="en-US" w:eastAsia="zh-CN"/>
              </w:rPr>
              <w:t>技术部分</w:t>
            </w:r>
            <w:r>
              <w:rPr>
                <w:rFonts w:hint="eastAsia" w:ascii="宋体" w:hAnsi="宋体" w:eastAsia="宋体" w:cs="宋体"/>
                <w:sz w:val="21"/>
                <w:szCs w:val="21"/>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kern w:val="0"/>
                <w:sz w:val="21"/>
                <w:szCs w:val="21"/>
                <w:shd w:val="clear" w:color="auto" w:fill="FFFFFF"/>
                <w:lang w:val="en-US" w:eastAsia="zh-CN"/>
              </w:rPr>
              <w:t>★</w:t>
            </w:r>
            <w:r>
              <w:rPr>
                <w:rFonts w:hint="eastAsia" w:ascii="宋体" w:hAnsi="宋体" w:eastAsia="宋体" w:cs="宋体"/>
                <w:b w:val="0"/>
                <w:bCs w:val="0"/>
                <w:color w:val="auto"/>
                <w:sz w:val="21"/>
                <w:szCs w:val="21"/>
                <w:highlight w:val="none"/>
                <w:lang w:val="en-US" w:eastAsia="zh-CN"/>
              </w:rPr>
              <w:t>平台性能要求</w:t>
            </w:r>
          </w:p>
        </w:tc>
        <w:tc>
          <w:tcPr>
            <w:tcW w:w="2461" w:type="pct"/>
            <w:tcBorders>
              <w:top w:val="single" w:color="auto" w:sz="6" w:space="0"/>
              <w:left w:val="single" w:color="auto" w:sz="6" w:space="0"/>
              <w:bottom w:val="single" w:color="auto" w:sz="6" w:space="0"/>
              <w:right w:val="single" w:color="auto" w:sz="6" w:space="0"/>
            </w:tcBorders>
            <w:vAlign w:val="center"/>
          </w:tcPr>
          <w:p w14:paraId="47FF56A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r>
              <w:rPr>
                <w:rFonts w:hint="eastAsia" w:ascii="宋体" w:hAnsi="宋体" w:eastAsia="宋体" w:cs="宋体"/>
                <w:sz w:val="21"/>
                <w:szCs w:val="21"/>
              </w:rPr>
              <w:t xml:space="preserve"> </w:t>
            </w:r>
          </w:p>
          <w:p w14:paraId="2EB75B2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（2）技术架构：平台支持主流操作系统和数据库部署运行。平台系统版本成熟、稳定，支持单机或集群部署方案。 </w:t>
            </w:r>
          </w:p>
          <w:p w14:paraId="386394F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（3）兼容性：</w:t>
            </w:r>
            <w:r>
              <w:rPr>
                <w:rFonts w:hint="eastAsia" w:ascii="宋体" w:hAnsi="宋体" w:cs="宋体"/>
                <w:sz w:val="21"/>
                <w:szCs w:val="21"/>
                <w:lang w:eastAsia="zh-CN"/>
              </w:rPr>
              <w:t>至少满足win10、win11，32与64位系统、linux、MacOS等系统访问。浏览器应至少兼容谷歌，火狐，360，Edge、Safari等浏览器访问。支持跨平台操作，移动端应至少支持Android、IOS和鸿蒙系统使用，并与web端数据同步。</w:t>
            </w:r>
            <w:r>
              <w:rPr>
                <w:rFonts w:hint="eastAsia" w:ascii="宋体" w:hAnsi="宋体" w:eastAsia="宋体" w:cs="宋体"/>
                <w:sz w:val="21"/>
                <w:szCs w:val="21"/>
              </w:rPr>
              <w:t xml:space="preserve"> </w:t>
            </w:r>
          </w:p>
          <w:p w14:paraId="2BBBE99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（4）可靠性：在高负荷状态下能不间断、可靠、稳定运行。容量到达规定及超出规定的极限时，系统不因崩溃、异常退出等原因而导致数据错误或丢失。 </w:t>
            </w:r>
          </w:p>
          <w:p w14:paraId="3EE49AA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（5）扩展性：提供统一的系统版本。支持随用户使用量的增大而只需增加相应的硬件即可，支持服务器集群部署。 </w:t>
            </w:r>
          </w:p>
          <w:p w14:paraId="687BDFC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5AC41E4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（7）系统管理：具备系统管理员维护功能，如导入模板设置、通用规则设置、角色管理、用户管理、菜单管理、各项业务参数管理等。 </w:t>
            </w:r>
          </w:p>
          <w:p w14:paraId="1917063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（8）数据输出要求：除提供多种格式规范的业务报表之外，还应提供数据导出功能，能导出电子表格文件、DBF文件等。 </w:t>
            </w:r>
          </w:p>
          <w:p w14:paraId="4356819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（9）安全性 </w:t>
            </w:r>
          </w:p>
          <w:p w14:paraId="4AFE985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① 对于敏感数据需提供操作日志供用户通过平台随时查看。 </w:t>
            </w:r>
          </w:p>
          <w:p w14:paraId="448FD85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② 可实现数据库定期备份，包括手动备份和自动备份。 </w:t>
            </w:r>
          </w:p>
          <w:p w14:paraId="07D738B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③ 须提供系统监控平台，可7×24小时监控平台运行状况与各性能指标。 </w:t>
            </w:r>
          </w:p>
          <w:p w14:paraId="598B7C6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④ 学员信息应严格保密，需签订保密协议。 </w:t>
            </w:r>
          </w:p>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（10）用户数：满足平台≥2万注册用户，同时在线人数≥5000人。</w:t>
            </w: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692" w:type="pct"/>
            <w:tcBorders>
              <w:top w:val="single" w:color="auto" w:sz="6" w:space="0"/>
              <w:left w:val="single" w:color="auto" w:sz="6" w:space="0"/>
              <w:bottom w:val="single" w:color="auto" w:sz="6" w:space="0"/>
              <w:right w:val="single" w:color="auto" w:sz="6" w:space="0"/>
            </w:tcBorders>
            <w:vAlign w:val="center"/>
          </w:tcPr>
          <w:p w14:paraId="7C540D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平台功能</w:t>
            </w:r>
          </w:p>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需求</w:t>
            </w:r>
          </w:p>
        </w:tc>
        <w:tc>
          <w:tcPr>
            <w:tcW w:w="2461"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rPr>
            </w:pPr>
            <w:r>
              <w:rPr>
                <w:rFonts w:hint="eastAsia" w:ascii="宋体" w:hAnsi="宋体" w:eastAsia="宋体" w:cs="宋体"/>
                <w:b/>
                <w:bCs/>
                <w:kern w:val="0"/>
                <w:sz w:val="21"/>
                <w:szCs w:val="21"/>
                <w:shd w:val="clear" w:color="auto" w:fill="FFFFFF"/>
                <w:lang w:val="en-US" w:eastAsia="zh-CN"/>
              </w:rPr>
              <w:t>★</w:t>
            </w:r>
            <w:r>
              <w:rPr>
                <w:rFonts w:hint="eastAsia" w:ascii="宋体" w:hAnsi="宋体" w:cs="宋体"/>
                <w:color w:val="auto"/>
                <w:sz w:val="21"/>
                <w:szCs w:val="21"/>
                <w:highlight w:val="none"/>
                <w:lang w:val="en-US" w:eastAsia="zh-CN"/>
              </w:rPr>
              <w:t>平台功能包含①管理、②教学、③学习（含课程资源）等功能，④支持移动端。⑤平台需与学校合作银行对接，实现线上缴费并生成电子发票，除学历继续教育学生缴费外，还需支持非成教生缴费，满足学校各部门的各类收费需求。⑥平台应包括非学历教育（培训）项目统计功能，或免费提供非学历培训平台供学校使用，满足学校对二级学院培训项目的数据统计需求。⑦平台（或非学历培训平台）需为学校提供网络安全、国家安全等专题课程（不少于5门）在线学习服务，每门课程每年不少于10学时，供全校师生学习使用，记录学习数据并能生成结业证书，由此产生的平台、支持、服务器及流量储存成本由中标方承担。</w:t>
            </w: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692" w:type="pct"/>
            <w:tcBorders>
              <w:top w:val="single" w:color="auto" w:sz="6" w:space="0"/>
              <w:left w:val="single" w:color="auto" w:sz="6" w:space="0"/>
              <w:bottom w:val="single" w:color="auto" w:sz="6" w:space="0"/>
              <w:right w:val="single" w:color="auto" w:sz="6" w:space="0"/>
            </w:tcBorders>
            <w:vAlign w:val="center"/>
          </w:tcPr>
          <w:p w14:paraId="5FE6EE6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2.（1）管理平台</w:t>
            </w:r>
          </w:p>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310"/>
              <w:gridCol w:w="2408"/>
            </w:tblGrid>
            <w:tr w14:paraId="59D7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71389E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功能模块</w:t>
                  </w:r>
                </w:p>
              </w:tc>
              <w:tc>
                <w:tcPr>
                  <w:tcW w:w="1310" w:type="dxa"/>
                  <w:noWrap w:val="0"/>
                  <w:vAlign w:val="center"/>
                </w:tcPr>
                <w:p w14:paraId="7F0BA102">
                  <w:pPr>
                    <w:keepNext w:val="0"/>
                    <w:keepLines w:val="0"/>
                    <w:pageBreakBefore w:val="0"/>
                    <w:widowControl w:val="0"/>
                    <w:kinsoku w:val="0"/>
                    <w:wordWrap/>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功能操作</w:t>
                  </w:r>
                </w:p>
              </w:tc>
              <w:tc>
                <w:tcPr>
                  <w:tcW w:w="2408" w:type="dxa"/>
                  <w:noWrap w:val="0"/>
                  <w:vAlign w:val="top"/>
                </w:tcPr>
                <w:p w14:paraId="704A4A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02C3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312ED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管理工作台</w:t>
                  </w:r>
                </w:p>
              </w:tc>
              <w:tc>
                <w:tcPr>
                  <w:tcW w:w="1310" w:type="dxa"/>
                  <w:noWrap w:val="0"/>
                  <w:vAlign w:val="center"/>
                </w:tcPr>
                <w:p w14:paraId="56DCE08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快速链接</w:t>
                  </w:r>
                </w:p>
                <w:p w14:paraId="4CC54E32">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2.</w:t>
                  </w:r>
                  <w:r>
                    <w:rPr>
                      <w:rFonts w:hint="eastAsia" w:ascii="宋体" w:hAnsi="宋体" w:eastAsia="宋体" w:cs="宋体"/>
                      <w:sz w:val="21"/>
                      <w:szCs w:val="21"/>
                      <w:vertAlign w:val="baseline"/>
                      <w:lang w:val="en-US" w:eastAsia="zh-CN"/>
                    </w:rPr>
                    <w:t>个性化设置</w:t>
                  </w:r>
                </w:p>
                <w:p w14:paraId="5D1C550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3.</w:t>
                  </w:r>
                  <w:r>
                    <w:rPr>
                      <w:rFonts w:hint="eastAsia" w:ascii="宋体" w:hAnsi="宋体" w:eastAsia="宋体" w:cs="宋体"/>
                      <w:sz w:val="21"/>
                      <w:szCs w:val="21"/>
                      <w:vertAlign w:val="baseline"/>
                      <w:lang w:val="en-US" w:eastAsia="zh-CN"/>
                    </w:rPr>
                    <w:t>角色切换</w:t>
                  </w:r>
                </w:p>
              </w:tc>
              <w:tc>
                <w:tcPr>
                  <w:tcW w:w="2408" w:type="dxa"/>
                  <w:noWrap w:val="0"/>
                  <w:vAlign w:val="top"/>
                </w:tcPr>
                <w:p w14:paraId="63B7662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4B125A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2.实现在线咨询及智能问答功能</w:t>
                  </w:r>
                </w:p>
                <w:p w14:paraId="6F1531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3.无需重新登录实现多重角色切换功能</w:t>
                  </w:r>
                </w:p>
                <w:p w14:paraId="4749EE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4.实现常用功能收藏区，提升操作效率</w:t>
                  </w:r>
                </w:p>
              </w:tc>
            </w:tr>
            <w:tr w14:paraId="0CAC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6C6B3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▲系统设置</w:t>
                  </w:r>
                </w:p>
              </w:tc>
              <w:tc>
                <w:tcPr>
                  <w:tcW w:w="1310" w:type="dxa"/>
                  <w:noWrap w:val="0"/>
                  <w:vAlign w:val="center"/>
                </w:tcPr>
                <w:p w14:paraId="36F3C2F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1.教学设置</w:t>
                  </w:r>
                </w:p>
                <w:p w14:paraId="14FBA79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2.日志管理</w:t>
                  </w:r>
                </w:p>
                <w:p w14:paraId="0E0D310C">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3.工作流设置</w:t>
                  </w:r>
                </w:p>
              </w:tc>
              <w:tc>
                <w:tcPr>
                  <w:tcW w:w="2408" w:type="dxa"/>
                  <w:noWrap w:val="0"/>
                  <w:vAlign w:val="top"/>
                </w:tcPr>
                <w:p w14:paraId="375EBF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1.实现开课设置、教材设置、学期设置、生源设置、登录设置等功能，助于教学工作开展</w:t>
                  </w:r>
                </w:p>
                <w:p w14:paraId="578A81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2.日志管理包括不限于登录日志、操作日志、异常日志等</w:t>
                  </w:r>
                </w:p>
                <w:p w14:paraId="40AAB2E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vertAlign w:val="baseline"/>
                      <w:lang w:val="en-US" w:eastAsia="zh-CN"/>
                    </w:rPr>
                    <w:t>支持常用工作流自定义</w:t>
                  </w:r>
                </w:p>
                <w:p w14:paraId="2D48F9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包括但不限于学籍异动申请、毕业申请等，可添加多级审核节点，支持审核流程关联相应的业务表单。</w:t>
                  </w:r>
                </w:p>
              </w:tc>
            </w:tr>
            <w:tr w14:paraId="4838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53ED06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▲基础数据</w:t>
                  </w:r>
                </w:p>
              </w:tc>
              <w:tc>
                <w:tcPr>
                  <w:tcW w:w="1310" w:type="dxa"/>
                  <w:noWrap w:val="0"/>
                  <w:vAlign w:val="center"/>
                </w:tcPr>
                <w:p w14:paraId="6005E477">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1.角色管理</w:t>
                  </w:r>
                </w:p>
                <w:p w14:paraId="096B957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2.权限管理</w:t>
                  </w:r>
                </w:p>
                <w:p w14:paraId="36AD055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3.教学点管理</w:t>
                  </w:r>
                </w:p>
                <w:p w14:paraId="77B63A77">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4.专业管理</w:t>
                  </w:r>
                </w:p>
                <w:p w14:paraId="52F7B9A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5.报表管理</w:t>
                  </w:r>
                </w:p>
                <w:p w14:paraId="6919E89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6.打印模板管理</w:t>
                  </w:r>
                </w:p>
              </w:tc>
              <w:tc>
                <w:tcPr>
                  <w:tcW w:w="2408" w:type="dxa"/>
                  <w:noWrap w:val="0"/>
                  <w:vAlign w:val="top"/>
                </w:tcPr>
                <w:p w14:paraId="272E264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1.支持用户分级管理以及角色自定义</w:t>
                  </w:r>
                </w:p>
                <w:p w14:paraId="10A183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2.支持数据权限依照角色设定</w:t>
                  </w:r>
                </w:p>
                <w:p w14:paraId="349CA4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3.支持教学点信息维护及备案</w:t>
                  </w:r>
                </w:p>
                <w:p w14:paraId="635516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4.实现专业信息维护</w:t>
                  </w:r>
                </w:p>
                <w:p w14:paraId="59194A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支持自定义报表及推送</w:t>
                  </w:r>
                </w:p>
                <w:p w14:paraId="7F287B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支持新增自定义报表，显示范围是高校或者教学点。报表组件库包括学校所需数据，并能支持随意拖动显示所需报表。</w:t>
                  </w:r>
                </w:p>
                <w:p w14:paraId="66CC0B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6.内置多种常用打印模板，包括学籍卡、登记卡、成绩单、毕业生登记表、学籍异动申请表等，同时支持打印模板自定义</w:t>
                  </w:r>
                </w:p>
              </w:tc>
            </w:tr>
            <w:tr w14:paraId="0867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848A0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待办通知</w:t>
                  </w:r>
                </w:p>
              </w:tc>
              <w:tc>
                <w:tcPr>
                  <w:tcW w:w="1310" w:type="dxa"/>
                  <w:noWrap w:val="0"/>
                  <w:vAlign w:val="center"/>
                </w:tcPr>
                <w:p w14:paraId="314B0DD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1.创建待办</w:t>
                  </w:r>
                </w:p>
                <w:p w14:paraId="325E3F2C">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2.设置通知</w:t>
                  </w:r>
                </w:p>
                <w:p w14:paraId="02753B0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3.处理提醒</w:t>
                  </w:r>
                </w:p>
              </w:tc>
              <w:tc>
                <w:tcPr>
                  <w:tcW w:w="2408" w:type="dxa"/>
                  <w:noWrap w:val="0"/>
                  <w:vAlign w:val="top"/>
                </w:tcPr>
                <w:p w14:paraId="14F96C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1.支持对指定用户发布通知公告，可进行弹窗提醒</w:t>
                  </w:r>
                </w:p>
                <w:p w14:paraId="78A5AD3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2.支持查阅统计详情及阅读状态</w:t>
                  </w:r>
                </w:p>
                <w:p w14:paraId="42697E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3.实现待办处理功能</w:t>
                  </w:r>
                </w:p>
              </w:tc>
            </w:tr>
            <w:tr w14:paraId="4190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93FC4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▲招生录取</w:t>
                  </w:r>
                </w:p>
              </w:tc>
              <w:tc>
                <w:tcPr>
                  <w:tcW w:w="1310" w:type="dxa"/>
                  <w:noWrap w:val="0"/>
                  <w:vAlign w:val="center"/>
                </w:tcPr>
                <w:p w14:paraId="29339272">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1.招生计划</w:t>
                  </w:r>
                </w:p>
                <w:p w14:paraId="0F55D28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2.生源组织</w:t>
                  </w:r>
                </w:p>
                <w:p w14:paraId="3BEC443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3.学生录取报名</w:t>
                  </w:r>
                </w:p>
              </w:tc>
              <w:tc>
                <w:tcPr>
                  <w:tcW w:w="2408" w:type="dxa"/>
                  <w:noWrap w:val="0"/>
                  <w:vAlign w:val="top"/>
                </w:tcPr>
                <w:p w14:paraId="5348DD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1.支持招生计划制定及申报，可设定招生登记模板</w:t>
                  </w:r>
                </w:p>
                <w:p w14:paraId="39F2735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2.实现招生匹配功能</w:t>
                  </w:r>
                </w:p>
                <w:p w14:paraId="5C0BA2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3.支持查看各教学点的招生统计信息</w:t>
                  </w:r>
                </w:p>
                <w:p w14:paraId="2E34B9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4.可按照DBF或EXCEL格式导入学生录取信息，实现录取名册的管理与维护</w:t>
                  </w:r>
                </w:p>
                <w:p w14:paraId="728843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5.支持学员自主入学报到</w:t>
                  </w:r>
                </w:p>
                <w:p w14:paraId="250C7C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6.支持批量导入学籍照片及入学登记表</w:t>
                  </w:r>
                </w:p>
                <w:p w14:paraId="44C6F7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7.实现学号分配规则自定义</w:t>
                  </w:r>
                </w:p>
                <w:p w14:paraId="44DF930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8.支持在线自定义设计录取通知书模板，可对录取通知书实现批量下载及打印操作</w:t>
                  </w:r>
                </w:p>
                <w:p w14:paraId="0BC1B2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实现入学核验功能</w:t>
                  </w:r>
                </w:p>
                <w:p w14:paraId="5BB3BA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支持学校导入学生录取信息后，自动同步到待核验列表，可设置是否开启入学核验、入学核验开放的年级、开放的时间、是否关联到注册；如果开启关联注册必须通过入学核验才能注册。系统可自动生成核验地址和移动端核验的二维码，核验二维码能提供不同尺寸大小的二维码下载，满足学校不同场景使用需求。支持学生PC端和移动端进行身份核验。支持人脸识别、可对录取照片、采集照片进行比对，给予比对意见，比对不通过的支持手动上传、修改。 </w:t>
                  </w:r>
                </w:p>
              </w:tc>
            </w:tr>
            <w:tr w14:paraId="4798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DF99E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▲学籍管理</w:t>
                  </w:r>
                </w:p>
              </w:tc>
              <w:tc>
                <w:tcPr>
                  <w:tcW w:w="1310" w:type="dxa"/>
                  <w:noWrap w:val="0"/>
                  <w:vAlign w:val="center"/>
                </w:tcPr>
                <w:p w14:paraId="2D0EAD88">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1.学籍注册</w:t>
                  </w:r>
                </w:p>
                <w:p w14:paraId="7979F84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2.学生信息管理</w:t>
                  </w:r>
                </w:p>
                <w:p w14:paraId="758CCB5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3.学籍异动</w:t>
                  </w:r>
                </w:p>
              </w:tc>
              <w:tc>
                <w:tcPr>
                  <w:tcW w:w="2408" w:type="dxa"/>
                  <w:noWrap w:val="0"/>
                  <w:vAlign w:val="top"/>
                </w:tcPr>
                <w:p w14:paraId="7EB60A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1.支持批量学籍注册</w:t>
                  </w:r>
                </w:p>
                <w:p w14:paraId="02340C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2.实现全面灵活的在籍学生信息导出功能</w:t>
                  </w:r>
                </w:p>
                <w:p w14:paraId="2DB1EE5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3.支持学生信息管理以及学员模拟登录</w:t>
                  </w:r>
                </w:p>
                <w:p w14:paraId="60DBD8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4.支持多种异动类型包括但不限于休退学、复学、留级、转专业、转教学点等</w:t>
                  </w:r>
                </w:p>
                <w:p w14:paraId="6A31E8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5.学员可自主申请异动或管理员代申请，支持在线签名或电子签章。</w:t>
                  </w:r>
                </w:p>
                <w:p w14:paraId="4FCC40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6.实现学籍异动前后的成绩转换功能</w:t>
                  </w:r>
                </w:p>
              </w:tc>
            </w:tr>
            <w:tr w14:paraId="776F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3ABAC0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▲教务管理</w:t>
                  </w:r>
                </w:p>
              </w:tc>
              <w:tc>
                <w:tcPr>
                  <w:tcW w:w="1310" w:type="dxa"/>
                  <w:noWrap w:val="0"/>
                  <w:vAlign w:val="center"/>
                </w:tcPr>
                <w:p w14:paraId="237509A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1.教学计划</w:t>
                  </w:r>
                </w:p>
                <w:p w14:paraId="4348E65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2.教学实施进程</w:t>
                  </w:r>
                </w:p>
                <w:p w14:paraId="72C4A646">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3.班级管理</w:t>
                  </w:r>
                </w:p>
                <w:p w14:paraId="4B3DB3A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4.课程管理</w:t>
                  </w:r>
                </w:p>
                <w:p w14:paraId="5C662F90">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5.师资管理</w:t>
                  </w:r>
                </w:p>
                <w:p w14:paraId="1DFB215E">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6.实训实习管理</w:t>
                  </w:r>
                </w:p>
                <w:p w14:paraId="1E25A21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7.督导管理</w:t>
                  </w:r>
                </w:p>
              </w:tc>
              <w:tc>
                <w:tcPr>
                  <w:tcW w:w="2408" w:type="dxa"/>
                  <w:noWrap w:val="0"/>
                  <w:vAlign w:val="top"/>
                </w:tcPr>
                <w:p w14:paraId="0190797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支持设定各专业层次教学计划以及各教学点的特定教学计划，实现个性化教学</w:t>
                  </w:r>
                </w:p>
                <w:p w14:paraId="6DE0377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kern w:val="2"/>
                      <w:sz w:val="21"/>
                      <w:szCs w:val="21"/>
                      <w:vertAlign w:val="baseline"/>
                      <w:lang w:val="en-US" w:eastAsia="zh-CN" w:bidi="ar-SA"/>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可实现教学实施进程表的自动生成及导出</w:t>
                  </w:r>
                </w:p>
                <w:p w14:paraId="5955CAD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实现自动生成标准化的教学实施进程管理框架，也可按照系统提供的导入模板一键导入教学实施进程表。支持教学实施进程表的一键导出，导出的文件格式与省教育厅要求的文件格式一致。</w:t>
                  </w:r>
                </w:p>
                <w:p w14:paraId="57C983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3.实现导入分班信息以及设定班主任功能，支持手动调班</w:t>
                  </w:r>
                </w:p>
                <w:p w14:paraId="2FE2760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lang w:val="en-US" w:eastAsia="zh-CN"/>
                    </w:rPr>
                    <w:t>实现排课管理</w:t>
                  </w:r>
                </w:p>
                <w:p w14:paraId="41CD10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实现对线下面授课表的上传，支持通过Excel格式批量导入已有的课表数据，同时提供手动新增课表功能，提供月视图和表格视图两种课表展示模式，可对排课规则和避免冲突的条件进行详细设置，可实现快速排课。支持对已排课次进行调整。</w:t>
                  </w:r>
                </w:p>
                <w:p w14:paraId="3DAC5ED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5.支持教师提交调课申请</w:t>
                  </w:r>
                </w:p>
                <w:p w14:paraId="4767F0E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6.支持师资录入及审核，教师可担任多种教学角色，实现教师的管辖范围设定</w:t>
                  </w:r>
                </w:p>
                <w:p w14:paraId="034302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7.</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vertAlign w:val="baseline"/>
                      <w:lang w:val="en-US" w:eastAsia="zh-CN"/>
                    </w:rPr>
                    <w:t>实现学生在线提交实训实习报告以及教师评阅功能</w:t>
                  </w:r>
                </w:p>
                <w:p w14:paraId="343F88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对学员实训实习报告进行管理，管理员可按照课程设定需要学员提交的数据表单，并设置表单提交开始及截止时间。支持汇总查看学员的提交记录，可在线查看学员提交的实训实习报告内容，填写审核意见并对报告进行评分。</w:t>
                  </w:r>
                </w:p>
                <w:p w14:paraId="33B05D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8.实现对教师的教学评教功能</w:t>
                  </w:r>
                </w:p>
                <w:p w14:paraId="1886E1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9.实现教学预警在线督导功能，支持自定义督导条件</w:t>
                  </w:r>
                </w:p>
              </w:tc>
            </w:tr>
            <w:tr w14:paraId="2FD1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88949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▲学务管理</w:t>
                  </w:r>
                </w:p>
              </w:tc>
              <w:tc>
                <w:tcPr>
                  <w:tcW w:w="1310" w:type="dxa"/>
                  <w:noWrap w:val="0"/>
                  <w:vAlign w:val="center"/>
                </w:tcPr>
                <w:p w14:paraId="3B60836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1.在线学习</w:t>
                  </w:r>
                </w:p>
                <w:p w14:paraId="7F036D4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2.直播课管理</w:t>
                  </w:r>
                </w:p>
                <w:p w14:paraId="36641B6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3.练习作业</w:t>
                  </w:r>
                </w:p>
                <w:p w14:paraId="54C7587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4.考勤管理</w:t>
                  </w:r>
                </w:p>
              </w:tc>
              <w:tc>
                <w:tcPr>
                  <w:tcW w:w="2408" w:type="dxa"/>
                  <w:noWrap w:val="0"/>
                  <w:vAlign w:val="top"/>
                </w:tcPr>
                <w:p w14:paraId="3E0986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1.实现学员学习情况记录及统计，支持多维度展现</w:t>
                  </w:r>
                </w:p>
                <w:p w14:paraId="6CACF99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2.实现自建课管理功能</w:t>
                  </w:r>
                </w:p>
                <w:p w14:paraId="5DBAF3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3.教师可创建直播课程，在线发起直播，直播间配备指导手册，直播件具备硬件设备检测、上传直播课件、教学画面共享、师生互动等功能</w:t>
                  </w:r>
                </w:p>
                <w:p w14:paraId="30988A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4.支持直播后自动生成回放，可对录播视频进行在线剪辑操作</w:t>
                  </w:r>
                </w:p>
                <w:p w14:paraId="20AB2F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5.实现直播辅助及课程旁听功能</w:t>
                  </w:r>
                </w:p>
                <w:p w14:paraId="2CC5A17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6.实现在线作业及在线练习功能</w:t>
                  </w:r>
                </w:p>
                <w:p w14:paraId="722D61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7.支持辅导资料下发</w:t>
                  </w:r>
                </w:p>
                <w:p w14:paraId="506CC3F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8.实现课程考勤功能，考勤方式包括在线考勤或线下考勤记录导入</w:t>
                  </w:r>
                </w:p>
              </w:tc>
            </w:tr>
            <w:tr w14:paraId="6956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FA8E0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▲考务管理</w:t>
                  </w:r>
                </w:p>
              </w:tc>
              <w:tc>
                <w:tcPr>
                  <w:tcW w:w="1310" w:type="dxa"/>
                  <w:noWrap w:val="0"/>
                  <w:vAlign w:val="center"/>
                </w:tcPr>
                <w:p w14:paraId="5806529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1.在线考试</w:t>
                  </w:r>
                </w:p>
                <w:p w14:paraId="282CF8D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2.线下考试</w:t>
                  </w:r>
                </w:p>
                <w:p w14:paraId="5F994AE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3.成绩管理</w:t>
                  </w:r>
                </w:p>
                <w:p w14:paraId="658B357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4.缓考补考</w:t>
                  </w:r>
                </w:p>
              </w:tc>
              <w:tc>
                <w:tcPr>
                  <w:tcW w:w="2408" w:type="dxa"/>
                  <w:noWrap w:val="0"/>
                  <w:vAlign w:val="top"/>
                </w:tcPr>
                <w:p w14:paraId="5453DD5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1.实现高校题库建设及管理功能，支持多题型导入</w:t>
                  </w:r>
                  <w:r>
                    <w:rPr>
                      <w:rFonts w:hint="eastAsia" w:ascii="宋体" w:hAnsi="宋体" w:eastAsia="宋体" w:cs="宋体"/>
                      <w:color w:val="auto"/>
                      <w:sz w:val="21"/>
                      <w:szCs w:val="21"/>
                      <w:vertAlign w:val="baseline"/>
                      <w:lang w:val="en-US" w:eastAsia="zh-CN"/>
                    </w:rPr>
                    <w:t>，系统可自动去重校验</w:t>
                  </w:r>
                </w:p>
                <w:p w14:paraId="0C50973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2.支持从题库中进行随机组卷或手动组卷，可将组卷完成的试卷进行预览、导出及在线打印</w:t>
                  </w:r>
                </w:p>
                <w:p w14:paraId="77A62CB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3.支持组织多种类型的考试及在线排考</w:t>
                  </w:r>
                </w:p>
                <w:p w14:paraId="0DA01FF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highlight w:val="none"/>
                      <w:vertAlign w:val="baseline"/>
                      <w:lang w:val="en-US" w:eastAsia="zh-CN"/>
                    </w:rPr>
                    <w:t>实现考试设置，包括但不限于智能防作弊、人脸识别等</w:t>
                  </w:r>
                </w:p>
                <w:p w14:paraId="671EE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kern w:val="0"/>
                      <w:sz w:val="21"/>
                      <w:szCs w:val="21"/>
                      <w:highlight w:val="none"/>
                      <w:lang w:eastAsia="zh-Hans"/>
                    </w:rPr>
                    <w:t>支持设置允许考试的次数并可以启用人脸识别功能；启动笔记本摄像头并通过人脸识别进入考试，考试过程中系统可以随机截取考试图像保存至服务器；考试异常中断或关闭浏览器，再次登录可以保留答题记录继续完成考试。</w:t>
                  </w:r>
                </w:p>
                <w:p w14:paraId="0A45E5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5.实现考试结果客观题自动批阅，主观题由教师批阅，以及考试成绩发布功能</w:t>
                  </w:r>
                </w:p>
                <w:p w14:paraId="418CE84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6.实现自动生成补考名单</w:t>
                  </w:r>
                </w:p>
                <w:p w14:paraId="24B33B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7.支持学生提交缓考或补考申请。</w:t>
                  </w:r>
                </w:p>
              </w:tc>
            </w:tr>
            <w:tr w14:paraId="46500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5E61E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▲毕业管理</w:t>
                  </w:r>
                </w:p>
              </w:tc>
              <w:tc>
                <w:tcPr>
                  <w:tcW w:w="1310" w:type="dxa"/>
                  <w:noWrap w:val="0"/>
                  <w:vAlign w:val="center"/>
                </w:tcPr>
                <w:p w14:paraId="588F8DF8">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1.论文管理</w:t>
                  </w:r>
                </w:p>
                <w:p w14:paraId="7F3F5B1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2.毕业审核</w:t>
                  </w:r>
                </w:p>
                <w:p w14:paraId="57DEDD6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3.毕业生管理</w:t>
                  </w:r>
                </w:p>
              </w:tc>
              <w:tc>
                <w:tcPr>
                  <w:tcW w:w="2408" w:type="dxa"/>
                  <w:noWrap w:val="0"/>
                  <w:vAlign w:val="top"/>
                </w:tcPr>
                <w:p w14:paraId="10F05E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1.可自定义论文提交设置</w:t>
                  </w:r>
                </w:p>
                <w:p w14:paraId="1AD442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2.实现论文批次及流程设置，包括开题报告、论文初稿、论文终稿等</w:t>
                  </w:r>
                </w:p>
                <w:p w14:paraId="4268CB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3.实现论文方向管理</w:t>
                  </w:r>
                </w:p>
                <w:p w14:paraId="1B4A40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4.实现论文指导教师管理</w:t>
                  </w:r>
                </w:p>
                <w:p w14:paraId="61AF94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5.实现论文答辩管理，支持创建答辩批次、设置答辩委员会、分配答辩学员，答辩方式包括直播答辩或现场答辩，可在线导出答辩评审表</w:t>
                  </w:r>
                </w:p>
                <w:p w14:paraId="324E7E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6.实现学员论文成绩的提交和批量导入导出操作</w:t>
                  </w:r>
                </w:p>
                <w:p w14:paraId="30DE62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7.实现论文抽查管理</w:t>
                  </w:r>
                </w:p>
                <w:p w14:paraId="400C097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8.</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lang w:val="en-US" w:eastAsia="zh-CN"/>
                    </w:rPr>
                    <w:t>实现毕业审核管理</w:t>
                  </w:r>
                </w:p>
                <w:p w14:paraId="24511C2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支持设置毕业审核条件，可自动筛选未达毕业条件学生名单，支持自动显示预毕业学生名单。</w:t>
                  </w:r>
                </w:p>
                <w:p w14:paraId="2922F10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9.实现毕业登记表功能</w:t>
                  </w:r>
                </w:p>
                <w:p w14:paraId="1ADC016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10.支持优秀毕业生管理</w:t>
                  </w:r>
                </w:p>
              </w:tc>
            </w:tr>
            <w:tr w14:paraId="6081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3A257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▲财务管理</w:t>
                  </w:r>
                </w:p>
              </w:tc>
              <w:tc>
                <w:tcPr>
                  <w:tcW w:w="1310" w:type="dxa"/>
                  <w:noWrap w:val="0"/>
                  <w:vAlign w:val="center"/>
                </w:tcPr>
                <w:p w14:paraId="74699A6E">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1.学生缴费</w:t>
                  </w:r>
                </w:p>
                <w:p w14:paraId="63C75046">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2.财务对账</w:t>
                  </w:r>
                </w:p>
                <w:p w14:paraId="5937F11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3.学费返款</w:t>
                  </w:r>
                </w:p>
              </w:tc>
              <w:tc>
                <w:tcPr>
                  <w:tcW w:w="2408" w:type="dxa"/>
                  <w:noWrap w:val="0"/>
                  <w:vAlign w:val="top"/>
                </w:tcPr>
                <w:p w14:paraId="217E1E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1.实现多种缴费类型的自定义设置</w:t>
                  </w:r>
                </w:p>
                <w:p w14:paraId="76421A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2.缴费类型支持线上缴费及线下缴费导入</w:t>
                  </w:r>
                </w:p>
                <w:p w14:paraId="507EE19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3.支持缴费对账单的生成及导出，查看缴费明细</w:t>
                  </w:r>
                </w:p>
              </w:tc>
            </w:tr>
            <w:tr w14:paraId="0FD9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124FC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▲数据统计</w:t>
                  </w:r>
                </w:p>
              </w:tc>
              <w:tc>
                <w:tcPr>
                  <w:tcW w:w="1310" w:type="dxa"/>
                  <w:noWrap w:val="0"/>
                  <w:vAlign w:val="center"/>
                </w:tcPr>
                <w:p w14:paraId="7B41737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1.统计报表及导出</w:t>
                  </w:r>
                </w:p>
              </w:tc>
              <w:tc>
                <w:tcPr>
                  <w:tcW w:w="2408" w:type="dxa"/>
                  <w:noWrap w:val="0"/>
                  <w:vAlign w:val="top"/>
                </w:tcPr>
                <w:p w14:paraId="552C4F8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1.提供全面精准的数据统计能力，提供多维度统计报告并支持导出</w:t>
                  </w:r>
                </w:p>
                <w:p w14:paraId="7EA19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提供数据看板功能</w:t>
                  </w:r>
                </w:p>
                <w:p w14:paraId="0401E3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vertAlign w:val="baseline"/>
                      <w:lang w:val="en-US" w:eastAsia="zh-CN"/>
                    </w:rPr>
                    <w:t>对各年级学生数、专业分布、课程通过率，在线学习完成度等数据进行数据化、图形化的动态分析。</w:t>
                  </w:r>
                </w:p>
              </w:tc>
            </w:tr>
          </w:tbl>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4</w:t>
            </w:r>
          </w:p>
        </w:tc>
        <w:tc>
          <w:tcPr>
            <w:tcW w:w="692" w:type="pct"/>
            <w:tcBorders>
              <w:top w:val="single" w:color="auto" w:sz="6" w:space="0"/>
              <w:left w:val="single" w:color="auto" w:sz="6" w:space="0"/>
              <w:bottom w:val="single" w:color="auto" w:sz="6" w:space="0"/>
              <w:right w:val="single" w:color="auto" w:sz="6" w:space="0"/>
            </w:tcBorders>
            <w:vAlign w:val="center"/>
          </w:tcPr>
          <w:p w14:paraId="32B1F63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2.（2）教学平台</w:t>
            </w:r>
          </w:p>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300"/>
              <w:gridCol w:w="2378"/>
            </w:tblGrid>
            <w:tr w14:paraId="5E9B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126465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29291B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模块</w:t>
                  </w:r>
                </w:p>
              </w:tc>
              <w:tc>
                <w:tcPr>
                  <w:tcW w:w="1300" w:type="dxa"/>
                  <w:noWrap w:val="0"/>
                  <w:vAlign w:val="center"/>
                </w:tcPr>
                <w:p w14:paraId="5DD4E6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440D86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操作</w:t>
                  </w:r>
                </w:p>
              </w:tc>
              <w:tc>
                <w:tcPr>
                  <w:tcW w:w="2378" w:type="dxa"/>
                  <w:noWrap w:val="0"/>
                  <w:vAlign w:val="center"/>
                </w:tcPr>
                <w:p w14:paraId="31973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4929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1414E9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教师工作台</w:t>
                  </w:r>
                </w:p>
              </w:tc>
              <w:tc>
                <w:tcPr>
                  <w:tcW w:w="1300" w:type="dxa"/>
                  <w:noWrap w:val="0"/>
                  <w:vAlign w:val="center"/>
                </w:tcPr>
                <w:p w14:paraId="13762F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1.快速链接</w:t>
                  </w:r>
                </w:p>
                <w:p w14:paraId="360860D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2.个性化设置</w:t>
                  </w:r>
                </w:p>
                <w:p w14:paraId="2846EB7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3.角色切换</w:t>
                  </w:r>
                </w:p>
              </w:tc>
              <w:tc>
                <w:tcPr>
                  <w:tcW w:w="2378" w:type="dxa"/>
                  <w:noWrap w:val="0"/>
                  <w:vAlign w:val="top"/>
                </w:tcPr>
                <w:p w14:paraId="608C12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4EC7D01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2.实现在线咨询及智能问答功能</w:t>
                  </w:r>
                </w:p>
                <w:p w14:paraId="630187A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3.无需重新登录实现多重角色切换功能</w:t>
                  </w:r>
                </w:p>
                <w:p w14:paraId="4A69A80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4.实现常用功能收藏区，提升操作效率</w:t>
                  </w:r>
                </w:p>
              </w:tc>
            </w:tr>
            <w:tr w14:paraId="5371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7B8B0F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课程管理</w:t>
                  </w:r>
                </w:p>
              </w:tc>
              <w:tc>
                <w:tcPr>
                  <w:tcW w:w="1300" w:type="dxa"/>
                  <w:noWrap w:val="0"/>
                  <w:vAlign w:val="center"/>
                </w:tcPr>
                <w:p w14:paraId="54C723E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1.课程资源管理</w:t>
                  </w:r>
                </w:p>
                <w:p w14:paraId="5A4D0C2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2.自建课</w:t>
                  </w:r>
                </w:p>
                <w:p w14:paraId="4FFB716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3.学生学习管理</w:t>
                  </w:r>
                </w:p>
              </w:tc>
              <w:tc>
                <w:tcPr>
                  <w:tcW w:w="2378" w:type="dxa"/>
                  <w:noWrap w:val="0"/>
                  <w:vAlign w:val="top"/>
                </w:tcPr>
                <w:p w14:paraId="7F9747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1.支持课程资源上传、资源检索和资源共享</w:t>
                  </w:r>
                </w:p>
                <w:p w14:paraId="3AFA6B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sz w:val="21"/>
                      <w:szCs w:val="21"/>
                      <w:vertAlign w:val="baseline"/>
                      <w:lang w:val="en-US" w:eastAsia="zh-CN"/>
                    </w:rPr>
                    <w:t>支持教师自建课程并维护</w:t>
                  </w:r>
                </w:p>
                <w:p w14:paraId="2C33C4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3.可实现教学资源的预览以及查看学员学习情况，对未达学习进度的学员可进行督导</w:t>
                  </w:r>
                </w:p>
              </w:tc>
            </w:tr>
            <w:tr w14:paraId="7860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2BCCF5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面授课堂管理</w:t>
                  </w:r>
                </w:p>
              </w:tc>
              <w:tc>
                <w:tcPr>
                  <w:tcW w:w="1300" w:type="dxa"/>
                  <w:noWrap w:val="0"/>
                  <w:vAlign w:val="center"/>
                </w:tcPr>
                <w:p w14:paraId="5EA3DE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1.管理教案</w:t>
                  </w:r>
                </w:p>
                <w:p w14:paraId="5E608AF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2.添加教学活动</w:t>
                  </w:r>
                </w:p>
                <w:p w14:paraId="645A50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3.课程签到</w:t>
                  </w:r>
                </w:p>
                <w:p w14:paraId="72DFBCB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4.课程报告</w:t>
                  </w:r>
                </w:p>
              </w:tc>
              <w:tc>
                <w:tcPr>
                  <w:tcW w:w="2378" w:type="dxa"/>
                  <w:noWrap w:val="0"/>
                  <w:vAlign w:val="top"/>
                </w:tcPr>
                <w:p w14:paraId="7C3609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1.支持教师编辑或导入教案信息，并关联教学目标</w:t>
                  </w:r>
                </w:p>
                <w:p w14:paraId="55D20B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2.支持在各个教学环节添加教学活动，实现教学互动功能</w:t>
                  </w:r>
                </w:p>
                <w:p w14:paraId="245F11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3.支持发起签到并统计签到信息</w:t>
                  </w:r>
                </w:p>
                <w:p w14:paraId="67CDA4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4.可查看课堂报告</w:t>
                  </w:r>
                </w:p>
              </w:tc>
            </w:tr>
            <w:tr w14:paraId="0CCB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4F2BE3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直播授课管理</w:t>
                  </w:r>
                </w:p>
              </w:tc>
              <w:tc>
                <w:tcPr>
                  <w:tcW w:w="1300" w:type="dxa"/>
                  <w:noWrap w:val="0"/>
                  <w:vAlign w:val="center"/>
                </w:tcPr>
                <w:p w14:paraId="221EA8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1.发起直播</w:t>
                  </w:r>
                </w:p>
                <w:p w14:paraId="3B9D52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2.直播互动</w:t>
                  </w:r>
                </w:p>
              </w:tc>
              <w:tc>
                <w:tcPr>
                  <w:tcW w:w="2378" w:type="dxa"/>
                  <w:noWrap w:val="0"/>
                  <w:vAlign w:val="top"/>
                </w:tcPr>
                <w:p w14:paraId="3F44DD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1.可管理直播间信息</w:t>
                  </w:r>
                </w:p>
                <w:p w14:paraId="3EE963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2.直播后可查看回放</w:t>
                  </w:r>
                </w:p>
              </w:tc>
            </w:tr>
            <w:tr w14:paraId="1FDF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5CA83A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作业练习管理</w:t>
                  </w:r>
                </w:p>
              </w:tc>
              <w:tc>
                <w:tcPr>
                  <w:tcW w:w="1300" w:type="dxa"/>
                  <w:noWrap w:val="0"/>
                  <w:vAlign w:val="center"/>
                </w:tcPr>
                <w:p w14:paraId="3EB6B41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1.作业部署</w:t>
                  </w:r>
                </w:p>
                <w:p w14:paraId="05DDFE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2.练习设置</w:t>
                  </w:r>
                </w:p>
              </w:tc>
              <w:tc>
                <w:tcPr>
                  <w:tcW w:w="2378" w:type="dxa"/>
                  <w:noWrap w:val="0"/>
                  <w:vAlign w:val="top"/>
                </w:tcPr>
                <w:p w14:paraId="54A9E5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1.可按照班级或课程发布作业信息，查看学生作业提交情况，进行作业批阅</w:t>
                  </w:r>
                </w:p>
                <w:p w14:paraId="6A61AA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2.可按照教学需求设置练习试卷</w:t>
                  </w:r>
                </w:p>
              </w:tc>
            </w:tr>
            <w:tr w14:paraId="03EE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76ADA3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论文指导及评阅</w:t>
                  </w:r>
                </w:p>
              </w:tc>
              <w:tc>
                <w:tcPr>
                  <w:tcW w:w="1300" w:type="dxa"/>
                  <w:noWrap w:val="0"/>
                  <w:vAlign w:val="center"/>
                </w:tcPr>
                <w:p w14:paraId="3C6B6F8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1.论文指导</w:t>
                  </w:r>
                </w:p>
                <w:p w14:paraId="331C87D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2.论文评阅</w:t>
                  </w:r>
                </w:p>
              </w:tc>
              <w:tc>
                <w:tcPr>
                  <w:tcW w:w="2378" w:type="dxa"/>
                  <w:noWrap w:val="0"/>
                  <w:vAlign w:val="top"/>
                </w:tcPr>
                <w:p w14:paraId="6679ED3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1.可发布论文提交要求，审核学生提交的论文材料</w:t>
                  </w:r>
                </w:p>
                <w:p w14:paraId="49062C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2.支持论文的在线评阅以及成绩录入</w:t>
                  </w:r>
                </w:p>
              </w:tc>
            </w:tr>
          </w:tbl>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5FB19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7B907D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5</w:t>
            </w:r>
          </w:p>
        </w:tc>
        <w:tc>
          <w:tcPr>
            <w:tcW w:w="692" w:type="pct"/>
            <w:tcBorders>
              <w:top w:val="single" w:color="auto" w:sz="6" w:space="0"/>
              <w:left w:val="single" w:color="auto" w:sz="6" w:space="0"/>
              <w:bottom w:val="single" w:color="auto" w:sz="6" w:space="0"/>
              <w:right w:val="single" w:color="auto" w:sz="6" w:space="0"/>
            </w:tcBorders>
            <w:vAlign w:val="center"/>
          </w:tcPr>
          <w:p w14:paraId="20B89F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2.（3）学生平台</w:t>
            </w:r>
          </w:p>
          <w:p w14:paraId="7DBD9D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274"/>
              <w:gridCol w:w="2424"/>
            </w:tblGrid>
            <w:tr w14:paraId="4BF5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5C40C2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233FE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模块</w:t>
                  </w:r>
                </w:p>
              </w:tc>
              <w:tc>
                <w:tcPr>
                  <w:tcW w:w="1274" w:type="dxa"/>
                  <w:noWrap w:val="0"/>
                  <w:vAlign w:val="center"/>
                </w:tcPr>
                <w:p w14:paraId="1805E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3F1CF4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操作</w:t>
                  </w:r>
                </w:p>
              </w:tc>
              <w:tc>
                <w:tcPr>
                  <w:tcW w:w="2424" w:type="dxa"/>
                  <w:noWrap w:val="0"/>
                  <w:vAlign w:val="center"/>
                </w:tcPr>
                <w:p w14:paraId="247A73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0D89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3843DF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学生工作台</w:t>
                  </w:r>
                </w:p>
              </w:tc>
              <w:tc>
                <w:tcPr>
                  <w:tcW w:w="1274" w:type="dxa"/>
                  <w:noWrap w:val="0"/>
                  <w:vAlign w:val="center"/>
                </w:tcPr>
                <w:p w14:paraId="431B73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快速链接</w:t>
                  </w:r>
                </w:p>
                <w:p w14:paraId="053218C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2．</w:t>
                  </w:r>
                  <w:r>
                    <w:rPr>
                      <w:rFonts w:hint="eastAsia" w:ascii="宋体" w:hAnsi="宋体" w:eastAsia="宋体" w:cs="宋体"/>
                      <w:sz w:val="21"/>
                      <w:szCs w:val="21"/>
                      <w:vertAlign w:val="baseline"/>
                      <w:lang w:val="en-US" w:eastAsia="zh-CN"/>
                    </w:rPr>
                    <w:t>个性化设置</w:t>
                  </w:r>
                </w:p>
                <w:p w14:paraId="040308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3．</w:t>
                  </w:r>
                  <w:r>
                    <w:rPr>
                      <w:rFonts w:hint="eastAsia" w:ascii="宋体" w:hAnsi="宋体" w:eastAsia="宋体" w:cs="宋体"/>
                      <w:sz w:val="21"/>
                      <w:szCs w:val="21"/>
                      <w:vertAlign w:val="baseline"/>
                      <w:lang w:val="en-US" w:eastAsia="zh-CN"/>
                    </w:rPr>
                    <w:t>角色切换</w:t>
                  </w:r>
                </w:p>
              </w:tc>
              <w:tc>
                <w:tcPr>
                  <w:tcW w:w="2424" w:type="dxa"/>
                  <w:noWrap w:val="0"/>
                  <w:vAlign w:val="top"/>
                </w:tcPr>
                <w:p w14:paraId="16C58EB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64B700C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2.实现在线咨询及智能问答功能</w:t>
                  </w:r>
                </w:p>
                <w:p w14:paraId="558AE28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3.实现常用功能收藏区，提升操作效率</w:t>
                  </w:r>
                </w:p>
              </w:tc>
            </w:tr>
            <w:tr w14:paraId="6B18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1A2414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学籍</w:t>
                  </w:r>
                </w:p>
              </w:tc>
              <w:tc>
                <w:tcPr>
                  <w:tcW w:w="1274" w:type="dxa"/>
                  <w:noWrap w:val="0"/>
                  <w:vAlign w:val="center"/>
                </w:tcPr>
                <w:p w14:paraId="1FB9290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1.报到录取</w:t>
                  </w:r>
                </w:p>
                <w:p w14:paraId="33EB92F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2.学籍维护</w:t>
                  </w:r>
                </w:p>
                <w:p w14:paraId="29536BE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3.证明开具</w:t>
                  </w:r>
                </w:p>
              </w:tc>
              <w:tc>
                <w:tcPr>
                  <w:tcW w:w="2424" w:type="dxa"/>
                  <w:noWrap w:val="0"/>
                  <w:vAlign w:val="top"/>
                </w:tcPr>
                <w:p w14:paraId="27A8B6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1.实现查看录取信息、下载录取通知书、自主报到功能</w:t>
                  </w:r>
                </w:p>
                <w:p w14:paraId="438C96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2.支持提交学籍信息修改</w:t>
                  </w:r>
                </w:p>
                <w:p w14:paraId="592793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3.申请学籍异动</w:t>
                  </w:r>
                </w:p>
                <w:p w14:paraId="248758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4.开具学籍卡及在籍证明</w:t>
                  </w:r>
                </w:p>
              </w:tc>
            </w:tr>
            <w:tr w14:paraId="2C09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1B5284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学习</w:t>
                  </w:r>
                </w:p>
              </w:tc>
              <w:tc>
                <w:tcPr>
                  <w:tcW w:w="1274" w:type="dxa"/>
                  <w:noWrap w:val="0"/>
                  <w:vAlign w:val="center"/>
                </w:tcPr>
                <w:p w14:paraId="76AC30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1.查看教学计划</w:t>
                  </w:r>
                </w:p>
                <w:p w14:paraId="26261C1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2.在线学习</w:t>
                  </w:r>
                </w:p>
                <w:p w14:paraId="682B43B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3.提交作业</w:t>
                  </w:r>
                </w:p>
                <w:p w14:paraId="3D4D22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4.免修</w:t>
                  </w:r>
                </w:p>
                <w:p w14:paraId="24D41F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5.查看成绩</w:t>
                  </w:r>
                </w:p>
              </w:tc>
              <w:tc>
                <w:tcPr>
                  <w:tcW w:w="2424" w:type="dxa"/>
                  <w:noWrap w:val="0"/>
                  <w:vAlign w:val="top"/>
                </w:tcPr>
                <w:p w14:paraId="1EA6CD4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1.支持查看班级信息以及教学计划安排</w:t>
                  </w:r>
                </w:p>
                <w:p w14:paraId="19C5FE9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2.支持查看课表</w:t>
                  </w:r>
                </w:p>
                <w:p w14:paraId="5D85D7D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3.支持在线学习课件资源</w:t>
                  </w:r>
                </w:p>
                <w:p w14:paraId="397A840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4.支持提交作业练习</w:t>
                  </w:r>
                </w:p>
                <w:p w14:paraId="37BADB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5.支持提交免修申请</w:t>
                  </w:r>
                </w:p>
                <w:p w14:paraId="3E2EF0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6.支持查看课程成绩</w:t>
                  </w:r>
                </w:p>
                <w:p w14:paraId="676902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7.支持在线评教</w:t>
                  </w:r>
                </w:p>
              </w:tc>
            </w:tr>
            <w:tr w14:paraId="6580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224D0C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考试</w:t>
                  </w:r>
                </w:p>
              </w:tc>
              <w:tc>
                <w:tcPr>
                  <w:tcW w:w="1274" w:type="dxa"/>
                  <w:noWrap w:val="0"/>
                  <w:vAlign w:val="center"/>
                </w:tcPr>
                <w:p w14:paraId="554CBA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1.查看考试信息</w:t>
                  </w:r>
                </w:p>
                <w:p w14:paraId="2BAA06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2.参加考试</w:t>
                  </w:r>
                </w:p>
                <w:p w14:paraId="646CA62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3.查看考试成绩</w:t>
                  </w:r>
                </w:p>
              </w:tc>
              <w:tc>
                <w:tcPr>
                  <w:tcW w:w="2424" w:type="dxa"/>
                  <w:noWrap w:val="0"/>
                  <w:vAlign w:val="top"/>
                </w:tcPr>
                <w:p w14:paraId="60E52ED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1.支持查看考试安排以及具体考试信息</w:t>
                  </w:r>
                </w:p>
                <w:p w14:paraId="2F7B7CF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2.支持参加在线考试以及打印准考证参加线下考试</w:t>
                  </w:r>
                </w:p>
                <w:p w14:paraId="6266DF0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3.支持查看考试成绩</w:t>
                  </w:r>
                </w:p>
                <w:p w14:paraId="2552279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4.支持申请缓考及补考</w:t>
                  </w:r>
                </w:p>
              </w:tc>
            </w:tr>
            <w:tr w14:paraId="1E7C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3EA8E3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毕业</w:t>
                  </w:r>
                </w:p>
              </w:tc>
              <w:tc>
                <w:tcPr>
                  <w:tcW w:w="1274" w:type="dxa"/>
                  <w:noWrap w:val="0"/>
                  <w:vAlign w:val="center"/>
                </w:tcPr>
                <w:p w14:paraId="56AE3B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1.提交论文</w:t>
                  </w:r>
                </w:p>
                <w:p w14:paraId="02AD27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2.毕业审核</w:t>
                  </w:r>
                </w:p>
              </w:tc>
              <w:tc>
                <w:tcPr>
                  <w:tcW w:w="2424" w:type="dxa"/>
                  <w:noWrap w:val="0"/>
                  <w:vAlign w:val="top"/>
                </w:tcPr>
                <w:p w14:paraId="7716ED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1.可选择论文方向并查看论文提交要求，按照流程节点提交论文材料</w:t>
                  </w:r>
                </w:p>
                <w:p w14:paraId="516AF62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2.支持论文答辩</w:t>
                  </w:r>
                </w:p>
                <w:p w14:paraId="01A7E7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3.支持在线填写毕业生登记表</w:t>
                  </w:r>
                </w:p>
                <w:p w14:paraId="57F4C88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4.支持查看毕业信息</w:t>
                  </w:r>
                </w:p>
              </w:tc>
            </w:tr>
            <w:tr w14:paraId="2B34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024EF6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缴费</w:t>
                  </w:r>
                </w:p>
              </w:tc>
              <w:tc>
                <w:tcPr>
                  <w:tcW w:w="1274" w:type="dxa"/>
                  <w:noWrap w:val="0"/>
                  <w:vAlign w:val="center"/>
                </w:tcPr>
                <w:p w14:paraId="0C43AF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1.在线缴费</w:t>
                  </w:r>
                </w:p>
                <w:p w14:paraId="7C2307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2.查看缴费信息</w:t>
                  </w:r>
                </w:p>
              </w:tc>
              <w:tc>
                <w:tcPr>
                  <w:tcW w:w="2424" w:type="dxa"/>
                  <w:noWrap w:val="0"/>
                  <w:vAlign w:val="top"/>
                </w:tcPr>
                <w:p w14:paraId="6417FB4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1.实现多种缴费类型的自定义设置</w:t>
                  </w:r>
                </w:p>
                <w:p w14:paraId="2C18DFF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2.支持查看自己的详细缴费信息</w:t>
                  </w:r>
                </w:p>
              </w:tc>
            </w:tr>
          </w:tbl>
          <w:p w14:paraId="7F78B8E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6EB80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17DD5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01FB4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0EED23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6</w:t>
            </w:r>
          </w:p>
        </w:tc>
        <w:tc>
          <w:tcPr>
            <w:tcW w:w="692" w:type="pct"/>
            <w:tcBorders>
              <w:top w:val="single" w:color="auto" w:sz="6" w:space="0"/>
              <w:left w:val="single" w:color="auto" w:sz="6" w:space="0"/>
              <w:bottom w:val="single" w:color="auto" w:sz="6" w:space="0"/>
              <w:right w:val="single" w:color="auto" w:sz="6" w:space="0"/>
            </w:tcBorders>
            <w:vAlign w:val="center"/>
          </w:tcPr>
          <w:p w14:paraId="7901FA3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2.（4）课程资源</w:t>
            </w:r>
          </w:p>
          <w:p w14:paraId="4EB520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p w14:paraId="0EBB13A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课程资源采用服务方式提供，满足招标方业务需求。</w:t>
            </w:r>
          </w:p>
          <w:p w14:paraId="15D0DC3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①版权：要有正规授权或使用权。</w:t>
            </w:r>
          </w:p>
          <w:p w14:paraId="1B8AB19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②课程资源与附件一（课程目录）所列课程高度匹配。</w:t>
            </w:r>
          </w:p>
          <w:p w14:paraId="3045099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③投标人拥有资源共享平台，并且面向所有合作院校，投标人和院校共建课程可在资源共享平台里运营共赢。</w:t>
            </w:r>
          </w:p>
          <w:p w14:paraId="6026E7A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④课程资源配套：课件匹配一定比例的导学资料、习题等，可以帮助学校快速实现在线组卷、在线机考。</w:t>
            </w:r>
          </w:p>
        </w:tc>
        <w:tc>
          <w:tcPr>
            <w:tcW w:w="609" w:type="pct"/>
            <w:tcBorders>
              <w:top w:val="single" w:color="auto" w:sz="6" w:space="0"/>
              <w:left w:val="single" w:color="auto" w:sz="6" w:space="0"/>
              <w:bottom w:val="single" w:color="auto" w:sz="6" w:space="0"/>
              <w:right w:val="single" w:color="auto" w:sz="6" w:space="0"/>
            </w:tcBorders>
            <w:vAlign w:val="center"/>
          </w:tcPr>
          <w:p w14:paraId="3D563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2634F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1A7F7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3318DD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7</w:t>
            </w:r>
          </w:p>
        </w:tc>
        <w:tc>
          <w:tcPr>
            <w:tcW w:w="692" w:type="pct"/>
            <w:tcBorders>
              <w:top w:val="single" w:color="auto" w:sz="6" w:space="0"/>
              <w:left w:val="single" w:color="auto" w:sz="6" w:space="0"/>
              <w:bottom w:val="single" w:color="auto" w:sz="6" w:space="0"/>
              <w:right w:val="single" w:color="auto" w:sz="6" w:space="0"/>
            </w:tcBorders>
            <w:vAlign w:val="center"/>
          </w:tcPr>
          <w:p w14:paraId="0206CA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kern w:val="0"/>
                <w:sz w:val="21"/>
                <w:szCs w:val="21"/>
                <w:shd w:val="clear" w:color="auto" w:fill="FFFFFF"/>
                <w:lang w:val="en-US" w:eastAsia="zh-CN"/>
              </w:rPr>
              <w:t>★</w:t>
            </w:r>
            <w:r>
              <w:rPr>
                <w:rFonts w:hint="eastAsia" w:ascii="宋体" w:hAnsi="宋体" w:eastAsia="宋体" w:cs="宋体"/>
                <w:b w:val="0"/>
                <w:bCs w:val="0"/>
                <w:color w:val="auto"/>
                <w:sz w:val="21"/>
                <w:szCs w:val="21"/>
                <w:highlight w:val="none"/>
                <w:lang w:val="en-US" w:eastAsia="zh-CN"/>
              </w:rPr>
              <w:t>3.信息保密要求</w:t>
            </w:r>
          </w:p>
        </w:tc>
        <w:tc>
          <w:tcPr>
            <w:tcW w:w="2461" w:type="pct"/>
            <w:tcBorders>
              <w:top w:val="single" w:color="auto" w:sz="6" w:space="0"/>
              <w:left w:val="single" w:color="auto" w:sz="6" w:space="0"/>
              <w:bottom w:val="single" w:color="auto" w:sz="6" w:space="0"/>
              <w:right w:val="single" w:color="auto" w:sz="6" w:space="0"/>
            </w:tcBorders>
            <w:vAlign w:val="center"/>
          </w:tcPr>
          <w:p w14:paraId="34278CE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（1）中标人必须对招标人提供的所有资料、数据、档案负有保密责任，中标人不得透露给任何第三方。</w:t>
            </w:r>
          </w:p>
          <w:p w14:paraId="7F314BF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p>
          <w:p w14:paraId="719FD6E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标人为保密资料的安全管理者。中标方不得将保密资料未经采购方授权用于其他用途；不得以商业目的使用该数据或者开发和生产其他产品；中标方可根据采购方需要对数据内容进行必要的修改和对数据格式进行转换，但未经许可，不得将修改、转换后的数据对外发布和提供；中标方不得将成果在计算机互联网上传输、登载。</w:t>
            </w:r>
          </w:p>
          <w:p w14:paraId="01958C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（4）中标人按照采购方要求使用完成后应将资料删除销毁。协议期满后中标人按要求协助采购方完成数据迁移。</w:t>
            </w:r>
          </w:p>
          <w:p w14:paraId="0B4EFA4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64673E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40F830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bl>
    <w:p w14:paraId="4CE33481">
      <w:pPr>
        <w:snapToGrid w:val="0"/>
        <w:spacing w:line="300" w:lineRule="auto"/>
        <w:contextualSpacing/>
        <w:rPr>
          <w:rFonts w:hint="eastAsia" w:ascii="宋体" w:hAnsi="宋体" w:eastAsia="宋体" w:cs="宋体"/>
          <w:b/>
          <w:sz w:val="24"/>
        </w:rPr>
      </w:pPr>
    </w:p>
    <w:p w14:paraId="75ADC1E3">
      <w:pPr>
        <w:snapToGrid w:val="0"/>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6A59EE0D">
      <w:pPr>
        <w:snapToGrid w:val="0"/>
        <w:spacing w:line="300" w:lineRule="auto"/>
        <w:ind w:firstLine="480" w:firstLineChars="200"/>
        <w:contextualSpacing/>
        <w:rPr>
          <w:rFonts w:hint="eastAsia" w:ascii="宋体" w:hAnsi="宋体" w:eastAsia="宋体" w:cs="宋体"/>
          <w:b/>
          <w:bCs/>
          <w:color w:val="000000"/>
          <w:sz w:val="24"/>
          <w:lang w:val="en-US" w:eastAsia="zh-CN"/>
        </w:rPr>
      </w:pPr>
      <w:r>
        <w:rPr>
          <w:rFonts w:hint="eastAsia" w:ascii="宋体" w:hAnsi="宋体" w:eastAsia="宋体" w:cs="宋体"/>
          <w:sz w:val="24"/>
        </w:rPr>
        <w:t>1.</w:t>
      </w:r>
      <w:r>
        <w:rPr>
          <w:rFonts w:hint="eastAsia" w:ascii="宋体" w:hAnsi="宋体" w:eastAsia="宋体" w:cs="宋体"/>
          <w:color w:val="000000"/>
          <w:sz w:val="24"/>
        </w:rPr>
        <w:t>投标人提交的投标文件中与招标文件第三部分“项目需求”中的</w:t>
      </w:r>
      <w:r>
        <w:rPr>
          <w:rFonts w:hint="eastAsia" w:ascii="宋体" w:hAnsi="宋体" w:eastAsia="宋体" w:cs="宋体"/>
          <w:color w:val="000000"/>
          <w:sz w:val="24"/>
          <w:lang w:val="en-US" w:eastAsia="zh-CN"/>
        </w:rPr>
        <w:t>技术</w:t>
      </w:r>
      <w:r>
        <w:rPr>
          <w:rFonts w:hint="eastAsia" w:ascii="宋体" w:hAnsi="宋体" w:eastAsia="宋体" w:cs="宋体"/>
          <w:color w:val="000000"/>
          <w:sz w:val="24"/>
        </w:rPr>
        <w:t>部分的要求，逐条填列在偏离表中。</w:t>
      </w:r>
    </w:p>
    <w:p w14:paraId="0A963001">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color w:val="000000"/>
          <w:sz w:val="24"/>
        </w:rPr>
        <w:t>2.</w:t>
      </w:r>
      <w:r>
        <w:rPr>
          <w:rFonts w:hint="eastAsia" w:ascii="宋体" w:hAnsi="宋体" w:eastAsia="宋体" w:cs="宋体"/>
          <w:sz w:val="24"/>
        </w:rPr>
        <w:t>“偏离说明”一栏选择“正偏离”</w:t>
      </w:r>
      <w:r>
        <w:rPr>
          <w:rFonts w:hint="eastAsia" w:ascii="宋体" w:hAnsi="宋体" w:cs="宋体"/>
          <w:sz w:val="24"/>
          <w:lang w:eastAsia="zh-CN"/>
        </w:rPr>
        <w:t>“</w:t>
      </w:r>
      <w:r>
        <w:rPr>
          <w:rFonts w:hint="eastAsia" w:ascii="宋体" w:hAnsi="宋体" w:cs="宋体"/>
          <w:sz w:val="24"/>
          <w:lang w:val="en-US" w:eastAsia="zh-CN"/>
        </w:rPr>
        <w:t>无偏离</w:t>
      </w:r>
      <w:r>
        <w:rPr>
          <w:rFonts w:hint="eastAsia" w:ascii="宋体" w:hAnsi="宋体" w:cs="宋体"/>
          <w:sz w:val="24"/>
          <w:lang w:eastAsia="zh-CN"/>
        </w:rPr>
        <w:t>”</w:t>
      </w:r>
      <w:r>
        <w:rPr>
          <w:rFonts w:hint="eastAsia" w:ascii="宋体" w:hAnsi="宋体" w:eastAsia="宋体" w:cs="宋体"/>
          <w:sz w:val="24"/>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sz w:val="24"/>
        </w:rPr>
        <w:t>3.投标人如果虚假响应，将依法追究有关责任。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eastAsia="zh-CN"/>
        </w:rPr>
        <w:t>投标人</w:t>
      </w:r>
      <w:r>
        <w:rPr>
          <w:rFonts w:hint="eastAsia" w:ascii="宋体" w:hAnsi="宋体" w:eastAsia="宋体" w:cs="宋体"/>
          <w:bCs/>
          <w:sz w:val="24"/>
        </w:rPr>
        <w:t>若提供其他增值服务，可以在表中自行据实填写。</w:t>
      </w:r>
    </w:p>
    <w:p w14:paraId="73894C36">
      <w:pPr>
        <w:spacing w:line="360" w:lineRule="auto"/>
        <w:ind w:firstLine="3840" w:firstLineChars="1600"/>
        <w:jc w:val="left"/>
        <w:rPr>
          <w:rFonts w:hint="eastAsia" w:ascii="宋体" w:hAnsi="宋体" w:eastAsia="宋体" w:cs="宋体"/>
          <w:sz w:val="24"/>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71166FAB">
      <w:pPr>
        <w:jc w:val="right"/>
        <w:rPr>
          <w:rStyle w:val="77"/>
          <w:rFonts w:hint="eastAsia" w:ascii="宋体" w:hAnsi="宋体" w:eastAsia="宋体" w:cs="宋体"/>
          <w:color w:val="000000"/>
          <w:sz w:val="28"/>
          <w:szCs w:val="28"/>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bookmarkEnd w:id="27"/>
    <w:bookmarkEnd w:id="28"/>
    <w:p w14:paraId="75801BAD">
      <w:pPr>
        <w:pageBreakBefore w:val="0"/>
        <w:widowControl w:val="0"/>
        <w:kinsoku/>
        <w:wordWrap/>
        <w:overflowPunct/>
        <w:topLinePunct w:val="0"/>
        <w:autoSpaceDE/>
        <w:autoSpaceDN/>
        <w:bidi w:val="0"/>
        <w:adjustRightInd/>
        <w:spacing w:line="360" w:lineRule="auto"/>
        <w:ind w:firstLine="480" w:firstLineChars="200"/>
        <w:jc w:val="center"/>
        <w:textAlignment w:val="auto"/>
        <w:rPr>
          <w:rFonts w:hint="eastAsia" w:ascii="宋体" w:hAnsi="宋体" w:eastAsia="宋体" w:cs="宋体"/>
          <w:b w:val="0"/>
          <w:bCs/>
          <w:color w:val="000000"/>
          <w:sz w:val="24"/>
        </w:rPr>
      </w:pPr>
      <w:r>
        <w:rPr>
          <w:rFonts w:hint="eastAsia" w:ascii="宋体" w:hAnsi="宋体" w:eastAsia="宋体" w:cs="宋体"/>
          <w:b w:val="0"/>
          <w:bCs/>
          <w:color w:val="000000"/>
          <w:sz w:val="24"/>
        </w:rPr>
        <w:br w:type="page"/>
      </w:r>
    </w:p>
    <w:p w14:paraId="77AE2C6B">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7</w:t>
      </w:r>
      <w:r>
        <w:rPr>
          <w:rFonts w:hint="eastAsia" w:ascii="宋体" w:hAnsi="宋体" w:eastAsia="宋体" w:cs="宋体"/>
          <w:b w:val="0"/>
          <w:bCs/>
          <w:color w:val="000000"/>
          <w:sz w:val="24"/>
        </w:rPr>
        <w:t>：</w:t>
      </w:r>
    </w:p>
    <w:p w14:paraId="3985CF85">
      <w:pPr>
        <w:pageBreakBefore w:val="0"/>
        <w:widowControl w:val="0"/>
        <w:kinsoku/>
        <w:wordWrap/>
        <w:overflowPunct/>
        <w:topLinePunct w:val="0"/>
        <w:autoSpaceDE/>
        <w:autoSpaceDN/>
        <w:bidi w:val="0"/>
        <w:adjustRightInd/>
        <w:spacing w:line="360" w:lineRule="auto"/>
        <w:ind w:firstLine="600" w:firstLineChars="200"/>
        <w:jc w:val="center"/>
        <w:textAlignment w:val="auto"/>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承诺函（格式1）</w:t>
      </w:r>
    </w:p>
    <w:p w14:paraId="7369F3D5">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南通职业大学：</w:t>
      </w:r>
    </w:p>
    <w:p w14:paraId="4A239B31">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我单位投标时课程资源匹配达到100%，我单位承诺：</w:t>
      </w:r>
    </w:p>
    <w:p w14:paraId="319415D6">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如我单位中标，在服务期内招标人有新增课程要求的，我单位按要求新增课程并提供相应课程资源知识产权或合法授权材料供招标人核查。</w:t>
      </w:r>
    </w:p>
    <w:p w14:paraId="21BC7D15">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p>
    <w:p w14:paraId="650BA10D">
      <w:pPr>
        <w:spacing w:line="360" w:lineRule="auto"/>
        <w:ind w:firstLine="3840" w:firstLineChars="1600"/>
        <w:jc w:val="right"/>
        <w:rPr>
          <w:rFonts w:hint="eastAsia" w:ascii="宋体" w:hAnsi="宋体" w:eastAsia="宋体" w:cs="宋体"/>
          <w:color w:val="000000"/>
          <w:kern w:val="2"/>
          <w:sz w:val="24"/>
          <w:szCs w:val="24"/>
          <w:lang w:val="zh-CN" w:eastAsia="zh-CN"/>
        </w:rPr>
      </w:pPr>
      <w:r>
        <w:rPr>
          <w:rFonts w:hint="eastAsia" w:ascii="宋体" w:hAnsi="宋体" w:eastAsia="宋体" w:cs="宋体"/>
          <w:color w:val="000000"/>
          <w:kern w:val="2"/>
          <w:sz w:val="24"/>
          <w:szCs w:val="24"/>
          <w:lang w:val="zh-CN" w:eastAsia="zh-CN"/>
        </w:rPr>
        <w:t>投标人全称：</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lang w:val="zh-CN" w:eastAsia="zh-CN"/>
        </w:rPr>
        <w:t>(</w:t>
      </w:r>
      <w:r>
        <w:rPr>
          <w:rFonts w:hint="eastAsia" w:ascii="宋体" w:hAnsi="宋体" w:eastAsia="宋体" w:cs="宋体"/>
          <w:color w:val="000000"/>
          <w:kern w:val="2"/>
          <w:sz w:val="24"/>
          <w:szCs w:val="24"/>
          <w:lang w:val="en-US" w:eastAsia="zh-CN"/>
        </w:rPr>
        <w:t>加</w:t>
      </w:r>
      <w:r>
        <w:rPr>
          <w:rFonts w:hint="eastAsia" w:ascii="宋体" w:hAnsi="宋体" w:eastAsia="宋体" w:cs="宋体"/>
          <w:color w:val="000000"/>
          <w:kern w:val="2"/>
          <w:sz w:val="24"/>
          <w:szCs w:val="24"/>
          <w:lang w:val="zh-CN" w:eastAsia="zh-CN"/>
        </w:rPr>
        <w:t>盖公章)</w:t>
      </w:r>
    </w:p>
    <w:p w14:paraId="37615782">
      <w:pPr>
        <w:spacing w:line="360" w:lineRule="auto"/>
        <w:ind w:firstLine="3840" w:firstLineChars="1600"/>
        <w:jc w:val="right"/>
        <w:rPr>
          <w:rFonts w:hint="eastAsia" w:ascii="宋体" w:hAnsi="宋体" w:eastAsia="宋体" w:cs="宋体"/>
          <w:color w:val="000000"/>
          <w:kern w:val="2"/>
          <w:sz w:val="24"/>
          <w:szCs w:val="24"/>
          <w:lang w:val="zh-CN" w:eastAsia="zh-CN"/>
        </w:rPr>
      </w:pPr>
      <w:r>
        <w:rPr>
          <w:rFonts w:hint="eastAsia" w:ascii="宋体" w:hAnsi="宋体" w:eastAsia="宋体" w:cs="宋体"/>
          <w:color w:val="000000"/>
          <w:kern w:val="2"/>
          <w:sz w:val="24"/>
          <w:szCs w:val="24"/>
          <w:lang w:val="zh-CN" w:eastAsia="zh-CN"/>
        </w:rPr>
        <w:t>法定代表人或授权委托人（签字或盖章）：</w:t>
      </w:r>
    </w:p>
    <w:p w14:paraId="7F0C5045">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日期：  年  月  日</w:t>
      </w:r>
    </w:p>
    <w:p w14:paraId="72869151">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p>
    <w:p w14:paraId="32B8BC11">
      <w:pPr>
        <w:pageBreakBefore w:val="0"/>
        <w:widowControl w:val="0"/>
        <w:kinsoku/>
        <w:wordWrap/>
        <w:overflowPunct/>
        <w:topLinePunct w:val="0"/>
        <w:autoSpaceDE/>
        <w:autoSpaceDN/>
        <w:bidi w:val="0"/>
        <w:adjustRightInd/>
        <w:spacing w:line="360" w:lineRule="auto"/>
        <w:ind w:firstLine="600" w:firstLineChars="200"/>
        <w:jc w:val="center"/>
        <w:textAlignment w:val="auto"/>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承诺函（格式2）</w:t>
      </w:r>
    </w:p>
    <w:p w14:paraId="51C86A1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南通职业大学：</w:t>
      </w:r>
    </w:p>
    <w:p w14:paraId="500AC799">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我单位投标时课程资源匹配度为</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%，我单位承诺：</w:t>
      </w:r>
    </w:p>
    <w:p w14:paraId="3B8B35D4">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合同签订前课程资源匹配达到100%，将补齐的课程资源知识产权或合法授权的佐证材料供招标人核查。如合同签订前课程资源匹配达不到100%或无法提供佐证材料的招标人有权取消我单位中标资格，由此造成的损失由我单位承担。</w:t>
      </w:r>
    </w:p>
    <w:p w14:paraId="6F31734C">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2.如我单位中标，在服务期内招标人有新增课程要求的，我单位按要求新增课程并提供相应课程资源知识产权或合法授权材料供招标人核查。</w:t>
      </w:r>
    </w:p>
    <w:p w14:paraId="6E0380A6">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default" w:ascii="宋体" w:hAnsi="宋体" w:eastAsia="宋体" w:cs="宋体"/>
          <w:b w:val="0"/>
          <w:bCs w:val="0"/>
          <w:sz w:val="24"/>
          <w:szCs w:val="24"/>
          <w:lang w:val="en-US" w:eastAsia="zh-CN"/>
        </w:rPr>
      </w:pPr>
    </w:p>
    <w:p w14:paraId="353C3031">
      <w:pPr>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b w:val="0"/>
          <w:bCs w:val="0"/>
          <w:sz w:val="24"/>
          <w:szCs w:val="24"/>
          <w:lang w:val="en-US" w:eastAsia="zh-CN"/>
        </w:rPr>
      </w:pPr>
    </w:p>
    <w:p w14:paraId="15A323DA">
      <w:pPr>
        <w:spacing w:line="360" w:lineRule="auto"/>
        <w:ind w:firstLine="3840" w:firstLineChars="1600"/>
        <w:jc w:val="right"/>
        <w:rPr>
          <w:rFonts w:hint="eastAsia" w:ascii="宋体" w:hAnsi="宋体" w:eastAsia="宋体" w:cs="宋体"/>
          <w:color w:val="000000"/>
          <w:kern w:val="2"/>
          <w:sz w:val="24"/>
          <w:szCs w:val="24"/>
          <w:lang w:val="zh-CN" w:eastAsia="zh-CN"/>
        </w:rPr>
      </w:pPr>
      <w:r>
        <w:rPr>
          <w:rFonts w:hint="eastAsia" w:ascii="宋体" w:hAnsi="宋体" w:eastAsia="宋体" w:cs="宋体"/>
          <w:color w:val="000000"/>
          <w:kern w:val="2"/>
          <w:sz w:val="24"/>
          <w:szCs w:val="24"/>
          <w:lang w:val="zh-CN" w:eastAsia="zh-CN"/>
        </w:rPr>
        <w:t>投标人全称：</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lang w:val="zh-CN" w:eastAsia="zh-CN"/>
        </w:rPr>
        <w:t>(</w:t>
      </w:r>
      <w:r>
        <w:rPr>
          <w:rFonts w:hint="eastAsia" w:ascii="宋体" w:hAnsi="宋体" w:eastAsia="宋体" w:cs="宋体"/>
          <w:color w:val="000000"/>
          <w:kern w:val="2"/>
          <w:sz w:val="24"/>
          <w:szCs w:val="24"/>
          <w:lang w:val="en-US" w:eastAsia="zh-CN"/>
        </w:rPr>
        <w:t>加</w:t>
      </w:r>
      <w:r>
        <w:rPr>
          <w:rFonts w:hint="eastAsia" w:ascii="宋体" w:hAnsi="宋体" w:eastAsia="宋体" w:cs="宋体"/>
          <w:color w:val="000000"/>
          <w:kern w:val="2"/>
          <w:sz w:val="24"/>
          <w:szCs w:val="24"/>
          <w:lang w:val="zh-CN" w:eastAsia="zh-CN"/>
        </w:rPr>
        <w:t>盖公章)</w:t>
      </w:r>
    </w:p>
    <w:p w14:paraId="51273C75">
      <w:pPr>
        <w:spacing w:line="360" w:lineRule="auto"/>
        <w:ind w:firstLine="3840" w:firstLineChars="1600"/>
        <w:jc w:val="right"/>
        <w:rPr>
          <w:rFonts w:hint="eastAsia" w:ascii="宋体" w:hAnsi="宋体" w:eastAsia="宋体" w:cs="宋体"/>
          <w:color w:val="000000"/>
          <w:kern w:val="2"/>
          <w:sz w:val="24"/>
          <w:szCs w:val="24"/>
          <w:lang w:val="zh-CN" w:eastAsia="zh-CN"/>
        </w:rPr>
      </w:pPr>
      <w:r>
        <w:rPr>
          <w:rFonts w:hint="eastAsia" w:ascii="宋体" w:hAnsi="宋体" w:eastAsia="宋体" w:cs="宋体"/>
          <w:color w:val="000000"/>
          <w:kern w:val="2"/>
          <w:sz w:val="24"/>
          <w:szCs w:val="24"/>
          <w:lang w:val="zh-CN" w:eastAsia="zh-CN"/>
        </w:rPr>
        <w:t>法定代表人或授权委托人（签字或盖章）：</w:t>
      </w:r>
    </w:p>
    <w:p w14:paraId="545DB0D7">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日期：  年  月  日</w:t>
      </w:r>
    </w:p>
    <w:p w14:paraId="7289301C">
      <w:pPr>
        <w:rPr>
          <w:rFonts w:hint="eastAsia" w:ascii="宋体" w:hAnsi="宋体" w:eastAsia="宋体" w:cs="宋体"/>
          <w:b w:val="0"/>
          <w:bCs/>
          <w:color w:val="000000"/>
          <w:sz w:val="24"/>
        </w:rPr>
      </w:pPr>
    </w:p>
    <w:p w14:paraId="0CAD1970">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8</w:t>
      </w:r>
      <w:r>
        <w:rPr>
          <w:rFonts w:hint="eastAsia" w:ascii="宋体" w:hAnsi="宋体" w:eastAsia="宋体" w:cs="宋体"/>
          <w:b w:val="0"/>
          <w:bCs/>
          <w:color w:val="000000"/>
          <w:sz w:val="24"/>
        </w:rPr>
        <w:t>：</w:t>
      </w:r>
    </w:p>
    <w:p w14:paraId="79732820">
      <w:pPr>
        <w:spacing w:line="360" w:lineRule="auto"/>
        <w:jc w:val="center"/>
        <w:rPr>
          <w:rStyle w:val="77"/>
          <w:rFonts w:hint="eastAsia" w:ascii="宋体" w:hAnsi="宋体" w:eastAsia="宋体" w:cs="宋体"/>
          <w:sz w:val="28"/>
          <w:szCs w:val="28"/>
        </w:rPr>
      </w:pPr>
      <w:r>
        <w:rPr>
          <w:rStyle w:val="77"/>
          <w:rFonts w:hint="eastAsia" w:ascii="宋体" w:hAnsi="宋体" w:eastAsia="宋体" w:cs="宋体"/>
          <w:sz w:val="28"/>
          <w:szCs w:val="28"/>
        </w:rPr>
        <w:t>开标一览表</w:t>
      </w:r>
    </w:p>
    <w:p w14:paraId="4205773C">
      <w:pPr>
        <w:pStyle w:val="32"/>
        <w:spacing w:line="360" w:lineRule="auto"/>
        <w:rPr>
          <w:rFonts w:hint="eastAsia" w:ascii="宋体" w:hAnsi="宋体" w:eastAsia="宋体" w:cs="宋体"/>
          <w:color w:val="000000"/>
          <w:u w:val="single"/>
        </w:rPr>
      </w:pPr>
    </w:p>
    <w:p w14:paraId="1D578558">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eastAsia="宋体" w:cs="宋体"/>
          <w:color w:val="000000"/>
          <w:sz w:val="24"/>
          <w:lang w:eastAsia="zh-CN"/>
        </w:rPr>
        <w:t>南通职业大学高等学历继续教育管理平台服务采购项目</w:t>
      </w:r>
    </w:p>
    <w:p w14:paraId="66BC368D">
      <w:pPr>
        <w:ind w:firstLine="480" w:firstLineChars="200"/>
        <w:rPr>
          <w:rFonts w:hint="eastAsia" w:ascii="宋体" w:hAnsi="宋体" w:eastAsia="宋体" w:cs="宋体"/>
          <w:kern w:val="0"/>
          <w:sz w:val="24"/>
          <w:szCs w:val="22"/>
          <w:lang w:eastAsia="zh-CN"/>
        </w:rPr>
      </w:pPr>
      <w:r>
        <w:rPr>
          <w:rFonts w:hint="eastAsia" w:ascii="宋体" w:hAnsi="宋体" w:eastAsia="宋体" w:cs="宋体"/>
          <w:sz w:val="24"/>
        </w:rPr>
        <w:t xml:space="preserve">项目编号： </w:t>
      </w:r>
      <w:r>
        <w:rPr>
          <w:rFonts w:hint="eastAsia" w:ascii="宋体" w:hAnsi="宋体" w:eastAsia="宋体" w:cs="宋体"/>
          <w:kern w:val="0"/>
          <w:sz w:val="24"/>
          <w:szCs w:val="22"/>
          <w:lang w:eastAsia="zh-CN"/>
        </w:rPr>
        <w:t>FW20260003</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6"/>
        <w:gridCol w:w="5719"/>
      </w:tblGrid>
      <w:tr w14:paraId="1777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6AAB9F2B">
            <w:pPr>
              <w:jc w:val="center"/>
              <w:rPr>
                <w:rFonts w:hint="eastAsia" w:ascii="宋体" w:hAnsi="宋体" w:eastAsia="宋体" w:cs="宋体"/>
                <w:kern w:val="0"/>
                <w:sz w:val="24"/>
                <w:szCs w:val="24"/>
              </w:rPr>
            </w:pPr>
            <w:r>
              <w:rPr>
                <w:rFonts w:hint="eastAsia" w:ascii="宋体" w:hAnsi="宋体" w:eastAsia="宋体" w:cs="宋体"/>
                <w:kern w:val="0"/>
                <w:sz w:val="24"/>
                <w:szCs w:val="24"/>
              </w:rPr>
              <w:t>投标服务名称</w:t>
            </w:r>
          </w:p>
        </w:tc>
        <w:tc>
          <w:tcPr>
            <w:tcW w:w="2989" w:type="pct"/>
          </w:tcPr>
          <w:p w14:paraId="2CD3331F">
            <w:pPr>
              <w:jc w:val="center"/>
              <w:rPr>
                <w:rFonts w:hint="eastAsia" w:ascii="宋体" w:hAnsi="宋体" w:eastAsia="宋体" w:cs="宋体"/>
                <w:kern w:val="0"/>
                <w:sz w:val="24"/>
                <w:szCs w:val="24"/>
              </w:rPr>
            </w:pPr>
            <w:r>
              <w:rPr>
                <w:rFonts w:hint="eastAsia" w:ascii="宋体" w:hAnsi="宋体" w:eastAsia="宋体" w:cs="宋体"/>
                <w:kern w:val="0"/>
                <w:sz w:val="24"/>
                <w:szCs w:val="24"/>
              </w:rPr>
              <w:t>投标报价</w:t>
            </w:r>
          </w:p>
        </w:tc>
      </w:tr>
      <w:tr w14:paraId="351C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206EDA05">
            <w:pPr>
              <w:jc w:val="center"/>
              <w:rPr>
                <w:rFonts w:hint="eastAsia" w:ascii="宋体" w:hAnsi="宋体" w:eastAsia="宋体" w:cs="宋体"/>
                <w:kern w:val="0"/>
                <w:sz w:val="24"/>
                <w:szCs w:val="24"/>
              </w:rPr>
            </w:pPr>
            <w:r>
              <w:rPr>
                <w:rFonts w:hint="eastAsia" w:ascii="宋体" w:hAnsi="宋体" w:eastAsia="宋体" w:cs="宋体"/>
                <w:kern w:val="0"/>
                <w:sz w:val="24"/>
                <w:szCs w:val="24"/>
              </w:rPr>
              <w:t>南通职业大学高等学历继续教育管理平台服务采购项目</w:t>
            </w:r>
          </w:p>
        </w:tc>
        <w:tc>
          <w:tcPr>
            <w:tcW w:w="2989" w:type="pct"/>
          </w:tcPr>
          <w:p w14:paraId="0F388084">
            <w:pPr>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rPr>
              <w:t>大写：</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 xml:space="preserve"> 元/人/届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小写：</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 xml:space="preserve"> 元/人/届</w:t>
            </w:r>
          </w:p>
        </w:tc>
      </w:tr>
    </w:tbl>
    <w:p w14:paraId="37412619">
      <w:pPr>
        <w:rPr>
          <w:rFonts w:hint="eastAsia" w:ascii="宋体" w:hAnsi="宋体" w:eastAsia="宋体" w:cs="宋体"/>
          <w:color w:val="000000"/>
          <w:sz w:val="24"/>
        </w:rPr>
      </w:pPr>
    </w:p>
    <w:p w14:paraId="28A2C00E">
      <w:pPr>
        <w:spacing w:line="360" w:lineRule="auto"/>
        <w:ind w:firstLine="3840" w:firstLineChars="1600"/>
        <w:jc w:val="left"/>
        <w:rPr>
          <w:rFonts w:hint="eastAsia" w:ascii="宋体" w:hAnsi="宋体" w:eastAsia="宋体" w:cs="宋体"/>
          <w:color w:val="000000"/>
          <w:sz w:val="24"/>
        </w:rPr>
      </w:pPr>
      <w:r>
        <w:rPr>
          <w:rFonts w:hint="eastAsia" w:ascii="宋体" w:hAnsi="宋体" w:eastAsia="宋体" w:cs="宋体"/>
          <w:color w:val="000000"/>
          <w:sz w:val="24"/>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1AF354D6">
      <w:pPr>
        <w:spacing w:line="360" w:lineRule="auto"/>
        <w:ind w:firstLine="480"/>
        <w:rPr>
          <w:rFonts w:hint="eastAsia" w:ascii="宋体" w:hAnsi="宋体" w:eastAsia="宋体" w:cs="宋体"/>
          <w:color w:val="000000"/>
          <w:sz w:val="24"/>
        </w:rPr>
      </w:pPr>
    </w:p>
    <w:p w14:paraId="08ABF480">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填写说明：</w:t>
      </w:r>
    </w:p>
    <w:p w14:paraId="4BB446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0"/>
          <w:sz w:val="24"/>
          <w:lang w:val="zh-CN"/>
        </w:rPr>
        <w:t>投标报价包括</w:t>
      </w:r>
      <w:r>
        <w:rPr>
          <w:rFonts w:hint="eastAsia" w:ascii="宋体" w:hAnsi="宋体" w:eastAsia="宋体" w:cs="宋体"/>
          <w:kern w:val="0"/>
          <w:sz w:val="24"/>
        </w:rPr>
        <w:t>完成</w:t>
      </w:r>
      <w:r>
        <w:rPr>
          <w:rFonts w:hint="eastAsia" w:ascii="宋体" w:hAnsi="宋体" w:eastAsia="宋体" w:cs="宋体"/>
          <w:kern w:val="0"/>
          <w:sz w:val="24"/>
          <w:lang w:val="zh-CN"/>
        </w:rPr>
        <w:t>服务事项的所有费用，</w:t>
      </w:r>
      <w:r>
        <w:rPr>
          <w:rFonts w:hint="eastAsia" w:ascii="宋体" w:hAnsi="宋体" w:eastAsia="宋体" w:cs="宋体"/>
          <w:kern w:val="0"/>
          <w:sz w:val="24"/>
          <w:lang w:eastAsia="zh-CN"/>
        </w:rPr>
        <w:t>招标人</w:t>
      </w:r>
      <w:r>
        <w:rPr>
          <w:rFonts w:hint="eastAsia" w:ascii="宋体" w:hAnsi="宋体" w:eastAsia="宋体" w:cs="宋体"/>
          <w:kern w:val="0"/>
          <w:sz w:val="24"/>
        </w:rPr>
        <w:t>不再支付另外费用。</w:t>
      </w:r>
    </w:p>
    <w:p w14:paraId="3ED9B26D">
      <w:pPr>
        <w:spacing w:line="360" w:lineRule="auto"/>
        <w:ind w:firstLine="480" w:firstLineChars="200"/>
        <w:rPr>
          <w:rFonts w:hint="eastAsia" w:ascii="宋体" w:hAnsi="宋体" w:eastAsia="宋体" w:cs="宋体"/>
          <w:bCs/>
          <w:color w:val="000000"/>
          <w:sz w:val="24"/>
          <w:szCs w:val="21"/>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bCs/>
          <w:iCs/>
          <w:color w:val="000000"/>
          <w:sz w:val="24"/>
        </w:rPr>
        <w:t>开标一览表必须加盖投标单位公章（复印件无效）</w:t>
      </w:r>
      <w:r>
        <w:rPr>
          <w:rFonts w:hint="eastAsia" w:ascii="宋体" w:hAnsi="宋体" w:eastAsia="宋体" w:cs="宋体"/>
          <w:color w:val="000000"/>
          <w:sz w:val="24"/>
        </w:rPr>
        <w:t>。</w:t>
      </w:r>
    </w:p>
    <w:p w14:paraId="19A41D24">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p>
    <w:p w14:paraId="3541451C">
      <w:pPr>
        <w:spacing w:line="360" w:lineRule="auto"/>
        <w:jc w:val="center"/>
        <w:rPr>
          <w:rFonts w:hint="default" w:ascii="宋体" w:hAnsi="宋体" w:eastAsia="宋体" w:cs="宋体"/>
          <w:lang w:val="en-US" w:eastAsia="zh-CN"/>
        </w:rPr>
      </w:pPr>
      <w:r>
        <w:rPr>
          <w:rFonts w:hint="eastAsia" w:ascii="宋体" w:hAnsi="宋体" w:cs="宋体"/>
          <w:lang w:val="en-US" w:eastAsia="zh-CN"/>
        </w:rPr>
        <w:t xml:space="preserve">  </w:t>
      </w:r>
    </w:p>
    <w:p w14:paraId="1E177E45">
      <w:pPr>
        <w:widowControl/>
        <w:jc w:val="left"/>
        <w:rPr>
          <w:rFonts w:hint="eastAsia" w:ascii="宋体" w:hAnsi="宋体" w:eastAsia="宋体" w:cs="宋体"/>
        </w:rPr>
      </w:pPr>
    </w:p>
    <w:p w14:paraId="5413FD53">
      <w:pPr>
        <w:pStyle w:val="60"/>
        <w:ind w:left="0" w:leftChars="0" w:firstLine="0" w:firstLineChars="0"/>
        <w:outlineLvl w:val="9"/>
        <w:rPr>
          <w:rFonts w:hint="eastAsia" w:ascii="宋体" w:hAnsi="宋体" w:eastAsia="宋体" w:cs="宋体"/>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roman"/>
    <w:pitch w:val="default"/>
    <w:sig w:usb0="00000000" w:usb1="00000000" w:usb2="00000000" w:usb3="00000000" w:csb0="2000009F" w:csb1="DFD7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5A16">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7716">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D764">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EF87">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29"/>
      <w:suff w:val="nothing"/>
      <w:lvlText w:val="（%1）"/>
      <w:lvlJc w:val="left"/>
    </w:lvl>
  </w:abstractNum>
  <w:abstractNum w:abstractNumId="4">
    <w:nsid w:val="3C684E52"/>
    <w:multiLevelType w:val="singleLevel"/>
    <w:tmpl w:val="3C684E52"/>
    <w:lvl w:ilvl="0" w:tentative="0">
      <w:start w:val="8"/>
      <w:numFmt w:val="decimal"/>
      <w:pStyle w:val="329"/>
      <w:suff w:val="nothing"/>
      <w:lvlText w:val="%1、"/>
      <w:lvlJc w:val="left"/>
    </w:lvl>
  </w:abstractNum>
  <w:abstractNum w:abstractNumId="5">
    <w:nsid w:val="3DAF35F1"/>
    <w:multiLevelType w:val="singleLevel"/>
    <w:tmpl w:val="3DAF35F1"/>
    <w:lvl w:ilvl="0" w:tentative="0">
      <w:start w:val="1"/>
      <w:numFmt w:val="decimal"/>
      <w:suff w:val="nothing"/>
      <w:lvlText w:val="%1．"/>
      <w:lvlJc w:val="left"/>
      <w:pPr>
        <w:ind w:left="0" w:firstLine="400"/>
      </w:pPr>
      <w:rPr>
        <w:rFonts w:hint="default"/>
      </w:rPr>
    </w:lvl>
  </w:abstractNum>
  <w:abstractNum w:abstractNumId="6">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7"/>
  </w:num>
  <w:num w:numId="4">
    <w:abstractNumId w:val="6"/>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28042FD"/>
    <w:rsid w:val="02D9596D"/>
    <w:rsid w:val="030719AC"/>
    <w:rsid w:val="038D0D6B"/>
    <w:rsid w:val="04194CE4"/>
    <w:rsid w:val="05026CE4"/>
    <w:rsid w:val="053C6020"/>
    <w:rsid w:val="05B91910"/>
    <w:rsid w:val="060F4417"/>
    <w:rsid w:val="06566316"/>
    <w:rsid w:val="065B3D1C"/>
    <w:rsid w:val="075E65F7"/>
    <w:rsid w:val="08B64998"/>
    <w:rsid w:val="0957288F"/>
    <w:rsid w:val="095F763D"/>
    <w:rsid w:val="097A103B"/>
    <w:rsid w:val="09F41C1C"/>
    <w:rsid w:val="0A87732E"/>
    <w:rsid w:val="0AF81F1B"/>
    <w:rsid w:val="0B3F68EE"/>
    <w:rsid w:val="0B521E80"/>
    <w:rsid w:val="0C3152C1"/>
    <w:rsid w:val="0CBB7D78"/>
    <w:rsid w:val="0CEC743A"/>
    <w:rsid w:val="0CFE2B84"/>
    <w:rsid w:val="0E2D68FB"/>
    <w:rsid w:val="0ED46E68"/>
    <w:rsid w:val="0F3341F4"/>
    <w:rsid w:val="0F514856"/>
    <w:rsid w:val="0FAB4284"/>
    <w:rsid w:val="10A75CE3"/>
    <w:rsid w:val="117D2D78"/>
    <w:rsid w:val="11F53386"/>
    <w:rsid w:val="123F43C4"/>
    <w:rsid w:val="13053004"/>
    <w:rsid w:val="130C6ECC"/>
    <w:rsid w:val="135062A3"/>
    <w:rsid w:val="13D27780"/>
    <w:rsid w:val="144E1E55"/>
    <w:rsid w:val="14987A67"/>
    <w:rsid w:val="14ED1FA1"/>
    <w:rsid w:val="15693843"/>
    <w:rsid w:val="15961766"/>
    <w:rsid w:val="15D13671"/>
    <w:rsid w:val="15E66800"/>
    <w:rsid w:val="15FE3A0D"/>
    <w:rsid w:val="172A6FF7"/>
    <w:rsid w:val="173C05F5"/>
    <w:rsid w:val="173F697C"/>
    <w:rsid w:val="176300BF"/>
    <w:rsid w:val="176D5A98"/>
    <w:rsid w:val="17ED041F"/>
    <w:rsid w:val="18025199"/>
    <w:rsid w:val="18AC2568"/>
    <w:rsid w:val="18BA0AB1"/>
    <w:rsid w:val="18F500C4"/>
    <w:rsid w:val="195B4310"/>
    <w:rsid w:val="19B3285C"/>
    <w:rsid w:val="19C116F4"/>
    <w:rsid w:val="19C8015F"/>
    <w:rsid w:val="19D51888"/>
    <w:rsid w:val="1A23669C"/>
    <w:rsid w:val="1A720CA4"/>
    <w:rsid w:val="1A7F0C22"/>
    <w:rsid w:val="1A883697"/>
    <w:rsid w:val="1AE71067"/>
    <w:rsid w:val="1B3630E2"/>
    <w:rsid w:val="1BB93B82"/>
    <w:rsid w:val="1BFC3476"/>
    <w:rsid w:val="1C072941"/>
    <w:rsid w:val="1C5B7E4D"/>
    <w:rsid w:val="1C760CE6"/>
    <w:rsid w:val="1CDD6D9F"/>
    <w:rsid w:val="1CE343B6"/>
    <w:rsid w:val="1D72589A"/>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3021720"/>
    <w:rsid w:val="2375361B"/>
    <w:rsid w:val="23D135AE"/>
    <w:rsid w:val="24AD13D5"/>
    <w:rsid w:val="25B508B9"/>
    <w:rsid w:val="25E90563"/>
    <w:rsid w:val="262E71EC"/>
    <w:rsid w:val="26526F1C"/>
    <w:rsid w:val="27196C26"/>
    <w:rsid w:val="28A71049"/>
    <w:rsid w:val="28E004DD"/>
    <w:rsid w:val="29E26437"/>
    <w:rsid w:val="2AE71DF0"/>
    <w:rsid w:val="2B137169"/>
    <w:rsid w:val="2BB05D69"/>
    <w:rsid w:val="2C2D671E"/>
    <w:rsid w:val="2C8B64B7"/>
    <w:rsid w:val="2DEC6E42"/>
    <w:rsid w:val="2E476798"/>
    <w:rsid w:val="2E721743"/>
    <w:rsid w:val="2E9F7664"/>
    <w:rsid w:val="2EBD41FA"/>
    <w:rsid w:val="2ECF5EAB"/>
    <w:rsid w:val="2F034C7C"/>
    <w:rsid w:val="2FF11501"/>
    <w:rsid w:val="3062122E"/>
    <w:rsid w:val="30790135"/>
    <w:rsid w:val="309D61D2"/>
    <w:rsid w:val="30F16A95"/>
    <w:rsid w:val="31A71674"/>
    <w:rsid w:val="32F56799"/>
    <w:rsid w:val="331F1D1C"/>
    <w:rsid w:val="356814A4"/>
    <w:rsid w:val="35A869C4"/>
    <w:rsid w:val="35AF3B86"/>
    <w:rsid w:val="35CA2E1C"/>
    <w:rsid w:val="364E2145"/>
    <w:rsid w:val="36C22E36"/>
    <w:rsid w:val="370135FD"/>
    <w:rsid w:val="377D2AE1"/>
    <w:rsid w:val="37AF0CCB"/>
    <w:rsid w:val="38364187"/>
    <w:rsid w:val="38413E81"/>
    <w:rsid w:val="38706120"/>
    <w:rsid w:val="398B36BD"/>
    <w:rsid w:val="39EB6200"/>
    <w:rsid w:val="3A3D4144"/>
    <w:rsid w:val="3A9248CD"/>
    <w:rsid w:val="3B5265D8"/>
    <w:rsid w:val="3C9B614E"/>
    <w:rsid w:val="3D0C56E0"/>
    <w:rsid w:val="3DC62765"/>
    <w:rsid w:val="3ECECC8D"/>
    <w:rsid w:val="3F1838D2"/>
    <w:rsid w:val="3FF37180"/>
    <w:rsid w:val="40430C0C"/>
    <w:rsid w:val="40A86BF9"/>
    <w:rsid w:val="41006A35"/>
    <w:rsid w:val="411E620A"/>
    <w:rsid w:val="42684F80"/>
    <w:rsid w:val="42B05C5D"/>
    <w:rsid w:val="446472DA"/>
    <w:rsid w:val="453D31C2"/>
    <w:rsid w:val="45647059"/>
    <w:rsid w:val="458E2D06"/>
    <w:rsid w:val="45BD36A7"/>
    <w:rsid w:val="4645522F"/>
    <w:rsid w:val="47AF2F63"/>
    <w:rsid w:val="48D01B15"/>
    <w:rsid w:val="494D4D8B"/>
    <w:rsid w:val="49E72DEA"/>
    <w:rsid w:val="4AE01685"/>
    <w:rsid w:val="4B1C1647"/>
    <w:rsid w:val="4B5D0BA3"/>
    <w:rsid w:val="4BAA11F2"/>
    <w:rsid w:val="4C3B0AE9"/>
    <w:rsid w:val="4C57243C"/>
    <w:rsid w:val="4CA34853"/>
    <w:rsid w:val="4D02377C"/>
    <w:rsid w:val="4D3D4B6D"/>
    <w:rsid w:val="4D705742"/>
    <w:rsid w:val="4ED30CC9"/>
    <w:rsid w:val="4FB10436"/>
    <w:rsid w:val="50145DC9"/>
    <w:rsid w:val="50577E57"/>
    <w:rsid w:val="509F2BE4"/>
    <w:rsid w:val="512D4B2A"/>
    <w:rsid w:val="51821EAD"/>
    <w:rsid w:val="51C72AFE"/>
    <w:rsid w:val="527D649D"/>
    <w:rsid w:val="52DD7B02"/>
    <w:rsid w:val="53083527"/>
    <w:rsid w:val="5334770E"/>
    <w:rsid w:val="533733F7"/>
    <w:rsid w:val="54221A3B"/>
    <w:rsid w:val="54336CC9"/>
    <w:rsid w:val="54AC7A3E"/>
    <w:rsid w:val="54B72B11"/>
    <w:rsid w:val="5571639D"/>
    <w:rsid w:val="55F4012A"/>
    <w:rsid w:val="563B1615"/>
    <w:rsid w:val="56FC7728"/>
    <w:rsid w:val="571F6A41"/>
    <w:rsid w:val="5786234B"/>
    <w:rsid w:val="58BC07AC"/>
    <w:rsid w:val="593940D1"/>
    <w:rsid w:val="5A355549"/>
    <w:rsid w:val="5A61226A"/>
    <w:rsid w:val="5AAC50E0"/>
    <w:rsid w:val="5ACF35B6"/>
    <w:rsid w:val="5B417BC4"/>
    <w:rsid w:val="5B4517BC"/>
    <w:rsid w:val="5B4F256A"/>
    <w:rsid w:val="5B8A2B56"/>
    <w:rsid w:val="5BC21E5D"/>
    <w:rsid w:val="5DDD21F2"/>
    <w:rsid w:val="5EC24C37"/>
    <w:rsid w:val="5F223BC2"/>
    <w:rsid w:val="5F3C6C99"/>
    <w:rsid w:val="5FC70EB1"/>
    <w:rsid w:val="601E0A8A"/>
    <w:rsid w:val="605F42BE"/>
    <w:rsid w:val="60A362FF"/>
    <w:rsid w:val="61695AD8"/>
    <w:rsid w:val="623358B0"/>
    <w:rsid w:val="623D4573"/>
    <w:rsid w:val="62A2693C"/>
    <w:rsid w:val="62E23B48"/>
    <w:rsid w:val="636F08D1"/>
    <w:rsid w:val="64955701"/>
    <w:rsid w:val="64992B79"/>
    <w:rsid w:val="64AF7CA6"/>
    <w:rsid w:val="65267312"/>
    <w:rsid w:val="66715E2F"/>
    <w:rsid w:val="6674153C"/>
    <w:rsid w:val="66F577CD"/>
    <w:rsid w:val="68144827"/>
    <w:rsid w:val="683E7CBF"/>
    <w:rsid w:val="6880707B"/>
    <w:rsid w:val="68F760C0"/>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F67A9F"/>
    <w:rsid w:val="7313669B"/>
    <w:rsid w:val="73336B80"/>
    <w:rsid w:val="73644352"/>
    <w:rsid w:val="74012DA5"/>
    <w:rsid w:val="74357542"/>
    <w:rsid w:val="745A25C5"/>
    <w:rsid w:val="7499409C"/>
    <w:rsid w:val="74C512DF"/>
    <w:rsid w:val="754959A5"/>
    <w:rsid w:val="777F3410"/>
    <w:rsid w:val="7794299D"/>
    <w:rsid w:val="779C2014"/>
    <w:rsid w:val="79A94DE0"/>
    <w:rsid w:val="79AB6C35"/>
    <w:rsid w:val="7ACD3EF5"/>
    <w:rsid w:val="7AE552F3"/>
    <w:rsid w:val="7B29035B"/>
    <w:rsid w:val="7BD65173"/>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autoRedefine/>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autoRedefine/>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autoRedefine/>
    <w:qFormat/>
    <w:uiPriority w:val="0"/>
    <w:pPr>
      <w:keepNext/>
      <w:keepLines/>
      <w:spacing w:line="360" w:lineRule="auto"/>
      <w:ind w:left="425" w:hanging="425"/>
      <w:outlineLvl w:val="6"/>
    </w:pPr>
    <w:rPr>
      <w:b/>
      <w:bCs/>
      <w:sz w:val="24"/>
    </w:rPr>
  </w:style>
  <w:style w:type="paragraph" w:styleId="9">
    <w:name w:val="heading 8"/>
    <w:basedOn w:val="1"/>
    <w:next w:val="1"/>
    <w:link w:val="83"/>
    <w:autoRedefine/>
    <w:qFormat/>
    <w:uiPriority w:val="0"/>
    <w:pPr>
      <w:keepNext/>
      <w:keepLines/>
      <w:spacing w:line="360" w:lineRule="auto"/>
      <w:ind w:left="425" w:hanging="425"/>
      <w:outlineLvl w:val="7"/>
    </w:pPr>
    <w:rPr>
      <w:b/>
      <w:sz w:val="24"/>
    </w:rPr>
  </w:style>
  <w:style w:type="paragraph" w:styleId="10">
    <w:name w:val="heading 9"/>
    <w:basedOn w:val="1"/>
    <w:next w:val="1"/>
    <w:link w:val="84"/>
    <w:autoRedefine/>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0"/>
    <w:pPr>
      <w:ind w:left="1260"/>
      <w:jc w:val="left"/>
    </w:pPr>
    <w:rPr>
      <w:rFonts w:ascii="Calibri" w:hAnsi="Calibri" w:cs="Calibri"/>
      <w:sz w:val="18"/>
      <w:szCs w:val="18"/>
    </w:rPr>
  </w:style>
  <w:style w:type="paragraph" w:styleId="12">
    <w:name w:val="List Bullet 4"/>
    <w:basedOn w:val="1"/>
    <w:autoRedefine/>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autoRedefine/>
    <w:unhideWhenUsed/>
    <w:qFormat/>
    <w:uiPriority w:val="0"/>
    <w:pPr>
      <w:ind w:left="1400" w:leftChars="1400"/>
    </w:pPr>
    <w:rPr>
      <w:rFonts w:ascii="Calibri" w:hAnsi="Calibri"/>
      <w:szCs w:val="22"/>
    </w:rPr>
  </w:style>
  <w:style w:type="paragraph" w:styleId="14">
    <w:name w:val="List Number"/>
    <w:basedOn w:val="1"/>
    <w:autoRedefine/>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autoRedefine/>
    <w:unhideWhenUsed/>
    <w:qFormat/>
    <w:uiPriority w:val="0"/>
    <w:pPr>
      <w:ind w:firstLine="420" w:firstLineChars="200"/>
    </w:pPr>
    <w:rPr>
      <w:kern w:val="0"/>
      <w:sz w:val="20"/>
    </w:rPr>
  </w:style>
  <w:style w:type="paragraph" w:styleId="16">
    <w:name w:val="caption"/>
    <w:basedOn w:val="1"/>
    <w:next w:val="1"/>
    <w:link w:val="86"/>
    <w:autoRedefine/>
    <w:qFormat/>
    <w:uiPriority w:val="0"/>
    <w:pPr>
      <w:spacing w:beforeLines="50" w:afterLines="50" w:line="360" w:lineRule="auto"/>
      <w:jc w:val="center"/>
    </w:pPr>
    <w:rPr>
      <w:rFonts w:ascii="Arial" w:hAnsi="Arial"/>
      <w:sz w:val="24"/>
      <w:szCs w:val="20"/>
    </w:rPr>
  </w:style>
  <w:style w:type="paragraph" w:styleId="17">
    <w:name w:val="index 5"/>
    <w:basedOn w:val="1"/>
    <w:next w:val="1"/>
    <w:autoRedefine/>
    <w:unhideWhenUsed/>
    <w:qFormat/>
    <w:uiPriority w:val="0"/>
    <w:pPr>
      <w:ind w:left="800" w:leftChars="800"/>
    </w:pPr>
    <w:rPr>
      <w:rFonts w:ascii="Calibri" w:hAnsi="Calibri"/>
      <w:szCs w:val="22"/>
    </w:rPr>
  </w:style>
  <w:style w:type="paragraph" w:styleId="18">
    <w:name w:val="List Bullet"/>
    <w:basedOn w:val="1"/>
    <w:autoRedefine/>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autoRedefine/>
    <w:semiHidden/>
    <w:qFormat/>
    <w:uiPriority w:val="0"/>
    <w:pPr>
      <w:shd w:val="clear" w:color="auto" w:fill="000080"/>
    </w:pPr>
  </w:style>
  <w:style w:type="paragraph" w:styleId="20">
    <w:name w:val="annotation text"/>
    <w:basedOn w:val="1"/>
    <w:link w:val="88"/>
    <w:autoRedefine/>
    <w:unhideWhenUsed/>
    <w:qFormat/>
    <w:uiPriority w:val="99"/>
    <w:pPr>
      <w:jc w:val="left"/>
    </w:pPr>
  </w:style>
  <w:style w:type="paragraph" w:styleId="21">
    <w:name w:val="index 6"/>
    <w:basedOn w:val="1"/>
    <w:next w:val="1"/>
    <w:autoRedefine/>
    <w:unhideWhenUsed/>
    <w:qFormat/>
    <w:uiPriority w:val="0"/>
    <w:pPr>
      <w:ind w:left="1000" w:leftChars="1000"/>
    </w:pPr>
    <w:rPr>
      <w:rFonts w:ascii="Calibri" w:hAnsi="Calibri"/>
      <w:szCs w:val="22"/>
    </w:rPr>
  </w:style>
  <w:style w:type="paragraph" w:styleId="22">
    <w:name w:val="Body Text 3"/>
    <w:basedOn w:val="1"/>
    <w:link w:val="89"/>
    <w:autoRedefine/>
    <w:qFormat/>
    <w:uiPriority w:val="0"/>
    <w:rPr>
      <w:rFonts w:ascii="楷体_GB2312" w:hAnsi="Arial" w:eastAsia="楷体_GB2312"/>
      <w:b/>
      <w:bCs/>
      <w:color w:val="000000"/>
      <w:sz w:val="24"/>
    </w:rPr>
  </w:style>
  <w:style w:type="paragraph" w:styleId="23">
    <w:name w:val="List Bullet 3"/>
    <w:basedOn w:val="1"/>
    <w:autoRedefine/>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link w:val="74"/>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autoRedefine/>
    <w:unhideWhenUsed/>
    <w:qFormat/>
    <w:uiPriority w:val="0"/>
    <w:pPr>
      <w:spacing w:after="120"/>
      <w:ind w:left="420" w:leftChars="200"/>
    </w:pPr>
    <w:rPr>
      <w:kern w:val="0"/>
      <w:sz w:val="20"/>
    </w:rPr>
  </w:style>
  <w:style w:type="paragraph" w:styleId="26">
    <w:name w:val="envelope return"/>
    <w:basedOn w:val="1"/>
    <w:autoRedefine/>
    <w:unhideWhenUsed/>
    <w:qFormat/>
    <w:uiPriority w:val="99"/>
    <w:pPr>
      <w:snapToGrid w:val="0"/>
    </w:pPr>
    <w:rPr>
      <w:rFonts w:ascii="Arial" w:hAnsi="Arial"/>
      <w:szCs w:val="22"/>
    </w:rPr>
  </w:style>
  <w:style w:type="paragraph" w:styleId="27">
    <w:name w:val="Block Text"/>
    <w:basedOn w:val="1"/>
    <w:next w:val="1"/>
    <w:autoRedefine/>
    <w:qFormat/>
    <w:uiPriority w:val="0"/>
    <w:pPr>
      <w:adjustRightInd w:val="0"/>
      <w:ind w:left="420" w:right="33"/>
      <w:jc w:val="left"/>
      <w:textAlignment w:val="baseline"/>
    </w:pPr>
    <w:rPr>
      <w:kern w:val="0"/>
      <w:sz w:val="24"/>
      <w:szCs w:val="20"/>
    </w:rPr>
  </w:style>
  <w:style w:type="paragraph" w:styleId="28">
    <w:name w:val="List Bullet 2"/>
    <w:basedOn w:val="1"/>
    <w:autoRedefine/>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autoRedefine/>
    <w:unhideWhenUsed/>
    <w:qFormat/>
    <w:uiPriority w:val="0"/>
    <w:rPr>
      <w:rFonts w:ascii="Calibri" w:hAnsi="Calibri"/>
      <w:i/>
      <w:iCs/>
      <w:szCs w:val="22"/>
    </w:rPr>
  </w:style>
  <w:style w:type="paragraph" w:styleId="30">
    <w:name w:val="index 4"/>
    <w:basedOn w:val="1"/>
    <w:next w:val="1"/>
    <w:autoRedefine/>
    <w:qFormat/>
    <w:uiPriority w:val="0"/>
    <w:pPr>
      <w:ind w:left="600" w:leftChars="600"/>
    </w:pPr>
    <w:rPr>
      <w:rFonts w:ascii="Verdana" w:hAnsi="Verdana"/>
      <w:szCs w:val="20"/>
    </w:rPr>
  </w:style>
  <w:style w:type="paragraph" w:styleId="31">
    <w:name w:val="toc 5"/>
    <w:basedOn w:val="1"/>
    <w:next w:val="1"/>
    <w:autoRedefine/>
    <w:unhideWhenUsed/>
    <w:qFormat/>
    <w:uiPriority w:val="0"/>
    <w:pPr>
      <w:ind w:left="840"/>
      <w:jc w:val="left"/>
    </w:pPr>
    <w:rPr>
      <w:rFonts w:ascii="Calibri" w:hAnsi="Calibri" w:cs="Calibri"/>
      <w:sz w:val="18"/>
      <w:szCs w:val="18"/>
    </w:rPr>
  </w:style>
  <w:style w:type="paragraph" w:styleId="32">
    <w:name w:val="Plain Text"/>
    <w:basedOn w:val="1"/>
    <w:link w:val="92"/>
    <w:autoRedefine/>
    <w:qFormat/>
    <w:uiPriority w:val="0"/>
    <w:rPr>
      <w:rFonts w:ascii="宋体" w:hAnsi="Courier New"/>
      <w:szCs w:val="20"/>
    </w:rPr>
  </w:style>
  <w:style w:type="paragraph" w:styleId="33">
    <w:name w:val="List Bullet 5"/>
    <w:basedOn w:val="1"/>
    <w:autoRedefine/>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autoRedefine/>
    <w:unhideWhenUsed/>
    <w:qFormat/>
    <w:uiPriority w:val="0"/>
    <w:pPr>
      <w:ind w:left="1470"/>
      <w:jc w:val="left"/>
    </w:pPr>
    <w:rPr>
      <w:rFonts w:ascii="Calibri" w:hAnsi="Calibri" w:cs="Calibri"/>
      <w:sz w:val="18"/>
      <w:szCs w:val="18"/>
    </w:rPr>
  </w:style>
  <w:style w:type="paragraph" w:styleId="35">
    <w:name w:val="index 3"/>
    <w:basedOn w:val="1"/>
    <w:next w:val="1"/>
    <w:autoRedefine/>
    <w:unhideWhenUsed/>
    <w:qFormat/>
    <w:uiPriority w:val="0"/>
    <w:pPr>
      <w:ind w:left="400" w:leftChars="400"/>
    </w:pPr>
    <w:rPr>
      <w:rFonts w:ascii="Calibri" w:hAnsi="Calibri"/>
      <w:szCs w:val="22"/>
    </w:rPr>
  </w:style>
  <w:style w:type="paragraph" w:styleId="36">
    <w:name w:val="Date"/>
    <w:basedOn w:val="1"/>
    <w:next w:val="1"/>
    <w:link w:val="93"/>
    <w:autoRedefine/>
    <w:qFormat/>
    <w:uiPriority w:val="0"/>
    <w:pPr>
      <w:ind w:left="100"/>
    </w:pPr>
    <w:rPr>
      <w:rFonts w:ascii="仿宋_GB2312" w:hAnsi="Courier New" w:eastAsia="仿宋_GB2312"/>
      <w:sz w:val="28"/>
      <w:szCs w:val="20"/>
    </w:rPr>
  </w:style>
  <w:style w:type="paragraph" w:styleId="37">
    <w:name w:val="Body Text Indent 2"/>
    <w:basedOn w:val="1"/>
    <w:link w:val="94"/>
    <w:autoRedefine/>
    <w:qFormat/>
    <w:uiPriority w:val="0"/>
    <w:pPr>
      <w:spacing w:after="120" w:line="480" w:lineRule="auto"/>
      <w:ind w:left="420" w:leftChars="200"/>
    </w:pPr>
  </w:style>
  <w:style w:type="paragraph" w:styleId="38">
    <w:name w:val="endnote text"/>
    <w:basedOn w:val="1"/>
    <w:link w:val="95"/>
    <w:autoRedefine/>
    <w:unhideWhenUsed/>
    <w:qFormat/>
    <w:uiPriority w:val="0"/>
    <w:pPr>
      <w:widowControl/>
      <w:snapToGrid w:val="0"/>
      <w:jc w:val="left"/>
    </w:pPr>
    <w:rPr>
      <w:rFonts w:ascii="宋体" w:hAnsi="Calibri"/>
      <w:bCs/>
      <w:kern w:val="0"/>
      <w:szCs w:val="21"/>
    </w:rPr>
  </w:style>
  <w:style w:type="paragraph" w:styleId="39">
    <w:name w:val="Balloon Text"/>
    <w:basedOn w:val="1"/>
    <w:link w:val="96"/>
    <w:autoRedefine/>
    <w:unhideWhenUsed/>
    <w:qFormat/>
    <w:uiPriority w:val="0"/>
    <w:rPr>
      <w:kern w:val="0"/>
      <w:sz w:val="18"/>
      <w:szCs w:val="18"/>
    </w:rPr>
  </w:style>
  <w:style w:type="paragraph" w:styleId="40">
    <w:name w:val="footer"/>
    <w:basedOn w:val="1"/>
    <w:next w:val="1"/>
    <w:link w:val="97"/>
    <w:autoRedefine/>
    <w:unhideWhenUsed/>
    <w:qFormat/>
    <w:uiPriority w:val="99"/>
    <w:pPr>
      <w:tabs>
        <w:tab w:val="center" w:pos="4153"/>
        <w:tab w:val="right" w:pos="8306"/>
      </w:tabs>
      <w:snapToGrid w:val="0"/>
      <w:jc w:val="left"/>
    </w:pPr>
    <w:rPr>
      <w:sz w:val="18"/>
      <w:szCs w:val="18"/>
    </w:rPr>
  </w:style>
  <w:style w:type="paragraph" w:styleId="41">
    <w:name w:val="header"/>
    <w:basedOn w:val="1"/>
    <w:link w:val="98"/>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autoRedefine/>
    <w:semiHidden/>
    <w:qFormat/>
    <w:uiPriority w:val="39"/>
  </w:style>
  <w:style w:type="paragraph" w:styleId="43">
    <w:name w:val="toc 4"/>
    <w:basedOn w:val="1"/>
    <w:next w:val="1"/>
    <w:autoRedefine/>
    <w:unhideWhenUsed/>
    <w:qFormat/>
    <w:uiPriority w:val="0"/>
    <w:pPr>
      <w:ind w:left="630"/>
      <w:jc w:val="left"/>
    </w:pPr>
    <w:rPr>
      <w:rFonts w:ascii="Calibri" w:hAnsi="Calibri" w:cs="Calibri"/>
      <w:sz w:val="18"/>
      <w:szCs w:val="18"/>
    </w:rPr>
  </w:style>
  <w:style w:type="paragraph" w:styleId="44">
    <w:name w:val="index heading"/>
    <w:basedOn w:val="1"/>
    <w:next w:val="45"/>
    <w:autoRedefine/>
    <w:unhideWhenUsed/>
    <w:qFormat/>
    <w:uiPriority w:val="0"/>
    <w:rPr>
      <w:rFonts w:ascii="Calibri" w:hAnsi="Calibri"/>
      <w:szCs w:val="22"/>
    </w:rPr>
  </w:style>
  <w:style w:type="paragraph" w:styleId="45">
    <w:name w:val="index 1"/>
    <w:basedOn w:val="1"/>
    <w:next w:val="1"/>
    <w:autoRedefine/>
    <w:unhideWhenUsed/>
    <w:qFormat/>
    <w:uiPriority w:val="0"/>
    <w:rPr>
      <w:rFonts w:ascii="Calibri" w:hAnsi="Calibri"/>
      <w:szCs w:val="22"/>
    </w:rPr>
  </w:style>
  <w:style w:type="paragraph" w:styleId="46">
    <w:name w:val="footnote text"/>
    <w:basedOn w:val="1"/>
    <w:link w:val="99"/>
    <w:autoRedefine/>
    <w:unhideWhenUsed/>
    <w:qFormat/>
    <w:uiPriority w:val="0"/>
    <w:pPr>
      <w:adjustRightInd w:val="0"/>
      <w:snapToGrid w:val="0"/>
      <w:jc w:val="left"/>
    </w:pPr>
    <w:rPr>
      <w:rFonts w:ascii="宋体" w:hAnsi="Calibri"/>
      <w:bCs/>
      <w:kern w:val="0"/>
      <w:sz w:val="18"/>
      <w:szCs w:val="18"/>
    </w:rPr>
  </w:style>
  <w:style w:type="paragraph" w:styleId="47">
    <w:name w:val="toc 6"/>
    <w:basedOn w:val="1"/>
    <w:next w:val="1"/>
    <w:autoRedefine/>
    <w:unhideWhenUsed/>
    <w:qFormat/>
    <w:uiPriority w:val="0"/>
    <w:pPr>
      <w:ind w:left="1050"/>
      <w:jc w:val="left"/>
    </w:pPr>
    <w:rPr>
      <w:rFonts w:ascii="Calibri" w:hAnsi="Calibri" w:cs="Calibri"/>
      <w:sz w:val="18"/>
      <w:szCs w:val="18"/>
    </w:rPr>
  </w:style>
  <w:style w:type="paragraph" w:styleId="48">
    <w:name w:val="Body Text Indent 3"/>
    <w:basedOn w:val="1"/>
    <w:link w:val="100"/>
    <w:autoRedefine/>
    <w:qFormat/>
    <w:uiPriority w:val="0"/>
    <w:pPr>
      <w:ind w:firstLine="420" w:firstLineChars="200"/>
    </w:pPr>
    <w:rPr>
      <w:rFonts w:eastAsia="楷体_GB2312"/>
    </w:rPr>
  </w:style>
  <w:style w:type="paragraph" w:styleId="49">
    <w:name w:val="index 7"/>
    <w:basedOn w:val="1"/>
    <w:next w:val="1"/>
    <w:autoRedefine/>
    <w:unhideWhenUsed/>
    <w:qFormat/>
    <w:uiPriority w:val="0"/>
    <w:pPr>
      <w:ind w:left="1200" w:leftChars="1200"/>
    </w:pPr>
    <w:rPr>
      <w:rFonts w:ascii="Calibri" w:hAnsi="Calibri"/>
      <w:szCs w:val="22"/>
    </w:rPr>
  </w:style>
  <w:style w:type="paragraph" w:styleId="50">
    <w:name w:val="index 9"/>
    <w:basedOn w:val="1"/>
    <w:next w:val="1"/>
    <w:autoRedefine/>
    <w:unhideWhenUsed/>
    <w:qFormat/>
    <w:uiPriority w:val="0"/>
    <w:pPr>
      <w:ind w:left="1600" w:leftChars="1600"/>
    </w:pPr>
    <w:rPr>
      <w:rFonts w:ascii="Calibri" w:hAnsi="Calibri"/>
      <w:szCs w:val="22"/>
    </w:rPr>
  </w:style>
  <w:style w:type="paragraph" w:styleId="51">
    <w:name w:val="table of figures"/>
    <w:basedOn w:val="1"/>
    <w:next w:val="1"/>
    <w:autoRedefine/>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autoRedefine/>
    <w:unhideWhenUsed/>
    <w:qFormat/>
    <w:uiPriority w:val="0"/>
    <w:pPr>
      <w:ind w:left="1680"/>
      <w:jc w:val="left"/>
    </w:pPr>
    <w:rPr>
      <w:rFonts w:ascii="Calibri" w:hAnsi="Calibri" w:cs="Calibri"/>
      <w:sz w:val="18"/>
      <w:szCs w:val="18"/>
    </w:rPr>
  </w:style>
  <w:style w:type="paragraph" w:styleId="53">
    <w:name w:val="Body Text 2"/>
    <w:basedOn w:val="1"/>
    <w:link w:val="101"/>
    <w:autoRedefine/>
    <w:qFormat/>
    <w:uiPriority w:val="0"/>
    <w:pPr>
      <w:spacing w:line="440" w:lineRule="exact"/>
    </w:pPr>
    <w:rPr>
      <w:rFonts w:ascii="楷体_GB2312" w:eastAsia="楷体_GB2312"/>
      <w:sz w:val="28"/>
    </w:rPr>
  </w:style>
  <w:style w:type="paragraph" w:styleId="54">
    <w:name w:val="List Continue 2"/>
    <w:basedOn w:val="1"/>
    <w:autoRedefine/>
    <w:unhideWhenUsed/>
    <w:qFormat/>
    <w:uiPriority w:val="0"/>
    <w:pPr>
      <w:spacing w:after="120"/>
      <w:ind w:left="840" w:leftChars="400"/>
    </w:pPr>
    <w:rPr>
      <w:rFonts w:ascii="Calibri" w:hAnsi="Calibri"/>
      <w:szCs w:val="22"/>
    </w:rPr>
  </w:style>
  <w:style w:type="paragraph" w:styleId="55">
    <w:name w:val="HTML Preformatted"/>
    <w:basedOn w:val="1"/>
    <w:link w:val="102"/>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autoRedefine/>
    <w:unhideWhenUsed/>
    <w:qFormat/>
    <w:uiPriority w:val="0"/>
    <w:pPr>
      <w:ind w:left="200" w:leftChars="200"/>
    </w:pPr>
    <w:rPr>
      <w:rFonts w:ascii="Calibri" w:hAnsi="Calibri"/>
      <w:szCs w:val="22"/>
    </w:rPr>
  </w:style>
  <w:style w:type="paragraph" w:styleId="58">
    <w:name w:val="Title"/>
    <w:basedOn w:val="1"/>
    <w:link w:val="103"/>
    <w:autoRedefine/>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autoRedefine/>
    <w:unhideWhenUsed/>
    <w:qFormat/>
    <w:uiPriority w:val="0"/>
    <w:rPr>
      <w:b/>
      <w:bCs/>
    </w:rPr>
  </w:style>
  <w:style w:type="paragraph" w:styleId="60">
    <w:name w:val="Body Text First Indent"/>
    <w:basedOn w:val="24"/>
    <w:link w:val="75"/>
    <w:autoRedefine/>
    <w:qFormat/>
    <w:uiPriority w:val="0"/>
    <w:pPr>
      <w:ind w:firstLine="420" w:firstLineChars="100"/>
    </w:pPr>
  </w:style>
  <w:style w:type="paragraph" w:styleId="61">
    <w:name w:val="Body Text First Indent 2"/>
    <w:basedOn w:val="25"/>
    <w:link w:val="105"/>
    <w:autoRedefine/>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b/>
    </w:rPr>
  </w:style>
  <w:style w:type="character" w:styleId="66">
    <w:name w:val="endnote reference"/>
    <w:autoRedefine/>
    <w:unhideWhenUsed/>
    <w:qFormat/>
    <w:uiPriority w:val="0"/>
    <w:rPr>
      <w:vertAlign w:val="superscript"/>
    </w:rPr>
  </w:style>
  <w:style w:type="character" w:styleId="67">
    <w:name w:val="page number"/>
    <w:autoRedefine/>
    <w:unhideWhenUsed/>
    <w:qFormat/>
    <w:uiPriority w:val="0"/>
  </w:style>
  <w:style w:type="character" w:styleId="68">
    <w:name w:val="FollowedHyperlink"/>
    <w:autoRedefine/>
    <w:unhideWhenUsed/>
    <w:qFormat/>
    <w:uiPriority w:val="99"/>
    <w:rPr>
      <w:color w:val="954F72"/>
      <w:u w:val="single"/>
    </w:rPr>
  </w:style>
  <w:style w:type="character" w:styleId="69">
    <w:name w:val="Emphasis"/>
    <w:autoRedefine/>
    <w:qFormat/>
    <w:uiPriority w:val="0"/>
    <w:rPr>
      <w:i/>
      <w:iCs/>
    </w:rPr>
  </w:style>
  <w:style w:type="character" w:styleId="70">
    <w:name w:val="HTML Typewriter"/>
    <w:autoRedefine/>
    <w:unhideWhenUsed/>
    <w:qFormat/>
    <w:uiPriority w:val="0"/>
    <w:rPr>
      <w:rFonts w:hint="eastAsia" w:ascii="宋体" w:hAnsi="Times New Roman" w:eastAsia="宋体" w:cs="宋体"/>
      <w:sz w:val="24"/>
      <w:szCs w:val="24"/>
      <w:lang w:bidi="ar-SA"/>
    </w:rPr>
  </w:style>
  <w:style w:type="character" w:styleId="71">
    <w:name w:val="Hyperlink"/>
    <w:autoRedefine/>
    <w:unhideWhenUsed/>
    <w:qFormat/>
    <w:uiPriority w:val="99"/>
    <w:rPr>
      <w:color w:val="0000FF"/>
      <w:u w:val="single"/>
    </w:rPr>
  </w:style>
  <w:style w:type="character" w:styleId="72">
    <w:name w:val="annotation reference"/>
    <w:autoRedefine/>
    <w:qFormat/>
    <w:uiPriority w:val="99"/>
    <w:rPr>
      <w:sz w:val="21"/>
      <w:szCs w:val="21"/>
    </w:rPr>
  </w:style>
  <w:style w:type="character" w:styleId="73">
    <w:name w:val="footnote reference"/>
    <w:autoRedefine/>
    <w:unhideWhenUsed/>
    <w:qFormat/>
    <w:uiPriority w:val="0"/>
    <w:rPr>
      <w:vertAlign w:val="superscript"/>
    </w:rPr>
  </w:style>
  <w:style w:type="character" w:customStyle="1" w:styleId="74">
    <w:name w:val="正文文本 字符"/>
    <w:link w:val="24"/>
    <w:autoRedefine/>
    <w:qFormat/>
    <w:uiPriority w:val="99"/>
    <w:rPr>
      <w:rFonts w:ascii="华文彩云" w:hAnsi="宋体" w:eastAsia="华文彩云"/>
      <w:bCs/>
      <w:color w:val="000000"/>
      <w:kern w:val="2"/>
      <w:sz w:val="28"/>
      <w:szCs w:val="24"/>
    </w:rPr>
  </w:style>
  <w:style w:type="character" w:customStyle="1" w:styleId="75">
    <w:name w:val="正文文本首行缩进 字符"/>
    <w:link w:val="60"/>
    <w:autoRedefine/>
    <w:qFormat/>
    <w:uiPriority w:val="0"/>
    <w:rPr>
      <w:rFonts w:ascii="华文彩云" w:hAnsi="宋体" w:eastAsia="华文彩云"/>
      <w:bCs/>
      <w:color w:val="000000"/>
      <w:kern w:val="2"/>
      <w:sz w:val="28"/>
      <w:szCs w:val="24"/>
    </w:rPr>
  </w:style>
  <w:style w:type="character" w:customStyle="1" w:styleId="76">
    <w:name w:val="标题 1 字符"/>
    <w:link w:val="2"/>
    <w:autoRedefine/>
    <w:qFormat/>
    <w:uiPriority w:val="0"/>
    <w:rPr>
      <w:rFonts w:ascii="Times New Roman" w:hAnsi="Times New Roman" w:eastAsia="宋体" w:cs="Times New Roman"/>
      <w:b/>
      <w:bCs/>
      <w:kern w:val="44"/>
      <w:sz w:val="44"/>
      <w:szCs w:val="44"/>
    </w:rPr>
  </w:style>
  <w:style w:type="character" w:customStyle="1" w:styleId="77">
    <w:name w:val="标题 2 字符"/>
    <w:link w:val="3"/>
    <w:autoRedefine/>
    <w:qFormat/>
    <w:uiPriority w:val="0"/>
    <w:rPr>
      <w:rFonts w:ascii="Cambria" w:hAnsi="Cambria" w:eastAsia="宋体" w:cs="黑体"/>
      <w:b/>
      <w:bCs/>
      <w:sz w:val="32"/>
      <w:szCs w:val="32"/>
    </w:rPr>
  </w:style>
  <w:style w:type="character" w:customStyle="1" w:styleId="78">
    <w:name w:val="标题 3 字符"/>
    <w:link w:val="4"/>
    <w:autoRedefine/>
    <w:qFormat/>
    <w:uiPriority w:val="0"/>
    <w:rPr>
      <w:rFonts w:ascii="Times New Roman" w:hAnsi="Times New Roman" w:eastAsia="宋体" w:cs="Times New Roman"/>
      <w:b/>
      <w:bCs/>
      <w:sz w:val="32"/>
      <w:szCs w:val="32"/>
    </w:rPr>
  </w:style>
  <w:style w:type="character" w:customStyle="1" w:styleId="79">
    <w:name w:val="标题 4 字符"/>
    <w:link w:val="5"/>
    <w:autoRedefine/>
    <w:qFormat/>
    <w:uiPriority w:val="0"/>
    <w:rPr>
      <w:rFonts w:ascii="Cambria" w:hAnsi="Cambria" w:eastAsia="宋体" w:cs="黑体"/>
      <w:b/>
      <w:bCs/>
      <w:sz w:val="28"/>
      <w:szCs w:val="28"/>
    </w:rPr>
  </w:style>
  <w:style w:type="character" w:customStyle="1" w:styleId="80">
    <w:name w:val="标题 5 字符"/>
    <w:link w:val="6"/>
    <w:autoRedefine/>
    <w:qFormat/>
    <w:uiPriority w:val="0"/>
    <w:rPr>
      <w:rFonts w:ascii="Times New Roman" w:hAnsi="Times New Roman" w:eastAsia="宋体" w:cs="Times New Roman"/>
      <w:b/>
      <w:bCs/>
      <w:sz w:val="28"/>
      <w:szCs w:val="28"/>
    </w:rPr>
  </w:style>
  <w:style w:type="character" w:customStyle="1" w:styleId="81">
    <w:name w:val="标题 6 字符"/>
    <w:link w:val="7"/>
    <w:autoRedefine/>
    <w:qFormat/>
    <w:uiPriority w:val="0"/>
    <w:rPr>
      <w:rFonts w:ascii="Cambria" w:hAnsi="Cambria" w:eastAsia="宋体" w:cs="黑体"/>
      <w:b/>
      <w:bCs/>
      <w:sz w:val="24"/>
      <w:szCs w:val="24"/>
    </w:rPr>
  </w:style>
  <w:style w:type="character" w:customStyle="1" w:styleId="82">
    <w:name w:val="标题 7 字符"/>
    <w:link w:val="8"/>
    <w:autoRedefine/>
    <w:qFormat/>
    <w:uiPriority w:val="0"/>
    <w:rPr>
      <w:b/>
      <w:bCs/>
      <w:kern w:val="2"/>
      <w:sz w:val="24"/>
      <w:szCs w:val="24"/>
    </w:rPr>
  </w:style>
  <w:style w:type="character" w:customStyle="1" w:styleId="83">
    <w:name w:val="标题 8 字符"/>
    <w:link w:val="9"/>
    <w:autoRedefine/>
    <w:qFormat/>
    <w:uiPriority w:val="0"/>
    <w:rPr>
      <w:b/>
      <w:kern w:val="2"/>
      <w:sz w:val="24"/>
      <w:szCs w:val="24"/>
    </w:rPr>
  </w:style>
  <w:style w:type="character" w:customStyle="1" w:styleId="84">
    <w:name w:val="标题 9 字符"/>
    <w:link w:val="10"/>
    <w:autoRedefine/>
    <w:qFormat/>
    <w:uiPriority w:val="0"/>
    <w:rPr>
      <w:rFonts w:ascii="仿宋_GB2312" w:hAnsi="Calibri" w:eastAsia="仿宋_GB2312"/>
      <w:kern w:val="2"/>
      <w:sz w:val="32"/>
      <w:szCs w:val="22"/>
    </w:rPr>
  </w:style>
  <w:style w:type="character" w:customStyle="1" w:styleId="85">
    <w:name w:val="正文缩进 字符"/>
    <w:link w:val="15"/>
    <w:autoRedefine/>
    <w:qFormat/>
    <w:locked/>
    <w:uiPriority w:val="0"/>
    <w:rPr>
      <w:szCs w:val="24"/>
    </w:rPr>
  </w:style>
  <w:style w:type="character" w:customStyle="1" w:styleId="86">
    <w:name w:val="题注 字符"/>
    <w:link w:val="16"/>
    <w:autoRedefine/>
    <w:qFormat/>
    <w:locked/>
    <w:uiPriority w:val="0"/>
    <w:rPr>
      <w:rFonts w:ascii="Arial" w:hAnsi="Arial" w:cs="Arial"/>
      <w:kern w:val="2"/>
      <w:sz w:val="24"/>
    </w:rPr>
  </w:style>
  <w:style w:type="character" w:customStyle="1" w:styleId="87">
    <w:name w:val="文档结构图 字符"/>
    <w:link w:val="19"/>
    <w:autoRedefine/>
    <w:semiHidden/>
    <w:qFormat/>
    <w:uiPriority w:val="0"/>
    <w:rPr>
      <w:kern w:val="2"/>
      <w:sz w:val="21"/>
      <w:szCs w:val="24"/>
      <w:shd w:val="clear" w:color="auto" w:fill="000080"/>
    </w:rPr>
  </w:style>
  <w:style w:type="character" w:customStyle="1" w:styleId="88">
    <w:name w:val="批注文字 字符"/>
    <w:link w:val="20"/>
    <w:autoRedefine/>
    <w:qFormat/>
    <w:uiPriority w:val="99"/>
    <w:rPr>
      <w:kern w:val="2"/>
      <w:sz w:val="21"/>
      <w:szCs w:val="24"/>
    </w:rPr>
  </w:style>
  <w:style w:type="character" w:customStyle="1" w:styleId="89">
    <w:name w:val="正文文本 3 字符"/>
    <w:link w:val="22"/>
    <w:autoRedefine/>
    <w:qFormat/>
    <w:uiPriority w:val="0"/>
    <w:rPr>
      <w:rFonts w:ascii="楷体_GB2312" w:hAnsi="Arial" w:eastAsia="楷体_GB2312" w:cs="Arial"/>
      <w:b/>
      <w:bCs/>
      <w:color w:val="000000"/>
      <w:kern w:val="2"/>
      <w:sz w:val="24"/>
      <w:szCs w:val="24"/>
    </w:rPr>
  </w:style>
  <w:style w:type="character" w:customStyle="1" w:styleId="90">
    <w:name w:val="正文文本缩进 字符"/>
    <w:link w:val="25"/>
    <w:autoRedefine/>
    <w:qFormat/>
    <w:uiPriority w:val="0"/>
    <w:rPr>
      <w:rFonts w:ascii="Times New Roman" w:hAnsi="Times New Roman" w:eastAsia="宋体" w:cs="Times New Roman"/>
      <w:szCs w:val="24"/>
    </w:rPr>
  </w:style>
  <w:style w:type="character" w:customStyle="1" w:styleId="91">
    <w:name w:val="HTML 地址 字符"/>
    <w:link w:val="29"/>
    <w:autoRedefine/>
    <w:qFormat/>
    <w:uiPriority w:val="0"/>
    <w:rPr>
      <w:rFonts w:ascii="Calibri" w:hAnsi="Calibri" w:cs="宋体"/>
      <w:i/>
      <w:iCs/>
      <w:kern w:val="2"/>
      <w:sz w:val="21"/>
      <w:szCs w:val="22"/>
    </w:rPr>
  </w:style>
  <w:style w:type="character" w:customStyle="1" w:styleId="92">
    <w:name w:val="纯文本 字符"/>
    <w:link w:val="32"/>
    <w:autoRedefine/>
    <w:qFormat/>
    <w:uiPriority w:val="0"/>
    <w:rPr>
      <w:rFonts w:ascii="宋体" w:hAnsi="Courier New"/>
      <w:kern w:val="2"/>
      <w:sz w:val="21"/>
    </w:rPr>
  </w:style>
  <w:style w:type="character" w:customStyle="1" w:styleId="93">
    <w:name w:val="日期 字符"/>
    <w:link w:val="36"/>
    <w:autoRedefine/>
    <w:qFormat/>
    <w:uiPriority w:val="0"/>
    <w:rPr>
      <w:rFonts w:ascii="仿宋_GB2312" w:hAnsi="Courier New" w:eastAsia="仿宋_GB2312"/>
      <w:kern w:val="2"/>
      <w:sz w:val="28"/>
    </w:rPr>
  </w:style>
  <w:style w:type="character" w:customStyle="1" w:styleId="94">
    <w:name w:val="正文文本缩进 2 字符"/>
    <w:link w:val="37"/>
    <w:autoRedefine/>
    <w:qFormat/>
    <w:uiPriority w:val="0"/>
    <w:rPr>
      <w:kern w:val="2"/>
      <w:sz w:val="21"/>
      <w:szCs w:val="24"/>
    </w:rPr>
  </w:style>
  <w:style w:type="character" w:customStyle="1" w:styleId="95">
    <w:name w:val="尾注文本 字符"/>
    <w:link w:val="38"/>
    <w:autoRedefine/>
    <w:qFormat/>
    <w:uiPriority w:val="0"/>
    <w:rPr>
      <w:rFonts w:ascii="宋体" w:hAnsi="Calibri"/>
      <w:bCs/>
      <w:sz w:val="21"/>
      <w:szCs w:val="21"/>
    </w:rPr>
  </w:style>
  <w:style w:type="character" w:customStyle="1" w:styleId="96">
    <w:name w:val="批注框文本 字符"/>
    <w:link w:val="39"/>
    <w:autoRedefine/>
    <w:qFormat/>
    <w:uiPriority w:val="0"/>
    <w:rPr>
      <w:rFonts w:ascii="Times New Roman" w:hAnsi="Times New Roman" w:eastAsia="宋体" w:cs="Times New Roman"/>
      <w:sz w:val="18"/>
      <w:szCs w:val="18"/>
    </w:rPr>
  </w:style>
  <w:style w:type="character" w:customStyle="1" w:styleId="97">
    <w:name w:val="页脚 字符"/>
    <w:link w:val="40"/>
    <w:autoRedefine/>
    <w:qFormat/>
    <w:uiPriority w:val="99"/>
    <w:rPr>
      <w:kern w:val="2"/>
      <w:sz w:val="18"/>
      <w:szCs w:val="18"/>
    </w:rPr>
  </w:style>
  <w:style w:type="character" w:customStyle="1" w:styleId="98">
    <w:name w:val="页眉 字符"/>
    <w:link w:val="41"/>
    <w:autoRedefine/>
    <w:qFormat/>
    <w:uiPriority w:val="0"/>
    <w:rPr>
      <w:rFonts w:ascii="Times New Roman" w:hAnsi="Times New Roman" w:eastAsia="宋体" w:cs="Times New Roman"/>
      <w:sz w:val="18"/>
      <w:szCs w:val="18"/>
    </w:rPr>
  </w:style>
  <w:style w:type="character" w:customStyle="1" w:styleId="99">
    <w:name w:val="脚注文本 字符"/>
    <w:link w:val="46"/>
    <w:autoRedefine/>
    <w:qFormat/>
    <w:uiPriority w:val="0"/>
    <w:rPr>
      <w:rFonts w:ascii="宋体" w:hAnsi="Calibri"/>
      <w:bCs/>
      <w:sz w:val="18"/>
      <w:szCs w:val="18"/>
    </w:rPr>
  </w:style>
  <w:style w:type="character" w:customStyle="1" w:styleId="100">
    <w:name w:val="正文文本缩进 3 字符"/>
    <w:link w:val="48"/>
    <w:autoRedefine/>
    <w:qFormat/>
    <w:uiPriority w:val="0"/>
    <w:rPr>
      <w:rFonts w:eastAsia="楷体_GB2312"/>
      <w:kern w:val="2"/>
      <w:sz w:val="21"/>
      <w:szCs w:val="24"/>
    </w:rPr>
  </w:style>
  <w:style w:type="character" w:customStyle="1" w:styleId="101">
    <w:name w:val="正文文本 2 字符"/>
    <w:link w:val="53"/>
    <w:autoRedefine/>
    <w:qFormat/>
    <w:uiPriority w:val="0"/>
    <w:rPr>
      <w:rFonts w:ascii="楷体_GB2312" w:eastAsia="楷体_GB2312"/>
      <w:kern w:val="2"/>
      <w:sz w:val="28"/>
      <w:szCs w:val="24"/>
    </w:rPr>
  </w:style>
  <w:style w:type="character" w:customStyle="1" w:styleId="102">
    <w:name w:val="HTML 预设格式 字符"/>
    <w:link w:val="55"/>
    <w:autoRedefine/>
    <w:qFormat/>
    <w:uiPriority w:val="0"/>
    <w:rPr>
      <w:rFonts w:ascii="Arial" w:hAnsi="Arial" w:cs="Arial"/>
      <w:sz w:val="24"/>
      <w:szCs w:val="22"/>
    </w:rPr>
  </w:style>
  <w:style w:type="character" w:customStyle="1" w:styleId="103">
    <w:name w:val="标题 字符"/>
    <w:link w:val="58"/>
    <w:autoRedefine/>
    <w:qFormat/>
    <w:uiPriority w:val="0"/>
    <w:rPr>
      <w:rFonts w:ascii="Cambria" w:hAnsi="Cambria"/>
      <w:b/>
      <w:bCs/>
      <w:kern w:val="2"/>
      <w:sz w:val="32"/>
      <w:szCs w:val="32"/>
    </w:rPr>
  </w:style>
  <w:style w:type="character" w:customStyle="1" w:styleId="104">
    <w:name w:val="批注主题 字符"/>
    <w:link w:val="59"/>
    <w:autoRedefine/>
    <w:qFormat/>
    <w:uiPriority w:val="0"/>
    <w:rPr>
      <w:b/>
      <w:bCs/>
      <w:kern w:val="2"/>
      <w:sz w:val="21"/>
      <w:szCs w:val="24"/>
    </w:rPr>
  </w:style>
  <w:style w:type="character" w:customStyle="1" w:styleId="105">
    <w:name w:val="正文文本首行缩进 2 字符"/>
    <w:link w:val="61"/>
    <w:autoRedefine/>
    <w:qFormat/>
    <w:uiPriority w:val="99"/>
    <w:rPr>
      <w:rFonts w:ascii="仿宋_GB2312" w:eastAsia="仿宋_GB2312"/>
      <w:color w:val="FF6600"/>
      <w:kern w:val="2"/>
      <w:sz w:val="21"/>
    </w:rPr>
  </w:style>
  <w:style w:type="paragraph" w:customStyle="1" w:styleId="106">
    <w:name w:val="正文1"/>
    <w:basedOn w:val="1"/>
    <w:autoRedefine/>
    <w:qFormat/>
    <w:uiPriority w:val="99"/>
    <w:pPr>
      <w:spacing w:line="300" w:lineRule="auto"/>
      <w:contextualSpacing/>
    </w:pPr>
    <w:rPr>
      <w:rFonts w:ascii="Arial" w:hAnsi="Arial" w:cs="Arial"/>
      <w:sz w:val="24"/>
    </w:rPr>
  </w:style>
  <w:style w:type="character" w:customStyle="1" w:styleId="107">
    <w:name w:val="样式2 Char Char"/>
    <w:link w:val="108"/>
    <w:autoRedefine/>
    <w:qFormat/>
    <w:uiPriority w:val="0"/>
    <w:rPr>
      <w:b/>
      <w:bCs/>
      <w:kern w:val="44"/>
      <w:sz w:val="28"/>
      <w:szCs w:val="44"/>
    </w:rPr>
  </w:style>
  <w:style w:type="paragraph" w:customStyle="1" w:styleId="108">
    <w:name w:val="样式2"/>
    <w:basedOn w:val="2"/>
    <w:link w:val="107"/>
    <w:autoRedefine/>
    <w:qFormat/>
    <w:uiPriority w:val="0"/>
    <w:pPr>
      <w:adjustRightInd w:val="0"/>
      <w:snapToGrid w:val="0"/>
      <w:spacing w:line="360" w:lineRule="auto"/>
    </w:pPr>
    <w:rPr>
      <w:sz w:val="28"/>
    </w:rPr>
  </w:style>
  <w:style w:type="character" w:customStyle="1" w:styleId="109">
    <w:name w:val="param-name"/>
    <w:autoRedefine/>
    <w:qFormat/>
    <w:uiPriority w:val="0"/>
  </w:style>
  <w:style w:type="character" w:customStyle="1" w:styleId="110">
    <w:name w:val="纯文本 Char1"/>
    <w:autoRedefine/>
    <w:semiHidden/>
    <w:qFormat/>
    <w:uiPriority w:val="0"/>
    <w:rPr>
      <w:rFonts w:ascii="宋体" w:hAnsi="Courier New" w:cs="Courier New"/>
      <w:kern w:val="2"/>
      <w:sz w:val="21"/>
      <w:szCs w:val="21"/>
    </w:rPr>
  </w:style>
  <w:style w:type="character" w:customStyle="1" w:styleId="111">
    <w:name w:val="正文缩进2格 Char Char"/>
    <w:link w:val="112"/>
    <w:autoRedefine/>
    <w:qFormat/>
    <w:locked/>
    <w:uiPriority w:val="0"/>
    <w:rPr>
      <w:rFonts w:ascii="仿宋_GB2312" w:hAnsi="宋体" w:eastAsia="仿宋_GB2312"/>
      <w:sz w:val="31"/>
      <w:szCs w:val="28"/>
    </w:rPr>
  </w:style>
  <w:style w:type="paragraph" w:customStyle="1" w:styleId="112">
    <w:name w:val="正文缩进2格"/>
    <w:basedOn w:val="1"/>
    <w:link w:val="111"/>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autoRedefine/>
    <w:qFormat/>
    <w:locked/>
    <w:uiPriority w:val="34"/>
  </w:style>
  <w:style w:type="paragraph" w:customStyle="1" w:styleId="114">
    <w:name w:val="列出段落1"/>
    <w:basedOn w:val="1"/>
    <w:link w:val="113"/>
    <w:autoRedefine/>
    <w:qFormat/>
    <w:uiPriority w:val="34"/>
    <w:pPr>
      <w:ind w:firstLine="420" w:firstLineChars="200"/>
    </w:pPr>
    <w:rPr>
      <w:rFonts w:ascii="Calibri" w:hAnsi="Calibri" w:cs="黑体"/>
      <w:szCs w:val="22"/>
    </w:rPr>
  </w:style>
  <w:style w:type="character" w:customStyle="1" w:styleId="115">
    <w:name w:val="段落正文 字符"/>
    <w:link w:val="116"/>
    <w:autoRedefine/>
    <w:qFormat/>
    <w:uiPriority w:val="0"/>
    <w:rPr>
      <w:kern w:val="2"/>
      <w:sz w:val="24"/>
      <w:szCs w:val="21"/>
    </w:rPr>
  </w:style>
  <w:style w:type="paragraph" w:customStyle="1" w:styleId="116">
    <w:name w:val="段落正文"/>
    <w:basedOn w:val="1"/>
    <w:link w:val="115"/>
    <w:autoRedefine/>
    <w:qFormat/>
    <w:uiPriority w:val="0"/>
    <w:pPr>
      <w:spacing w:line="360" w:lineRule="auto"/>
      <w:ind w:firstLine="200" w:firstLineChars="200"/>
    </w:pPr>
    <w:rPr>
      <w:sz w:val="24"/>
      <w:szCs w:val="21"/>
    </w:rPr>
  </w:style>
  <w:style w:type="character" w:customStyle="1" w:styleId="117">
    <w:name w:val="纯文本 Char Char Char Char"/>
    <w:autoRedefine/>
    <w:qFormat/>
    <w:uiPriority w:val="0"/>
    <w:rPr>
      <w:rFonts w:ascii="宋体" w:hAnsi="Courier New"/>
      <w:kern w:val="2"/>
      <w:sz w:val="21"/>
    </w:rPr>
  </w:style>
  <w:style w:type="character" w:customStyle="1" w:styleId="118">
    <w:name w:val="apple-converted-space"/>
    <w:autoRedefine/>
    <w:qFormat/>
    <w:uiPriority w:val="0"/>
  </w:style>
  <w:style w:type="character" w:customStyle="1" w:styleId="119">
    <w:name w:val="fontstyle01"/>
    <w:autoRedefine/>
    <w:qFormat/>
    <w:uiPriority w:val="0"/>
    <w:rPr>
      <w:rFonts w:hint="eastAsia" w:ascii="宋体" w:hAnsi="宋体" w:eastAsia="宋体"/>
      <w:color w:val="000000"/>
      <w:sz w:val="22"/>
      <w:szCs w:val="22"/>
    </w:rPr>
  </w:style>
  <w:style w:type="character" w:customStyle="1" w:styleId="120">
    <w:name w:val="无间隔 字符"/>
    <w:link w:val="121"/>
    <w:autoRedefine/>
    <w:qFormat/>
    <w:uiPriority w:val="0"/>
    <w:rPr>
      <w:rFonts w:ascii="Calibri" w:hAnsi="Calibri" w:eastAsia="仿宋_GB2312"/>
      <w:kern w:val="2"/>
      <w:sz w:val="28"/>
      <w:szCs w:val="22"/>
      <w:lang w:val="en-US" w:eastAsia="zh-CN" w:bidi="ar-SA"/>
    </w:rPr>
  </w:style>
  <w:style w:type="paragraph" w:styleId="121">
    <w:name w:val="No Spacing"/>
    <w:link w:val="120"/>
    <w:autoRedefine/>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autoRedefine/>
    <w:qFormat/>
    <w:uiPriority w:val="0"/>
    <w:rPr>
      <w:rFonts w:hint="eastAsia" w:ascii="宋体" w:hAnsi="宋体" w:eastAsia="宋体"/>
      <w:b/>
      <w:spacing w:val="-2"/>
      <w:sz w:val="24"/>
      <w:lang w:val="en-US" w:eastAsia="zh-CN"/>
    </w:rPr>
  </w:style>
  <w:style w:type="character" w:customStyle="1" w:styleId="123">
    <w:name w:val="fontstyle21"/>
    <w:autoRedefine/>
    <w:qFormat/>
    <w:uiPriority w:val="0"/>
    <w:rPr>
      <w:rFonts w:hint="default" w:ascii="Calibri" w:hAnsi="Calibri" w:cs="Calibri"/>
      <w:color w:val="000000"/>
      <w:sz w:val="22"/>
      <w:szCs w:val="22"/>
    </w:rPr>
  </w:style>
  <w:style w:type="paragraph" w:customStyle="1" w:styleId="124">
    <w:name w:val="表中文字"/>
    <w:basedOn w:val="1"/>
    <w:next w:val="1"/>
    <w:autoRedefine/>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autoRedefine/>
    <w:qFormat/>
    <w:uiPriority w:val="0"/>
    <w:pPr>
      <w:spacing w:line="360" w:lineRule="auto"/>
      <w:ind w:firstLine="590" w:firstLineChars="246"/>
    </w:pPr>
    <w:rPr>
      <w:sz w:val="24"/>
    </w:rPr>
  </w:style>
  <w:style w:type="paragraph" w:styleId="126">
    <w:name w:val="List Paragraph"/>
    <w:basedOn w:val="1"/>
    <w:autoRedefine/>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autoRedefine/>
    <w:qFormat/>
    <w:uiPriority w:val="0"/>
    <w:pPr>
      <w:ind w:firstLine="420" w:firstLineChars="200"/>
    </w:pPr>
    <w:rPr>
      <w:szCs w:val="20"/>
    </w:rPr>
  </w:style>
  <w:style w:type="paragraph" w:customStyle="1" w:styleId="128">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autoRedefine/>
    <w:qFormat/>
    <w:uiPriority w:val="0"/>
    <w:pPr>
      <w:spacing w:line="360" w:lineRule="auto"/>
      <w:ind w:firstLine="480" w:firstLineChars="200"/>
      <w:jc w:val="left"/>
    </w:pPr>
    <w:rPr>
      <w:rFonts w:hAnsi="宋体"/>
      <w:sz w:val="24"/>
    </w:rPr>
  </w:style>
  <w:style w:type="paragraph" w:customStyle="1" w:styleId="130">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autoRedefine/>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autoRedefine/>
    <w:qFormat/>
    <w:uiPriority w:val="0"/>
    <w:pPr>
      <w:widowControl/>
    </w:pPr>
    <w:rPr>
      <w:kern w:val="0"/>
      <w:szCs w:val="21"/>
    </w:rPr>
  </w:style>
  <w:style w:type="paragraph" w:customStyle="1" w:styleId="133">
    <w:name w:val="纯文本2"/>
    <w:basedOn w:val="1"/>
    <w:autoRedefine/>
    <w:qFormat/>
    <w:uiPriority w:val="0"/>
    <w:rPr>
      <w:rFonts w:ascii="宋体" w:hAnsi="Courier New"/>
      <w:sz w:val="28"/>
    </w:rPr>
  </w:style>
  <w:style w:type="paragraph" w:customStyle="1" w:styleId="134">
    <w:name w:val="从CC出差"/>
    <w:basedOn w:val="108"/>
    <w:autoRedefine/>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autoRedefine/>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autoRedefine/>
    <w:qFormat/>
    <w:uiPriority w:val="0"/>
    <w:pPr>
      <w:adjustRightInd w:val="0"/>
      <w:spacing w:line="312" w:lineRule="auto"/>
      <w:ind w:left="420" w:firstLine="420" w:firstLineChars="200"/>
      <w:textAlignment w:val="baseline"/>
    </w:pPr>
    <w:rPr>
      <w:szCs w:val="21"/>
    </w:rPr>
  </w:style>
  <w:style w:type="table" w:customStyle="1" w:styleId="137">
    <w:name w:val="网格型1"/>
    <w:basedOn w:val="62"/>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autoRedefine/>
    <w:qFormat/>
    <w:uiPriority w:val="0"/>
    <w:pPr>
      <w:widowControl/>
      <w:ind w:firstLine="420"/>
    </w:pPr>
    <w:rPr>
      <w:kern w:val="0"/>
      <w:szCs w:val="20"/>
    </w:rPr>
  </w:style>
  <w:style w:type="paragraph" w:customStyle="1" w:styleId="139">
    <w:name w:val="_Style 88"/>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autoRedefine/>
    <w:qFormat/>
    <w:uiPriority w:val="0"/>
    <w:rPr>
      <w:color w:val="2060C0"/>
      <w:sz w:val="24"/>
      <w:szCs w:val="24"/>
    </w:rPr>
  </w:style>
  <w:style w:type="character" w:customStyle="1" w:styleId="141">
    <w:name w:val="Comment Text Char"/>
    <w:autoRedefine/>
    <w:qFormat/>
    <w:uiPriority w:val="0"/>
    <w:rPr>
      <w:rFonts w:hint="default" w:ascii="Times New Roman" w:hAnsi="Times New Roman" w:cs="Times New Roman"/>
      <w:sz w:val="21"/>
      <w:szCs w:val="21"/>
      <w:lang w:bidi="ar-SA"/>
    </w:rPr>
  </w:style>
  <w:style w:type="character" w:customStyle="1" w:styleId="142">
    <w:name w:val="ca-1"/>
    <w:autoRedefine/>
    <w:qFormat/>
    <w:uiPriority w:val="0"/>
  </w:style>
  <w:style w:type="character" w:customStyle="1" w:styleId="143">
    <w:name w:val="纯文本 Char_0"/>
    <w:link w:val="144"/>
    <w:autoRedefine/>
    <w:qFormat/>
    <w:locked/>
    <w:uiPriority w:val="0"/>
    <w:rPr>
      <w:rFonts w:ascii="宋体" w:hAnsi="Courier New"/>
      <w:kern w:val="2"/>
      <w:sz w:val="21"/>
      <w:szCs w:val="21"/>
    </w:rPr>
  </w:style>
  <w:style w:type="paragraph" w:customStyle="1" w:styleId="144">
    <w:name w:val="纯文本_0"/>
    <w:basedOn w:val="145"/>
    <w:link w:val="143"/>
    <w:autoRedefine/>
    <w:qFormat/>
    <w:uiPriority w:val="0"/>
    <w:rPr>
      <w:rFonts w:ascii="宋体" w:hAnsi="Courier New"/>
      <w:szCs w:val="21"/>
    </w:rPr>
  </w:style>
  <w:style w:type="paragraph" w:customStyle="1" w:styleId="145">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autoRedefine/>
    <w:qFormat/>
    <w:uiPriority w:val="0"/>
    <w:rPr>
      <w:kern w:val="2"/>
      <w:sz w:val="24"/>
      <w:szCs w:val="21"/>
      <w:lang w:bidi="ar-SA"/>
    </w:rPr>
  </w:style>
  <w:style w:type="character" w:customStyle="1" w:styleId="147">
    <w:name w:val="Char Char1"/>
    <w:autoRedefine/>
    <w:qFormat/>
    <w:uiPriority w:val="0"/>
    <w:rPr>
      <w:rFonts w:hint="eastAsia" w:ascii="宋体" w:hAnsi="宋体" w:eastAsia="宋体"/>
      <w:kern w:val="2"/>
      <w:sz w:val="21"/>
      <w:lang w:val="en-US" w:eastAsia="zh-CN"/>
    </w:rPr>
  </w:style>
  <w:style w:type="character" w:customStyle="1" w:styleId="148">
    <w:name w:val="ca-31"/>
    <w:autoRedefine/>
    <w:qFormat/>
    <w:uiPriority w:val="0"/>
    <w:rPr>
      <w:rFonts w:hint="eastAsia" w:ascii="宋体" w:hAnsi="宋体" w:eastAsia="宋体"/>
      <w:color w:val="000000"/>
      <w:sz w:val="21"/>
      <w:szCs w:val="21"/>
    </w:rPr>
  </w:style>
  <w:style w:type="character" w:customStyle="1" w:styleId="149">
    <w:name w:val="wj1"/>
    <w:autoRedefine/>
    <w:qFormat/>
    <w:uiPriority w:val="0"/>
    <w:rPr>
      <w:color w:val="000000"/>
      <w:sz w:val="18"/>
      <w:szCs w:val="18"/>
      <w:u w:val="none"/>
    </w:rPr>
  </w:style>
  <w:style w:type="character" w:customStyle="1" w:styleId="150">
    <w:name w:val="Header Char"/>
    <w:autoRedefine/>
    <w:qFormat/>
    <w:uiPriority w:val="0"/>
    <w:rPr>
      <w:rFonts w:hint="eastAsia" w:ascii="宋体" w:hAnsi="宋体" w:eastAsia="宋体"/>
      <w:kern w:val="2"/>
      <w:sz w:val="18"/>
      <w:lang w:val="en-US" w:eastAsia="zh-CN"/>
    </w:rPr>
  </w:style>
  <w:style w:type="character" w:customStyle="1" w:styleId="151">
    <w:name w:val="List Paragraph Char"/>
    <w:link w:val="152"/>
    <w:autoRedefine/>
    <w:qFormat/>
    <w:locked/>
    <w:uiPriority w:val="99"/>
    <w:rPr>
      <w:rFonts w:ascii="Calibri" w:hAnsi="Calibri"/>
      <w:kern w:val="2"/>
      <w:sz w:val="21"/>
      <w:szCs w:val="22"/>
    </w:rPr>
  </w:style>
  <w:style w:type="paragraph" w:customStyle="1" w:styleId="152">
    <w:name w:val="列出段落11"/>
    <w:basedOn w:val="1"/>
    <w:link w:val="151"/>
    <w:autoRedefine/>
    <w:qFormat/>
    <w:uiPriority w:val="99"/>
    <w:pPr>
      <w:ind w:firstLine="200" w:firstLineChars="200"/>
    </w:pPr>
    <w:rPr>
      <w:rFonts w:ascii="Calibri" w:hAnsi="Calibri"/>
      <w:szCs w:val="22"/>
    </w:rPr>
  </w:style>
  <w:style w:type="character" w:customStyle="1" w:styleId="153">
    <w:name w:val="ca-41"/>
    <w:autoRedefine/>
    <w:qFormat/>
    <w:uiPriority w:val="0"/>
    <w:rPr>
      <w:rFonts w:hint="eastAsia" w:ascii="宋体" w:hAnsi="宋体" w:eastAsia="宋体"/>
      <w:b/>
      <w:bCs/>
      <w:color w:val="000000"/>
      <w:spacing w:val="-20"/>
      <w:sz w:val="21"/>
      <w:szCs w:val="21"/>
    </w:rPr>
  </w:style>
  <w:style w:type="character" w:customStyle="1" w:styleId="154">
    <w:name w:val="z12 style23"/>
    <w:autoRedefine/>
    <w:qFormat/>
    <w:uiPriority w:val="0"/>
  </w:style>
  <w:style w:type="character" w:customStyle="1" w:styleId="155">
    <w:name w:val="段 Char"/>
    <w:link w:val="156"/>
    <w:autoRedefine/>
    <w:qFormat/>
    <w:locked/>
    <w:uiPriority w:val="0"/>
    <w:rPr>
      <w:rFonts w:ascii="宋体"/>
      <w:sz w:val="21"/>
      <w:lang w:val="en-US" w:eastAsia="zh-CN" w:bidi="ar-SA"/>
    </w:rPr>
  </w:style>
  <w:style w:type="paragraph" w:customStyle="1" w:styleId="156">
    <w:name w:val="段"/>
    <w:link w:val="155"/>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autoRedefine/>
    <w:qFormat/>
    <w:uiPriority w:val="0"/>
    <w:rPr>
      <w:rFonts w:hint="default" w:ascii="Cambria" w:hAnsi="Cambria" w:eastAsia="宋体" w:cs="Cambria"/>
      <w:b/>
      <w:bCs/>
      <w:sz w:val="28"/>
      <w:szCs w:val="28"/>
      <w:lang w:bidi="ar-SA"/>
    </w:rPr>
  </w:style>
  <w:style w:type="character" w:customStyle="1" w:styleId="158">
    <w:name w:val="Heading 2 Char"/>
    <w:autoRedefine/>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autoRedefine/>
    <w:qFormat/>
    <w:locked/>
    <w:uiPriority w:val="0"/>
    <w:rPr>
      <w:rFonts w:ascii="宋体" w:hAnsi="Courier New"/>
      <w:szCs w:val="21"/>
    </w:rPr>
  </w:style>
  <w:style w:type="paragraph" w:customStyle="1" w:styleId="160">
    <w:name w:val="纯文本_0_0"/>
    <w:basedOn w:val="161"/>
    <w:link w:val="159"/>
    <w:autoRedefine/>
    <w:qFormat/>
    <w:uiPriority w:val="0"/>
    <w:rPr>
      <w:rFonts w:ascii="宋体" w:hAnsi="Courier New"/>
      <w:szCs w:val="21"/>
    </w:rPr>
  </w:style>
  <w:style w:type="paragraph" w:customStyle="1" w:styleId="161">
    <w:name w:val="正文_7_1_0_0"/>
    <w:autoRedefine/>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autoRedefine/>
    <w:qFormat/>
    <w:locked/>
    <w:uiPriority w:val="0"/>
    <w:rPr>
      <w:rFonts w:ascii="宋体" w:hAnsi="Courier New" w:eastAsia="宋体"/>
      <w:kern w:val="2"/>
      <w:sz w:val="21"/>
      <w:lang w:val="en-US" w:eastAsia="zh-CN" w:bidi="ar-SA"/>
    </w:rPr>
  </w:style>
  <w:style w:type="character" w:customStyle="1" w:styleId="163">
    <w:name w:val="正文缩进 Char1_0"/>
    <w:link w:val="164"/>
    <w:autoRedefine/>
    <w:qFormat/>
    <w:locked/>
    <w:uiPriority w:val="0"/>
    <w:rPr>
      <w:kern w:val="2"/>
      <w:sz w:val="21"/>
      <w:szCs w:val="22"/>
    </w:rPr>
  </w:style>
  <w:style w:type="paragraph" w:customStyle="1" w:styleId="164">
    <w:name w:val="正文缩进_0"/>
    <w:basedOn w:val="145"/>
    <w:link w:val="163"/>
    <w:autoRedefine/>
    <w:qFormat/>
    <w:uiPriority w:val="0"/>
    <w:pPr>
      <w:ind w:firstLine="420" w:firstLineChars="200"/>
    </w:pPr>
    <w:rPr>
      <w:szCs w:val="22"/>
    </w:rPr>
  </w:style>
  <w:style w:type="character" w:customStyle="1" w:styleId="165">
    <w:name w:val="Char Char3"/>
    <w:autoRedefine/>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autoRedefine/>
    <w:qFormat/>
    <w:uiPriority w:val="0"/>
    <w:rPr>
      <w:rFonts w:ascii="Arial" w:hAnsi="Arial" w:cs="Arial"/>
      <w:sz w:val="14"/>
      <w:szCs w:val="14"/>
    </w:rPr>
  </w:style>
  <w:style w:type="character" w:customStyle="1" w:styleId="167">
    <w:name w:val="font21"/>
    <w:autoRedefine/>
    <w:qFormat/>
    <w:uiPriority w:val="0"/>
    <w:rPr>
      <w:rFonts w:hint="default" w:ascii="Times New Roman" w:hAnsi="Times New Roman" w:cs="Times New Roman"/>
      <w:color w:val="000000"/>
      <w:sz w:val="20"/>
      <w:u w:val="none"/>
    </w:rPr>
  </w:style>
  <w:style w:type="character" w:customStyle="1" w:styleId="168">
    <w:name w:val="Font Style36"/>
    <w:autoRedefine/>
    <w:qFormat/>
    <w:uiPriority w:val="0"/>
    <w:rPr>
      <w:rFonts w:ascii="宋体" w:eastAsia="宋体" w:cs="宋体"/>
      <w:sz w:val="16"/>
      <w:szCs w:val="16"/>
    </w:rPr>
  </w:style>
  <w:style w:type="character" w:customStyle="1" w:styleId="169">
    <w:name w:val="maywed421"/>
    <w:autoRedefine/>
    <w:qFormat/>
    <w:uiPriority w:val="0"/>
    <w:rPr>
      <w:color w:val="366FB6"/>
      <w:u w:val="none"/>
    </w:rPr>
  </w:style>
  <w:style w:type="character" w:customStyle="1" w:styleId="170">
    <w:name w:val="ca-01"/>
    <w:autoRedefine/>
    <w:qFormat/>
    <w:uiPriority w:val="0"/>
    <w:rPr>
      <w:rFonts w:hint="eastAsia" w:ascii="宋体" w:hAnsi="宋体" w:eastAsia="宋体"/>
      <w:b/>
      <w:bCs/>
      <w:spacing w:val="-20"/>
      <w:sz w:val="24"/>
      <w:szCs w:val="24"/>
    </w:rPr>
  </w:style>
  <w:style w:type="character" w:customStyle="1" w:styleId="171">
    <w:name w:val="正文文本 Char1"/>
    <w:autoRedefine/>
    <w:qFormat/>
    <w:uiPriority w:val="0"/>
    <w:rPr>
      <w:rFonts w:ascii="华文彩云" w:hAnsi="宋体" w:eastAsia="华文彩云"/>
      <w:bCs/>
      <w:color w:val="000000"/>
      <w:kern w:val="2"/>
      <w:sz w:val="28"/>
      <w:szCs w:val="24"/>
    </w:rPr>
  </w:style>
  <w:style w:type="character" w:customStyle="1" w:styleId="172">
    <w:name w:val="正文（编号） Char Char"/>
    <w:link w:val="173"/>
    <w:autoRedefine/>
    <w:qFormat/>
    <w:locked/>
    <w:uiPriority w:val="0"/>
    <w:rPr>
      <w:kern w:val="2"/>
      <w:sz w:val="24"/>
      <w:szCs w:val="24"/>
    </w:rPr>
  </w:style>
  <w:style w:type="paragraph" w:customStyle="1" w:styleId="173">
    <w:name w:val="正文（编号）"/>
    <w:basedOn w:val="174"/>
    <w:link w:val="172"/>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autoRedefine/>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autoRedefine/>
    <w:qFormat/>
    <w:uiPriority w:val="0"/>
    <w:rPr>
      <w:rFonts w:hint="eastAsia" w:ascii="宋体" w:hAnsi="宋体" w:eastAsia="宋体"/>
      <w:kern w:val="2"/>
      <w:sz w:val="24"/>
      <w:szCs w:val="24"/>
      <w:lang w:val="en-US" w:eastAsia="zh-CN" w:bidi="ar-SA"/>
    </w:rPr>
  </w:style>
  <w:style w:type="character" w:customStyle="1" w:styleId="176">
    <w:name w:val="Footer Char"/>
    <w:autoRedefine/>
    <w:qFormat/>
    <w:uiPriority w:val="0"/>
    <w:rPr>
      <w:rFonts w:hint="eastAsia" w:ascii="宋体" w:hAnsi="宋体" w:eastAsia="宋体"/>
      <w:kern w:val="2"/>
      <w:sz w:val="18"/>
      <w:lang w:val="en-US" w:eastAsia="zh-CN"/>
    </w:rPr>
  </w:style>
  <w:style w:type="character" w:customStyle="1" w:styleId="177">
    <w:name w:val="批注文字 Char2"/>
    <w:autoRedefine/>
    <w:qFormat/>
    <w:uiPriority w:val="0"/>
    <w:rPr>
      <w:kern w:val="2"/>
      <w:sz w:val="21"/>
      <w:szCs w:val="24"/>
    </w:rPr>
  </w:style>
  <w:style w:type="character" w:customStyle="1" w:styleId="178">
    <w:name w:val="纯文本 Char_1"/>
    <w:link w:val="179"/>
    <w:autoRedefine/>
    <w:qFormat/>
    <w:locked/>
    <w:uiPriority w:val="0"/>
    <w:rPr>
      <w:rFonts w:ascii="Calibri" w:hAnsi="Calibri"/>
      <w:kern w:val="2"/>
      <w:sz w:val="21"/>
      <w:szCs w:val="22"/>
    </w:rPr>
  </w:style>
  <w:style w:type="paragraph" w:customStyle="1" w:styleId="179">
    <w:name w:val="纯文本_1"/>
    <w:basedOn w:val="1"/>
    <w:link w:val="178"/>
    <w:autoRedefine/>
    <w:qFormat/>
    <w:uiPriority w:val="0"/>
    <w:rPr>
      <w:rFonts w:ascii="Calibri" w:hAnsi="Calibri"/>
      <w:szCs w:val="22"/>
    </w:rPr>
  </w:style>
  <w:style w:type="character" w:customStyle="1" w:styleId="180">
    <w:name w:val="Char Char"/>
    <w:autoRedefine/>
    <w:qFormat/>
    <w:uiPriority w:val="0"/>
    <w:rPr>
      <w:rFonts w:hint="eastAsia" w:ascii="宋体" w:hAnsi="宋体" w:eastAsia="宋体"/>
      <w:kern w:val="2"/>
      <w:sz w:val="18"/>
      <w:lang w:val="en-US" w:eastAsia="zh-CN"/>
    </w:rPr>
  </w:style>
  <w:style w:type="character" w:customStyle="1" w:styleId="181">
    <w:name w:val="Plain Text Char1"/>
    <w:autoRedefine/>
    <w:qFormat/>
    <w:uiPriority w:val="0"/>
    <w:rPr>
      <w:rFonts w:hint="eastAsia" w:ascii="宋体" w:hAnsi="宋体" w:eastAsia="宋体"/>
      <w:kern w:val="2"/>
      <w:sz w:val="21"/>
      <w:szCs w:val="21"/>
      <w:lang w:val="en-US" w:eastAsia="zh-CN" w:bidi="ar-SA"/>
    </w:rPr>
  </w:style>
  <w:style w:type="character" w:customStyle="1" w:styleId="182">
    <w:name w:val="ca-51"/>
    <w:autoRedefine/>
    <w:qFormat/>
    <w:uiPriority w:val="0"/>
    <w:rPr>
      <w:rFonts w:hint="eastAsia" w:ascii="楷体_GB2312" w:eastAsia="楷体_GB2312"/>
      <w:b/>
      <w:bCs/>
      <w:spacing w:val="-20"/>
      <w:sz w:val="24"/>
      <w:szCs w:val="24"/>
    </w:rPr>
  </w:style>
  <w:style w:type="character" w:customStyle="1" w:styleId="183">
    <w:name w:val="正文文本_"/>
    <w:link w:val="184"/>
    <w:autoRedefine/>
    <w:qFormat/>
    <w:locked/>
    <w:uiPriority w:val="99"/>
    <w:rPr>
      <w:rFonts w:ascii="宋体" w:hAnsi="宋体"/>
      <w:sz w:val="22"/>
      <w:lang w:val="zh-CN"/>
    </w:rPr>
  </w:style>
  <w:style w:type="paragraph" w:customStyle="1" w:styleId="184">
    <w:name w:val="正文文本1"/>
    <w:basedOn w:val="1"/>
    <w:link w:val="183"/>
    <w:autoRedefine/>
    <w:qFormat/>
    <w:uiPriority w:val="99"/>
    <w:pPr>
      <w:spacing w:line="432" w:lineRule="auto"/>
      <w:jc w:val="left"/>
    </w:pPr>
    <w:rPr>
      <w:rFonts w:ascii="宋体" w:hAnsi="宋体"/>
      <w:kern w:val="0"/>
      <w:sz w:val="22"/>
      <w:szCs w:val="20"/>
      <w:lang w:val="zh-CN"/>
    </w:rPr>
  </w:style>
  <w:style w:type="character" w:customStyle="1" w:styleId="185">
    <w:name w:val="Heading 3 Char"/>
    <w:autoRedefine/>
    <w:qFormat/>
    <w:uiPriority w:val="0"/>
    <w:rPr>
      <w:rFonts w:hint="default" w:ascii="Times New Roman" w:hAnsi="Times New Roman" w:cs="Times New Roman"/>
      <w:b/>
      <w:bCs/>
      <w:sz w:val="32"/>
      <w:szCs w:val="32"/>
      <w:lang w:bidi="ar-SA"/>
    </w:rPr>
  </w:style>
  <w:style w:type="character" w:customStyle="1" w:styleId="186">
    <w:name w:val="ca-11"/>
    <w:autoRedefine/>
    <w:qFormat/>
    <w:uiPriority w:val="0"/>
    <w:rPr>
      <w:rFonts w:hint="eastAsia" w:ascii="宋体" w:hAnsi="宋体" w:eastAsia="宋体"/>
      <w:b/>
      <w:bCs/>
      <w:color w:val="000000"/>
      <w:spacing w:val="-20"/>
      <w:sz w:val="28"/>
      <w:szCs w:val="28"/>
    </w:rPr>
  </w:style>
  <w:style w:type="character" w:customStyle="1" w:styleId="187">
    <w:name w:val="z1"/>
    <w:autoRedefine/>
    <w:qFormat/>
    <w:uiPriority w:val="0"/>
  </w:style>
  <w:style w:type="character" w:customStyle="1" w:styleId="188">
    <w:name w:val="正文（标记） Char2"/>
    <w:link w:val="189"/>
    <w:autoRedefine/>
    <w:qFormat/>
    <w:locked/>
    <w:uiPriority w:val="0"/>
    <w:rPr>
      <w:kern w:val="2"/>
      <w:sz w:val="24"/>
      <w:szCs w:val="24"/>
    </w:rPr>
  </w:style>
  <w:style w:type="paragraph" w:customStyle="1" w:styleId="189">
    <w:name w:val="正文（标记）"/>
    <w:basedOn w:val="1"/>
    <w:link w:val="188"/>
    <w:autoRedefine/>
    <w:qFormat/>
    <w:uiPriority w:val="0"/>
    <w:pPr>
      <w:tabs>
        <w:tab w:val="left" w:pos="0"/>
        <w:tab w:val="left" w:pos="840"/>
      </w:tabs>
      <w:spacing w:beforeLines="50" w:afterLines="50"/>
    </w:pPr>
    <w:rPr>
      <w:sz w:val="24"/>
    </w:rPr>
  </w:style>
  <w:style w:type="character" w:customStyle="1" w:styleId="190">
    <w:name w:val="Header Char1"/>
    <w:autoRedefine/>
    <w:qFormat/>
    <w:uiPriority w:val="0"/>
    <w:rPr>
      <w:rFonts w:hint="default" w:ascii="Times New Roman" w:hAnsi="Times New Roman" w:cs="Times New Roman"/>
      <w:sz w:val="18"/>
      <w:szCs w:val="18"/>
      <w:lang w:bidi="ar-SA"/>
    </w:rPr>
  </w:style>
  <w:style w:type="character" w:customStyle="1" w:styleId="191">
    <w:name w:val="Font Style37"/>
    <w:autoRedefine/>
    <w:qFormat/>
    <w:uiPriority w:val="0"/>
    <w:rPr>
      <w:rFonts w:ascii="Arial" w:hAnsi="Arial" w:cs="Arial"/>
      <w:sz w:val="16"/>
      <w:szCs w:val="16"/>
    </w:rPr>
  </w:style>
  <w:style w:type="character" w:customStyle="1" w:styleId="192">
    <w:name w:val="Char Char2"/>
    <w:autoRedefine/>
    <w:qFormat/>
    <w:uiPriority w:val="0"/>
    <w:rPr>
      <w:kern w:val="2"/>
      <w:sz w:val="18"/>
      <w:szCs w:val="18"/>
    </w:rPr>
  </w:style>
  <w:style w:type="character" w:customStyle="1" w:styleId="193">
    <w:name w:val="Font Style28"/>
    <w:autoRedefine/>
    <w:qFormat/>
    <w:uiPriority w:val="0"/>
    <w:rPr>
      <w:rFonts w:ascii="Constantia" w:hAnsi="Constantia" w:cs="Constantia"/>
      <w:sz w:val="28"/>
      <w:szCs w:val="28"/>
    </w:rPr>
  </w:style>
  <w:style w:type="character" w:customStyle="1" w:styleId="194">
    <w:name w:val="style15"/>
    <w:autoRedefine/>
    <w:qFormat/>
    <w:uiPriority w:val="0"/>
  </w:style>
  <w:style w:type="character" w:customStyle="1" w:styleId="195">
    <w:name w:val="+正文 Char3"/>
    <w:link w:val="196"/>
    <w:autoRedefine/>
    <w:qFormat/>
    <w:uiPriority w:val="0"/>
    <w:rPr>
      <w:rFonts w:ascii="Calibri" w:hAnsi="Calibri"/>
      <w:kern w:val="2"/>
      <w:sz w:val="24"/>
      <w:szCs w:val="28"/>
    </w:rPr>
  </w:style>
  <w:style w:type="paragraph" w:customStyle="1" w:styleId="196">
    <w:name w:val="+正文"/>
    <w:basedOn w:val="1"/>
    <w:link w:val="195"/>
    <w:autoRedefine/>
    <w:qFormat/>
    <w:uiPriority w:val="0"/>
    <w:pPr>
      <w:spacing w:line="360" w:lineRule="auto"/>
      <w:ind w:firstLine="200" w:firstLineChars="200"/>
    </w:pPr>
    <w:rPr>
      <w:rFonts w:ascii="Calibri" w:hAnsi="Calibri"/>
      <w:sz w:val="24"/>
      <w:szCs w:val="28"/>
    </w:rPr>
  </w:style>
  <w:style w:type="character" w:customStyle="1" w:styleId="197">
    <w:name w:val="Footer Char1"/>
    <w:autoRedefine/>
    <w:qFormat/>
    <w:uiPriority w:val="0"/>
    <w:rPr>
      <w:rFonts w:hint="default" w:ascii="Times New Roman" w:hAnsi="Times New Roman" w:cs="Times New Roman"/>
      <w:sz w:val="18"/>
      <w:szCs w:val="18"/>
      <w:lang w:bidi="ar-SA"/>
    </w:rPr>
  </w:style>
  <w:style w:type="character" w:customStyle="1" w:styleId="198">
    <w:name w:val="Font Style30"/>
    <w:autoRedefine/>
    <w:qFormat/>
    <w:uiPriority w:val="0"/>
    <w:rPr>
      <w:rFonts w:ascii="宋体" w:eastAsia="宋体" w:cs="宋体"/>
      <w:sz w:val="14"/>
      <w:szCs w:val="14"/>
    </w:rPr>
  </w:style>
  <w:style w:type="character" w:customStyle="1" w:styleId="199">
    <w:name w:val="ca-21"/>
    <w:autoRedefine/>
    <w:qFormat/>
    <w:uiPriority w:val="0"/>
    <w:rPr>
      <w:rFonts w:hint="eastAsia" w:ascii="宋体" w:hAnsi="宋体" w:eastAsia="宋体"/>
      <w:sz w:val="21"/>
    </w:rPr>
  </w:style>
  <w:style w:type="character" w:customStyle="1" w:styleId="200">
    <w:name w:val="超链接_0"/>
    <w:autoRedefine/>
    <w:qFormat/>
    <w:uiPriority w:val="99"/>
    <w:rPr>
      <w:rFonts w:hint="default" w:ascii="Calibri" w:hAnsi="Calibri"/>
      <w:color w:val="0000FF"/>
      <w:u w:val="single"/>
    </w:rPr>
  </w:style>
  <w:style w:type="character" w:customStyle="1" w:styleId="201">
    <w:name w:val="marklong"/>
    <w:autoRedefine/>
    <w:qFormat/>
    <w:uiPriority w:val="0"/>
  </w:style>
  <w:style w:type="character" w:customStyle="1" w:styleId="202">
    <w:name w:val="style161"/>
    <w:autoRedefine/>
    <w:qFormat/>
    <w:uiPriority w:val="0"/>
    <w:rPr>
      <w:rFonts w:hint="default" w:ascii="Verdana" w:hAnsi="Verdana" w:eastAsia="宋体"/>
      <w:b/>
      <w:color w:val="0A246A"/>
      <w:sz w:val="24"/>
      <w:szCs w:val="24"/>
      <w:lang w:val="en-US" w:eastAsia="zh-CN" w:bidi="ar-SA"/>
    </w:rPr>
  </w:style>
  <w:style w:type="character" w:customStyle="1" w:styleId="203">
    <w:name w:val="其他_"/>
    <w:link w:val="204"/>
    <w:autoRedefine/>
    <w:qFormat/>
    <w:locked/>
    <w:uiPriority w:val="99"/>
    <w:rPr>
      <w:rFonts w:ascii="宋体" w:hAnsi="宋体"/>
      <w:sz w:val="22"/>
      <w:lang w:val="zh-CN"/>
    </w:rPr>
  </w:style>
  <w:style w:type="paragraph" w:customStyle="1" w:styleId="204">
    <w:name w:val="其他"/>
    <w:basedOn w:val="1"/>
    <w:link w:val="203"/>
    <w:autoRedefine/>
    <w:qFormat/>
    <w:uiPriority w:val="99"/>
    <w:pPr>
      <w:spacing w:line="432" w:lineRule="auto"/>
      <w:jc w:val="left"/>
    </w:pPr>
    <w:rPr>
      <w:rFonts w:ascii="宋体" w:hAnsi="宋体"/>
      <w:kern w:val="0"/>
      <w:sz w:val="22"/>
      <w:szCs w:val="20"/>
      <w:lang w:val="zh-CN"/>
    </w:rPr>
  </w:style>
  <w:style w:type="character" w:customStyle="1" w:styleId="205">
    <w:name w:val="question-title"/>
    <w:autoRedefine/>
    <w:qFormat/>
    <w:uiPriority w:val="0"/>
  </w:style>
  <w:style w:type="character" w:customStyle="1" w:styleId="206">
    <w:name w:val="标题 2 Char Char Char"/>
    <w:autoRedefine/>
    <w:qFormat/>
    <w:uiPriority w:val="0"/>
    <w:rPr>
      <w:rFonts w:hint="default" w:ascii="Arial" w:hAnsi="Arial" w:eastAsia="宋体" w:cs="Arial"/>
      <w:b/>
      <w:bCs/>
      <w:i/>
      <w:iCs/>
      <w:sz w:val="28"/>
      <w:szCs w:val="28"/>
      <w:lang w:val="en-US" w:eastAsia="zh-CN" w:bidi="ar-SA"/>
    </w:rPr>
  </w:style>
  <w:style w:type="character" w:customStyle="1" w:styleId="207">
    <w:name w:val="段落 Char"/>
    <w:autoRedefine/>
    <w:qFormat/>
    <w:uiPriority w:val="0"/>
    <w:rPr>
      <w:rFonts w:hint="eastAsia" w:ascii="仿宋_GB2312" w:eastAsia="仿宋_GB2312"/>
      <w:kern w:val="2"/>
      <w:sz w:val="24"/>
      <w:szCs w:val="24"/>
      <w:lang w:val="en-US" w:eastAsia="zh-CN" w:bidi="ar-SA"/>
    </w:rPr>
  </w:style>
  <w:style w:type="paragraph" w:customStyle="1" w:styleId="208">
    <w:name w:val="pa-4"/>
    <w:basedOn w:val="1"/>
    <w:autoRedefine/>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autoRedefine/>
    <w:qFormat/>
    <w:uiPriority w:val="0"/>
    <w:pPr>
      <w:spacing w:line="436" w:lineRule="exact"/>
    </w:pPr>
    <w:rPr>
      <w:szCs w:val="20"/>
    </w:rPr>
  </w:style>
  <w:style w:type="paragraph" w:customStyle="1" w:styleId="210">
    <w:name w:val="Normal_20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autoRedefine/>
    <w:qFormat/>
    <w:uiPriority w:val="0"/>
    <w:rPr>
      <w:rFonts w:ascii="Tahoma" w:hAnsi="Tahoma"/>
      <w:sz w:val="24"/>
      <w:szCs w:val="20"/>
    </w:rPr>
  </w:style>
  <w:style w:type="paragraph" w:customStyle="1" w:styleId="212">
    <w:name w:val="三级条标题"/>
    <w:basedOn w:val="213"/>
    <w:next w:val="156"/>
    <w:autoRedefine/>
    <w:qFormat/>
    <w:uiPriority w:val="0"/>
    <w:pPr>
      <w:ind w:left="1050"/>
      <w:outlineLvl w:val="4"/>
    </w:pPr>
  </w:style>
  <w:style w:type="paragraph" w:customStyle="1" w:styleId="213">
    <w:name w:val="二级条标题"/>
    <w:basedOn w:val="214"/>
    <w:next w:val="156"/>
    <w:autoRedefine/>
    <w:qFormat/>
    <w:uiPriority w:val="0"/>
    <w:pPr>
      <w:ind w:left="360"/>
      <w:outlineLvl w:val="3"/>
    </w:pPr>
  </w:style>
  <w:style w:type="paragraph" w:customStyle="1" w:styleId="214">
    <w:name w:val="一级条标题"/>
    <w:next w:val="156"/>
    <w:autoRedefine/>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autoRedefine/>
    <w:semiHidden/>
    <w:qFormat/>
    <w:uiPriority w:val="0"/>
    <w:rPr>
      <w:i/>
      <w:iCs/>
      <w:kern w:val="2"/>
      <w:sz w:val="21"/>
      <w:szCs w:val="24"/>
    </w:rPr>
  </w:style>
  <w:style w:type="paragraph" w:customStyle="1" w:styleId="217">
    <w:name w:val="技术方案正文"/>
    <w:basedOn w:val="1"/>
    <w:autoRedefine/>
    <w:qFormat/>
    <w:uiPriority w:val="0"/>
    <w:pPr>
      <w:spacing w:line="360" w:lineRule="auto"/>
      <w:ind w:firstLine="480"/>
    </w:pPr>
    <w:rPr>
      <w:rFonts w:ascii="宋体" w:hAnsi="Calibri"/>
      <w:sz w:val="24"/>
      <w:szCs w:val="22"/>
    </w:rPr>
  </w:style>
  <w:style w:type="paragraph" w:customStyle="1" w:styleId="218">
    <w:name w:val="序号-----------"/>
    <w:basedOn w:val="1"/>
    <w:autoRedefine/>
    <w:qFormat/>
    <w:uiPriority w:val="0"/>
    <w:pPr>
      <w:widowControl/>
      <w:jc w:val="left"/>
    </w:pPr>
    <w:rPr>
      <w:rFonts w:ascii="宋体" w:hAnsi="Calibri"/>
      <w:bCs/>
      <w:kern w:val="0"/>
      <w:szCs w:val="21"/>
    </w:rPr>
  </w:style>
  <w:style w:type="paragraph" w:customStyle="1" w:styleId="219">
    <w:name w:val="Normal_6"/>
    <w:autoRedefine/>
    <w:qFormat/>
    <w:uiPriority w:val="0"/>
    <w:rPr>
      <w:rFonts w:ascii="黑体" w:hAnsi="黑体" w:eastAsia="黑体" w:cs="Times New Roman"/>
      <w:b/>
      <w:sz w:val="32"/>
      <w:szCs w:val="24"/>
      <w:lang w:val="en-US" w:eastAsia="zh-CN" w:bidi="ar-SA"/>
    </w:rPr>
  </w:style>
  <w:style w:type="character" w:customStyle="1" w:styleId="220">
    <w:name w:val="脚注文本 Char1"/>
    <w:autoRedefine/>
    <w:semiHidden/>
    <w:qFormat/>
    <w:uiPriority w:val="0"/>
    <w:rPr>
      <w:kern w:val="2"/>
      <w:sz w:val="18"/>
      <w:szCs w:val="18"/>
    </w:rPr>
  </w:style>
  <w:style w:type="paragraph" w:customStyle="1" w:styleId="221">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autoRedefine/>
    <w:semiHidden/>
    <w:qFormat/>
    <w:uiPriority w:val="0"/>
    <w:rPr>
      <w:kern w:val="2"/>
      <w:sz w:val="21"/>
      <w:szCs w:val="24"/>
    </w:rPr>
  </w:style>
  <w:style w:type="paragraph" w:customStyle="1" w:styleId="224">
    <w:name w:val="Normal_0_3"/>
    <w:autoRedefine/>
    <w:qFormat/>
    <w:uiPriority w:val="0"/>
    <w:rPr>
      <w:rFonts w:ascii="黑体" w:hAnsi="黑体" w:eastAsia="黑体" w:cs="Times New Roman"/>
      <w:b/>
      <w:sz w:val="32"/>
      <w:szCs w:val="24"/>
      <w:lang w:val="en-US" w:eastAsia="zh-CN" w:bidi="ar-SA"/>
    </w:rPr>
  </w:style>
  <w:style w:type="paragraph" w:customStyle="1" w:styleId="225">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autoRedefine/>
    <w:qFormat/>
    <w:uiPriority w:val="0"/>
    <w:pPr>
      <w:tabs>
        <w:tab w:val="left" w:pos="360"/>
      </w:tabs>
    </w:pPr>
    <w:rPr>
      <w:sz w:val="24"/>
    </w:rPr>
  </w:style>
  <w:style w:type="paragraph" w:customStyle="1" w:styleId="228">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autoRedefine/>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autoRedefine/>
    <w:qFormat/>
    <w:uiPriority w:val="0"/>
    <w:rPr>
      <w:rFonts w:ascii="黑体" w:hAnsi="黑体" w:eastAsia="黑体" w:cs="Times New Roman"/>
      <w:b/>
      <w:sz w:val="32"/>
      <w:szCs w:val="24"/>
      <w:lang w:val="en-US" w:eastAsia="zh-CN" w:bidi="ar-SA"/>
    </w:rPr>
  </w:style>
  <w:style w:type="paragraph" w:customStyle="1" w:styleId="231">
    <w:name w:val="Char Char Char"/>
    <w:basedOn w:val="1"/>
    <w:autoRedefine/>
    <w:qFormat/>
    <w:uiPriority w:val="0"/>
    <w:rPr>
      <w:rFonts w:ascii="Calibri" w:hAnsi="Calibri"/>
      <w:szCs w:val="21"/>
    </w:rPr>
  </w:style>
  <w:style w:type="paragraph" w:customStyle="1" w:styleId="232">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autoRedefine/>
    <w:qFormat/>
    <w:uiPriority w:val="0"/>
    <w:rPr>
      <w:rFonts w:ascii="黑体" w:hAnsi="黑体" w:eastAsia="黑体" w:cs="Times New Roman"/>
      <w:b/>
      <w:sz w:val="32"/>
      <w:szCs w:val="24"/>
      <w:lang w:val="en-US" w:eastAsia="zh-CN" w:bidi="ar-SA"/>
    </w:rPr>
  </w:style>
  <w:style w:type="character" w:customStyle="1" w:styleId="234">
    <w:name w:val="标题 Char1"/>
    <w:autoRedefine/>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autoRedefine/>
    <w:qFormat/>
    <w:uiPriority w:val="0"/>
    <w:rPr>
      <w:rFonts w:ascii="Tahoma" w:hAnsi="Tahoma"/>
      <w:sz w:val="24"/>
      <w:szCs w:val="20"/>
    </w:rPr>
  </w:style>
  <w:style w:type="paragraph" w:customStyle="1" w:styleId="236">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autoRedefine/>
    <w:semiHidden/>
    <w:qFormat/>
    <w:uiPriority w:val="0"/>
    <w:rPr>
      <w:rFonts w:ascii="Times New Roman" w:hAnsi="Times New Roman" w:eastAsia="宋体" w:cs="Times New Roman"/>
      <w:kern w:val="2"/>
      <w:sz w:val="21"/>
      <w:szCs w:val="24"/>
    </w:rPr>
  </w:style>
  <w:style w:type="character" w:customStyle="1" w:styleId="242">
    <w:name w:val="正文文本 2 Char1"/>
    <w:autoRedefine/>
    <w:semiHidden/>
    <w:qFormat/>
    <w:uiPriority w:val="0"/>
    <w:rPr>
      <w:kern w:val="2"/>
      <w:sz w:val="21"/>
      <w:szCs w:val="24"/>
    </w:rPr>
  </w:style>
  <w:style w:type="paragraph" w:customStyle="1" w:styleId="243">
    <w:name w:val="Normal_13_0"/>
    <w:autoRedefine/>
    <w:qFormat/>
    <w:uiPriority w:val="0"/>
    <w:rPr>
      <w:rFonts w:ascii="黑体" w:hAnsi="黑体" w:eastAsia="黑体" w:cs="Times New Roman"/>
      <w:b/>
      <w:sz w:val="32"/>
      <w:szCs w:val="24"/>
      <w:lang w:val="en-US" w:eastAsia="zh-CN" w:bidi="ar-SA"/>
    </w:rPr>
  </w:style>
  <w:style w:type="paragraph" w:customStyle="1" w:styleId="244">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autoRedefine/>
    <w:qFormat/>
    <w:uiPriority w:val="0"/>
    <w:pPr>
      <w:widowControl/>
      <w:spacing w:line="360" w:lineRule="atLeast"/>
    </w:pPr>
    <w:rPr>
      <w:rFonts w:ascii="宋体" w:hAnsi="Calibri" w:cs="宋体"/>
      <w:kern w:val="0"/>
      <w:sz w:val="24"/>
      <w:szCs w:val="22"/>
    </w:rPr>
  </w:style>
  <w:style w:type="paragraph" w:customStyle="1" w:styleId="248">
    <w:name w:val="Normal_20"/>
    <w:autoRedefine/>
    <w:qFormat/>
    <w:uiPriority w:val="0"/>
    <w:rPr>
      <w:rFonts w:ascii="黑体" w:hAnsi="黑体" w:eastAsia="黑体" w:cs="Times New Roman"/>
      <w:b/>
      <w:sz w:val="32"/>
      <w:szCs w:val="24"/>
      <w:lang w:val="en-US" w:eastAsia="zh-CN" w:bidi="ar-SA"/>
    </w:rPr>
  </w:style>
  <w:style w:type="paragraph" w:customStyle="1" w:styleId="249">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51">
    <w:name w:val="HTML 预设格式 Char1"/>
    <w:autoRedefine/>
    <w:semiHidden/>
    <w:qFormat/>
    <w:uiPriority w:val="0"/>
    <w:rPr>
      <w:rFonts w:ascii="Courier New" w:hAnsi="Courier New" w:cs="Courier New"/>
      <w:kern w:val="2"/>
    </w:rPr>
  </w:style>
  <w:style w:type="paragraph" w:customStyle="1" w:styleId="252">
    <w:name w:val="篇名"/>
    <w:next w:val="2"/>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autoRedefine/>
    <w:semiHidden/>
    <w:qFormat/>
    <w:uiPriority w:val="0"/>
    <w:rPr>
      <w:kern w:val="2"/>
      <w:sz w:val="21"/>
      <w:szCs w:val="24"/>
    </w:rPr>
  </w:style>
  <w:style w:type="paragraph" w:customStyle="1" w:styleId="255">
    <w:name w:val="Normal_17"/>
    <w:autoRedefine/>
    <w:qFormat/>
    <w:uiPriority w:val="0"/>
    <w:rPr>
      <w:rFonts w:ascii="黑体" w:hAnsi="黑体" w:eastAsia="黑体" w:cs="Times New Roman"/>
      <w:b/>
      <w:sz w:val="32"/>
      <w:szCs w:val="24"/>
      <w:lang w:val="en-US" w:eastAsia="zh-CN" w:bidi="ar-SA"/>
    </w:rPr>
  </w:style>
  <w:style w:type="paragraph" w:customStyle="1" w:styleId="256">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autoRedefine/>
    <w:semiHidden/>
    <w:qFormat/>
    <w:uiPriority w:val="0"/>
    <w:rPr>
      <w:kern w:val="2"/>
      <w:sz w:val="16"/>
      <w:szCs w:val="16"/>
    </w:rPr>
  </w:style>
  <w:style w:type="paragraph" w:customStyle="1" w:styleId="259">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autoRedefine/>
    <w:qFormat/>
    <w:uiPriority w:val="0"/>
    <w:pPr>
      <w:tabs>
        <w:tab w:val="left" w:pos="420"/>
      </w:tabs>
      <w:ind w:left="420" w:hanging="420" w:firstLineChars="200"/>
      <w:jc w:val="left"/>
    </w:pPr>
    <w:rPr>
      <w:szCs w:val="20"/>
    </w:rPr>
  </w:style>
  <w:style w:type="paragraph" w:customStyle="1" w:styleId="261">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autoRedefine/>
    <w:semiHidden/>
    <w:qFormat/>
    <w:uiPriority w:val="0"/>
    <w:rPr>
      <w:kern w:val="2"/>
      <w:sz w:val="16"/>
      <w:szCs w:val="16"/>
    </w:rPr>
  </w:style>
  <w:style w:type="paragraph" w:customStyle="1" w:styleId="263">
    <w:name w:val="font9"/>
    <w:basedOn w:val="1"/>
    <w:autoRedefine/>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autoRedefine/>
    <w:qFormat/>
    <w:uiPriority w:val="0"/>
    <w:pPr>
      <w:widowControl/>
      <w:spacing w:line="360" w:lineRule="atLeast"/>
      <w:jc w:val="center"/>
    </w:pPr>
    <w:rPr>
      <w:rFonts w:ascii="宋体" w:hAnsi="Calibri" w:cs="宋体"/>
      <w:kern w:val="0"/>
      <w:sz w:val="24"/>
      <w:szCs w:val="22"/>
    </w:rPr>
  </w:style>
  <w:style w:type="paragraph" w:customStyle="1" w:styleId="266">
    <w:name w:val="pa-6"/>
    <w:basedOn w:val="1"/>
    <w:autoRedefine/>
    <w:qFormat/>
    <w:uiPriority w:val="0"/>
    <w:pPr>
      <w:widowControl/>
      <w:spacing w:line="360" w:lineRule="atLeast"/>
    </w:pPr>
    <w:rPr>
      <w:rFonts w:ascii="宋体" w:hAnsi="Calibri"/>
      <w:kern w:val="0"/>
      <w:sz w:val="24"/>
      <w:szCs w:val="20"/>
    </w:rPr>
  </w:style>
  <w:style w:type="character" w:customStyle="1" w:styleId="267">
    <w:name w:val="文档结构图 Char1"/>
    <w:autoRedefine/>
    <w:semiHidden/>
    <w:qFormat/>
    <w:uiPriority w:val="0"/>
    <w:rPr>
      <w:rFonts w:ascii="宋体"/>
      <w:kern w:val="2"/>
      <w:sz w:val="18"/>
      <w:szCs w:val="18"/>
    </w:rPr>
  </w:style>
  <w:style w:type="paragraph" w:customStyle="1" w:styleId="268">
    <w:name w:val="Normal_12"/>
    <w:autoRedefine/>
    <w:qFormat/>
    <w:uiPriority w:val="0"/>
    <w:rPr>
      <w:rFonts w:ascii="黑体" w:hAnsi="黑体" w:eastAsia="黑体" w:cs="Times New Roman"/>
      <w:b/>
      <w:sz w:val="32"/>
      <w:szCs w:val="24"/>
      <w:lang w:val="en-US" w:eastAsia="zh-CN" w:bidi="ar-SA"/>
    </w:rPr>
  </w:style>
  <w:style w:type="paragraph" w:customStyle="1" w:styleId="269">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autoRedefine/>
    <w:qFormat/>
    <w:uiPriority w:val="0"/>
    <w:pPr>
      <w:spacing w:line="412" w:lineRule="auto"/>
    </w:pPr>
    <w:rPr>
      <w:rFonts w:ascii="Calibri" w:hAnsi="Calibri"/>
      <w:kern w:val="2"/>
      <w:sz w:val="28"/>
      <w:szCs w:val="28"/>
    </w:rPr>
  </w:style>
  <w:style w:type="paragraph" w:customStyle="1" w:styleId="271">
    <w:name w:val="pa-0"/>
    <w:basedOn w:val="1"/>
    <w:autoRedefine/>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autoRedefine/>
    <w:qFormat/>
    <w:uiPriority w:val="0"/>
    <w:pPr>
      <w:widowControl/>
      <w:jc w:val="center"/>
    </w:pPr>
    <w:rPr>
      <w:rFonts w:ascii="宋体" w:hAnsi="宋体"/>
      <w:b/>
      <w:kern w:val="0"/>
      <w:sz w:val="24"/>
      <w:lang w:eastAsia="en-US"/>
    </w:rPr>
  </w:style>
  <w:style w:type="paragraph" w:customStyle="1" w:styleId="273">
    <w:name w:val="默认段落字体 Para Char"/>
    <w:basedOn w:val="1"/>
    <w:autoRedefine/>
    <w:qFormat/>
    <w:uiPriority w:val="0"/>
    <w:rPr>
      <w:rFonts w:ascii="宋体" w:hAnsi="Calibri"/>
      <w:b/>
      <w:sz w:val="28"/>
      <w:szCs w:val="28"/>
    </w:rPr>
  </w:style>
  <w:style w:type="paragraph" w:customStyle="1" w:styleId="274">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autoRedefine/>
    <w:qFormat/>
    <w:uiPriority w:val="0"/>
    <w:rPr>
      <w:rFonts w:ascii="黑体" w:hAnsi="黑体" w:eastAsia="黑体" w:cs="Times New Roman"/>
      <w:b/>
      <w:sz w:val="32"/>
      <w:szCs w:val="24"/>
      <w:lang w:val="en-US" w:eastAsia="zh-CN" w:bidi="ar-SA"/>
    </w:rPr>
  </w:style>
  <w:style w:type="paragraph" w:customStyle="1" w:styleId="277">
    <w:name w:val="正文（黑体）"/>
    <w:basedOn w:val="1"/>
    <w:next w:val="1"/>
    <w:autoRedefine/>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autoRedefine/>
    <w:qFormat/>
    <w:uiPriority w:val="0"/>
    <w:pPr>
      <w:spacing w:line="360" w:lineRule="auto"/>
      <w:ind w:firstLine="200" w:firstLineChars="200"/>
    </w:pPr>
    <w:rPr>
      <w:rFonts w:ascii="仿宋_GB2312" w:eastAsia="仿宋_GB2312"/>
      <w:bCs w:val="0"/>
    </w:rPr>
  </w:style>
  <w:style w:type="paragraph" w:customStyle="1" w:styleId="279">
    <w:name w:val="文档正文"/>
    <w:basedOn w:val="1"/>
    <w:autoRedefine/>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autoRedefine/>
    <w:qFormat/>
    <w:uiPriority w:val="0"/>
    <w:pPr>
      <w:tabs>
        <w:tab w:val="left" w:pos="0"/>
      </w:tabs>
    </w:pPr>
    <w:rPr>
      <w:rFonts w:ascii="黑体" w:hAnsi="Calibri" w:eastAsia="黑体"/>
      <w:sz w:val="24"/>
      <w:szCs w:val="22"/>
    </w:rPr>
  </w:style>
  <w:style w:type="paragraph" w:customStyle="1" w:styleId="281">
    <w:name w:val="Normal_13"/>
    <w:autoRedefine/>
    <w:qFormat/>
    <w:uiPriority w:val="0"/>
    <w:rPr>
      <w:rFonts w:ascii="黑体" w:hAnsi="黑体" w:eastAsia="黑体" w:cs="Times New Roman"/>
      <w:b/>
      <w:sz w:val="32"/>
      <w:szCs w:val="24"/>
      <w:lang w:val="en-US" w:eastAsia="zh-CN" w:bidi="ar-SA"/>
    </w:rPr>
  </w:style>
  <w:style w:type="paragraph" w:customStyle="1" w:styleId="282">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autoRedefine/>
    <w:qFormat/>
    <w:uiPriority w:val="0"/>
    <w:pPr>
      <w:widowControl/>
      <w:spacing w:line="280" w:lineRule="atLeast"/>
      <w:ind w:firstLine="480"/>
    </w:pPr>
    <w:rPr>
      <w:rFonts w:ascii="宋体" w:hAnsi="Calibri" w:cs="宋体"/>
      <w:kern w:val="0"/>
      <w:sz w:val="24"/>
      <w:szCs w:val="22"/>
    </w:rPr>
  </w:style>
  <w:style w:type="paragraph" w:customStyle="1" w:styleId="284">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autoRedefine/>
    <w:qFormat/>
    <w:uiPriority w:val="0"/>
    <w:pPr>
      <w:ind w:left="0"/>
      <w:outlineLvl w:val="5"/>
    </w:pPr>
  </w:style>
  <w:style w:type="paragraph" w:customStyle="1" w:styleId="286">
    <w:name w:val="t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autoRedefine/>
    <w:qFormat/>
    <w:uiPriority w:val="0"/>
    <w:pPr>
      <w:ind w:firstLine="250" w:firstLineChars="250"/>
    </w:pPr>
    <w:rPr>
      <w:rFonts w:ascii="宋体" w:hAnsi="Calibri"/>
      <w:szCs w:val="21"/>
    </w:rPr>
  </w:style>
  <w:style w:type="paragraph" w:customStyle="1" w:styleId="288">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autoRedefine/>
    <w:qFormat/>
    <w:uiPriority w:val="0"/>
    <w:pPr>
      <w:spacing w:line="360" w:lineRule="auto"/>
      <w:jc w:val="center"/>
    </w:pPr>
    <w:rPr>
      <w:rFonts w:ascii="Arial" w:hAnsi="Arial"/>
      <w:sz w:val="24"/>
      <w:szCs w:val="20"/>
    </w:rPr>
  </w:style>
  <w:style w:type="paragraph" w:customStyle="1" w:styleId="290">
    <w:name w:val="Normal_0_0"/>
    <w:autoRedefine/>
    <w:qFormat/>
    <w:uiPriority w:val="0"/>
    <w:rPr>
      <w:rFonts w:ascii="黑体" w:hAnsi="黑体" w:eastAsia="黑体" w:cs="Times New Roman"/>
      <w:b/>
      <w:sz w:val="40"/>
      <w:szCs w:val="24"/>
      <w:lang w:val="en-US" w:eastAsia="zh-CN" w:bidi="ar-SA"/>
    </w:rPr>
  </w:style>
  <w:style w:type="paragraph" w:customStyle="1" w:styleId="291">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autoRedefine/>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autoRedefine/>
    <w:qFormat/>
    <w:uiPriority w:val="0"/>
    <w:pPr>
      <w:outlineLvl w:val="6"/>
    </w:pPr>
  </w:style>
  <w:style w:type="paragraph" w:customStyle="1" w:styleId="294">
    <w:name w:val="Normal_15"/>
    <w:autoRedefine/>
    <w:qFormat/>
    <w:uiPriority w:val="0"/>
    <w:rPr>
      <w:rFonts w:ascii="黑体" w:hAnsi="黑体" w:eastAsia="黑体" w:cs="Times New Roman"/>
      <w:b/>
      <w:sz w:val="32"/>
      <w:szCs w:val="24"/>
      <w:lang w:val="en-US" w:eastAsia="zh-CN" w:bidi="ar-SA"/>
    </w:rPr>
  </w:style>
  <w:style w:type="paragraph" w:customStyle="1" w:styleId="29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autoRedefine/>
    <w:qFormat/>
    <w:uiPriority w:val="0"/>
    <w:pPr>
      <w:widowControl/>
      <w:spacing w:after="160" w:line="240" w:lineRule="exact"/>
      <w:jc w:val="left"/>
    </w:pPr>
    <w:rPr>
      <w:rFonts w:ascii="Calibri" w:hAnsi="Calibri"/>
      <w:szCs w:val="22"/>
    </w:rPr>
  </w:style>
  <w:style w:type="paragraph" w:customStyle="1" w:styleId="298">
    <w:name w:val="Normal_16"/>
    <w:autoRedefine/>
    <w:qFormat/>
    <w:uiPriority w:val="0"/>
    <w:rPr>
      <w:rFonts w:ascii="黑体" w:hAnsi="黑体" w:eastAsia="黑体" w:cs="Times New Roman"/>
      <w:b/>
      <w:sz w:val="32"/>
      <w:szCs w:val="24"/>
      <w:lang w:val="en-US" w:eastAsia="zh-CN" w:bidi="ar-SA"/>
    </w:rPr>
  </w:style>
  <w:style w:type="paragraph" w:customStyle="1" w:styleId="299">
    <w:name w:val="Char Char Char Char1"/>
    <w:basedOn w:val="1"/>
    <w:autoRedefine/>
    <w:qFormat/>
    <w:uiPriority w:val="0"/>
    <w:pPr>
      <w:spacing w:line="360" w:lineRule="auto"/>
      <w:ind w:firstLine="200" w:firstLineChars="200"/>
    </w:pPr>
    <w:rPr>
      <w:rFonts w:ascii="Calibri" w:hAnsi="Calibri"/>
      <w:kern w:val="0"/>
      <w:sz w:val="24"/>
      <w:szCs w:val="20"/>
    </w:rPr>
  </w:style>
  <w:style w:type="paragraph" w:customStyle="1" w:styleId="300">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autoRedefine/>
    <w:qFormat/>
    <w:uiPriority w:val="0"/>
    <w:rPr>
      <w:rFonts w:ascii="黑体" w:hAnsi="黑体" w:eastAsia="黑体" w:cs="Times New Roman"/>
      <w:b/>
      <w:sz w:val="32"/>
      <w:szCs w:val="24"/>
      <w:lang w:val="en-US" w:eastAsia="zh-CN" w:bidi="ar-SA"/>
    </w:rPr>
  </w:style>
  <w:style w:type="paragraph" w:customStyle="1" w:styleId="302">
    <w:name w:val="Normal_3"/>
    <w:autoRedefine/>
    <w:qFormat/>
    <w:uiPriority w:val="0"/>
    <w:rPr>
      <w:rFonts w:ascii="黑体" w:hAnsi="黑体" w:eastAsia="黑体" w:cs="Times New Roman"/>
      <w:b/>
      <w:sz w:val="32"/>
      <w:szCs w:val="24"/>
      <w:lang w:val="en-US" w:eastAsia="zh-CN" w:bidi="ar-SA"/>
    </w:rPr>
  </w:style>
  <w:style w:type="paragraph" w:customStyle="1" w:styleId="303">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autoRedefine/>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308">
    <w:name w:val="正文段"/>
    <w:basedOn w:val="1"/>
    <w:autoRedefine/>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313">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autoRedefine/>
    <w:qFormat/>
    <w:uiPriority w:val="0"/>
    <w:rPr>
      <w:rFonts w:ascii="Times New Roman" w:hAnsi="Times New Roman" w:eastAsia="Times New Roman" w:cs="Times New Roman"/>
      <w:sz w:val="24"/>
      <w:szCs w:val="24"/>
      <w:lang w:val="en-US" w:eastAsia="zh-CN" w:bidi="ar-SA"/>
    </w:rPr>
  </w:style>
  <w:style w:type="paragraph" w:customStyle="1" w:styleId="315">
    <w:name w:val="Normal_17_0"/>
    <w:autoRedefine/>
    <w:qFormat/>
    <w:uiPriority w:val="0"/>
    <w:rPr>
      <w:rFonts w:ascii="黑体" w:hAnsi="黑体" w:eastAsia="黑体" w:cs="Times New Roman"/>
      <w:b/>
      <w:sz w:val="32"/>
      <w:szCs w:val="24"/>
      <w:lang w:val="en-US" w:eastAsia="zh-CN" w:bidi="ar-SA"/>
    </w:rPr>
  </w:style>
  <w:style w:type="paragraph" w:customStyle="1" w:styleId="316">
    <w:name w:val="正文文字缩进 3"/>
    <w:basedOn w:val="1"/>
    <w:autoRedefine/>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autoRedefine/>
    <w:qFormat/>
    <w:uiPriority w:val="0"/>
    <w:rPr>
      <w:rFonts w:ascii="黑体" w:hAnsi="黑体" w:eastAsia="黑体" w:cs="Times New Roman"/>
      <w:b/>
      <w:sz w:val="32"/>
      <w:szCs w:val="24"/>
      <w:lang w:val="en-US" w:eastAsia="zh-CN" w:bidi="ar-SA"/>
    </w:rPr>
  </w:style>
  <w:style w:type="paragraph" w:customStyle="1" w:styleId="318">
    <w:name w:val="font6"/>
    <w:basedOn w:val="1"/>
    <w:autoRedefine/>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autoRedefine/>
    <w:qFormat/>
    <w:uiPriority w:val="0"/>
    <w:rPr>
      <w:rFonts w:ascii="Calibri" w:hAnsi="Calibri"/>
      <w:szCs w:val="22"/>
    </w:rPr>
  </w:style>
  <w:style w:type="paragraph" w:customStyle="1" w:styleId="320">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autoRedefine/>
    <w:qFormat/>
    <w:uiPriority w:val="0"/>
    <w:pPr>
      <w:spacing w:line="360" w:lineRule="auto"/>
    </w:pPr>
    <w:rPr>
      <w:rFonts w:ascii="仿宋_GB2312" w:eastAsia="仿宋_GB2312"/>
      <w:bCs w:val="0"/>
    </w:rPr>
  </w:style>
  <w:style w:type="paragraph" w:customStyle="1" w:styleId="323">
    <w:name w:val="Normal_18"/>
    <w:autoRedefine/>
    <w:qFormat/>
    <w:uiPriority w:val="0"/>
    <w:rPr>
      <w:rFonts w:ascii="黑体" w:hAnsi="黑体" w:eastAsia="黑体" w:cs="Times New Roman"/>
      <w:b/>
      <w:sz w:val="32"/>
      <w:szCs w:val="24"/>
      <w:lang w:val="en-US" w:eastAsia="zh-CN" w:bidi="ar-SA"/>
    </w:rPr>
  </w:style>
  <w:style w:type="paragraph" w:customStyle="1" w:styleId="324">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autoRedefine/>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autoRedefine/>
    <w:qFormat/>
    <w:uiPriority w:val="0"/>
    <w:pPr>
      <w:adjustRightInd w:val="0"/>
      <w:spacing w:line="578" w:lineRule="atLeast"/>
      <w:jc w:val="left"/>
      <w:textAlignment w:val="baseline"/>
    </w:pPr>
  </w:style>
  <w:style w:type="paragraph" w:customStyle="1" w:styleId="328">
    <w:name w:val="样式6"/>
    <w:basedOn w:val="229"/>
    <w:autoRedefine/>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autoRedefine/>
    <w:qFormat/>
    <w:uiPriority w:val="0"/>
    <w:pPr>
      <w:numPr>
        <w:ilvl w:val="0"/>
        <w:numId w:val="2"/>
      </w:numPr>
      <w:tabs>
        <w:tab w:val="left" w:pos="420"/>
      </w:tabs>
      <w:jc w:val="left"/>
    </w:pPr>
    <w:rPr>
      <w:rFonts w:ascii="宋体" w:hAnsi="宋体"/>
      <w:b/>
      <w:sz w:val="24"/>
    </w:rPr>
  </w:style>
  <w:style w:type="paragraph" w:customStyle="1" w:styleId="330">
    <w:name w:val="正文_1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autoRedefine/>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autoRedefine/>
    <w:qFormat/>
    <w:uiPriority w:val="0"/>
    <w:pPr>
      <w:tabs>
        <w:tab w:val="left" w:pos="780"/>
      </w:tabs>
      <w:spacing w:beforeLines="0" w:afterLines="100"/>
      <w:ind w:left="780" w:hanging="480"/>
    </w:pPr>
    <w:rPr>
      <w:rFonts w:eastAsia="黑体"/>
      <w:b/>
      <w:sz w:val="21"/>
    </w:rPr>
  </w:style>
  <w:style w:type="paragraph" w:customStyle="1" w:styleId="333">
    <w:name w:val="pa-5"/>
    <w:basedOn w:val="1"/>
    <w:autoRedefine/>
    <w:qFormat/>
    <w:uiPriority w:val="0"/>
    <w:pPr>
      <w:widowControl/>
      <w:spacing w:line="280" w:lineRule="atLeast"/>
    </w:pPr>
    <w:rPr>
      <w:rFonts w:ascii="宋体" w:hAnsi="Calibri" w:cs="宋体"/>
      <w:kern w:val="0"/>
      <w:sz w:val="24"/>
      <w:szCs w:val="22"/>
    </w:rPr>
  </w:style>
  <w:style w:type="paragraph" w:customStyle="1" w:styleId="334">
    <w:name w:val="Normal_17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autoRedefine/>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autoRedefine/>
    <w:qFormat/>
    <w:uiPriority w:val="0"/>
    <w:rPr>
      <w:rFonts w:ascii="Tahoma" w:hAnsi="Tahoma" w:cs="Tahoma"/>
      <w:sz w:val="24"/>
      <w:szCs w:val="22"/>
    </w:rPr>
  </w:style>
  <w:style w:type="paragraph" w:customStyle="1" w:styleId="3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autoRedefine/>
    <w:qFormat/>
    <w:uiPriority w:val="0"/>
    <w:rPr>
      <w:rFonts w:ascii="黑体" w:hAnsi="黑体" w:eastAsia="黑体" w:cs="Times New Roman"/>
      <w:b/>
      <w:sz w:val="32"/>
      <w:szCs w:val="24"/>
      <w:lang w:val="en-US" w:eastAsia="zh-CN" w:bidi="ar-SA"/>
    </w:rPr>
  </w:style>
  <w:style w:type="paragraph" w:customStyle="1" w:styleId="341">
    <w:name w:val="列出段落_0"/>
    <w:basedOn w:val="246"/>
    <w:autoRedefine/>
    <w:qFormat/>
    <w:uiPriority w:val="99"/>
    <w:pPr>
      <w:ind w:firstLine="420" w:firstLineChars="200"/>
    </w:pPr>
  </w:style>
  <w:style w:type="paragraph" w:customStyle="1" w:styleId="342">
    <w:name w:val="正文小四"/>
    <w:basedOn w:val="1"/>
    <w:autoRedefine/>
    <w:qFormat/>
    <w:uiPriority w:val="0"/>
    <w:pPr>
      <w:spacing w:line="312" w:lineRule="auto"/>
    </w:pPr>
    <w:rPr>
      <w:rFonts w:ascii="Calibri" w:hAnsi="Calibri"/>
      <w:sz w:val="24"/>
      <w:szCs w:val="22"/>
    </w:rPr>
  </w:style>
  <w:style w:type="paragraph" w:customStyle="1" w:styleId="343">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autoRedefine/>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autoRedefine/>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autoRedefine/>
    <w:qFormat/>
    <w:uiPriority w:val="0"/>
    <w:pPr>
      <w:ind w:firstLine="150" w:firstLineChars="150"/>
    </w:pPr>
    <w:rPr>
      <w:rFonts w:ascii="Calibri" w:hAnsi="Calibri"/>
      <w:sz w:val="24"/>
      <w:szCs w:val="20"/>
    </w:rPr>
  </w:style>
  <w:style w:type="paragraph" w:customStyle="1" w:styleId="348">
    <w:name w:val="缩进正文"/>
    <w:basedOn w:val="1"/>
    <w:autoRedefine/>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autoRedefine/>
    <w:qFormat/>
    <w:uiPriority w:val="34"/>
    <w:pPr>
      <w:ind w:firstLine="420" w:firstLineChars="200"/>
    </w:pPr>
  </w:style>
  <w:style w:type="paragraph" w:customStyle="1" w:styleId="350">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autoRedefine/>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autoRedefine/>
    <w:qFormat/>
    <w:uiPriority w:val="0"/>
    <w:pPr>
      <w:numPr>
        <w:ilvl w:val="0"/>
        <w:numId w:val="5"/>
      </w:numPr>
      <w:spacing w:line="360" w:lineRule="auto"/>
    </w:pPr>
    <w:rPr>
      <w:rFonts w:ascii="仿宋_GB2312" w:eastAsia="仿宋_GB2312"/>
      <w:sz w:val="32"/>
      <w:szCs w:val="30"/>
    </w:rPr>
  </w:style>
  <w:style w:type="paragraph" w:customStyle="1" w:styleId="354">
    <w:name w:val="Normal_9_0"/>
    <w:autoRedefine/>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autoRedefine/>
    <w:qFormat/>
    <w:uiPriority w:val="0"/>
    <w:rPr>
      <w:rFonts w:ascii="Tahoma" w:hAnsi="Tahoma"/>
      <w:sz w:val="24"/>
      <w:szCs w:val="20"/>
    </w:rPr>
  </w:style>
  <w:style w:type="paragraph" w:customStyle="1" w:styleId="357">
    <w:name w:val="保密事宜格式"/>
    <w:basedOn w:val="16"/>
    <w:autoRedefine/>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autoRedefine/>
    <w:qFormat/>
    <w:uiPriority w:val="0"/>
    <w:rPr>
      <w:rFonts w:ascii="黑体" w:hAnsi="黑体" w:eastAsia="黑体" w:cs="Times New Roman"/>
      <w:b/>
      <w:sz w:val="32"/>
      <w:szCs w:val="24"/>
      <w:lang w:val="en-US" w:eastAsia="zh-CN" w:bidi="ar-SA"/>
    </w:rPr>
  </w:style>
  <w:style w:type="paragraph" w:customStyle="1" w:styleId="359">
    <w:name w:val="Normal_8_0"/>
    <w:autoRedefine/>
    <w:qFormat/>
    <w:uiPriority w:val="0"/>
    <w:rPr>
      <w:rFonts w:ascii="黑体" w:hAnsi="黑体" w:eastAsia="黑体" w:cs="Times New Roman"/>
      <w:b/>
      <w:sz w:val="32"/>
      <w:szCs w:val="24"/>
      <w:lang w:val="en-US" w:eastAsia="zh-CN" w:bidi="ar-SA"/>
    </w:rPr>
  </w:style>
  <w:style w:type="paragraph" w:customStyle="1" w:styleId="360">
    <w:name w:val="表格文字"/>
    <w:basedOn w:val="1"/>
    <w:autoRedefine/>
    <w:qFormat/>
    <w:uiPriority w:val="0"/>
    <w:pPr>
      <w:jc w:val="left"/>
    </w:pPr>
    <w:rPr>
      <w:rFonts w:ascii="Calibri" w:hAnsi="Calibri"/>
      <w:sz w:val="18"/>
      <w:szCs w:val="22"/>
    </w:rPr>
  </w:style>
  <w:style w:type="paragraph" w:customStyle="1" w:styleId="361">
    <w:name w:val="Style10"/>
    <w:basedOn w:val="1"/>
    <w:autoRedefine/>
    <w:qFormat/>
    <w:uiPriority w:val="0"/>
    <w:pPr>
      <w:adjustRightInd w:val="0"/>
      <w:jc w:val="left"/>
    </w:pPr>
    <w:rPr>
      <w:rFonts w:ascii="宋体"/>
      <w:kern w:val="0"/>
      <w:sz w:val="24"/>
    </w:rPr>
  </w:style>
  <w:style w:type="paragraph" w:customStyle="1" w:styleId="362">
    <w:name w:val="表头"/>
    <w:basedOn w:val="106"/>
    <w:autoRedefine/>
    <w:qFormat/>
    <w:uiPriority w:val="0"/>
    <w:pPr>
      <w:widowControl/>
      <w:spacing w:line="240" w:lineRule="auto"/>
      <w:jc w:val="left"/>
    </w:pPr>
    <w:rPr>
      <w:rFonts w:ascii="Times New Roman" w:hAnsi="Times New Roman"/>
      <w:sz w:val="20"/>
      <w:szCs w:val="20"/>
    </w:rPr>
  </w:style>
  <w:style w:type="paragraph" w:customStyle="1" w:styleId="363">
    <w:name w:val="Normal_21"/>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autoRedefine/>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autoRedefine/>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autoRedefine/>
    <w:qFormat/>
    <w:uiPriority w:val="0"/>
    <w:rPr>
      <w:rFonts w:ascii="黑体" w:hAnsi="黑体" w:eastAsia="黑体" w:cs="Times New Roman"/>
      <w:b/>
      <w:sz w:val="32"/>
      <w:szCs w:val="24"/>
      <w:lang w:val="en-US" w:eastAsia="zh-CN" w:bidi="ar-SA"/>
    </w:rPr>
  </w:style>
  <w:style w:type="paragraph" w:customStyle="1" w:styleId="373">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autoRedefine/>
    <w:qFormat/>
    <w:uiPriority w:val="0"/>
    <w:pPr>
      <w:ind w:firstLine="420" w:firstLineChars="200"/>
    </w:pPr>
    <w:rPr>
      <w:rFonts w:ascii="Calibri" w:hAnsi="Calibri"/>
      <w:szCs w:val="22"/>
    </w:rPr>
  </w:style>
  <w:style w:type="paragraph" w:customStyle="1" w:styleId="375">
    <w:name w:val="正文_9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autoRedefine/>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autoRedefine/>
    <w:qFormat/>
    <w:uiPriority w:val="0"/>
    <w:pPr>
      <w:spacing w:beforeLines="50" w:afterLines="50" w:line="360" w:lineRule="auto"/>
      <w:ind w:firstLine="480" w:firstLineChars="200"/>
    </w:pPr>
    <w:rPr>
      <w:sz w:val="24"/>
    </w:rPr>
  </w:style>
  <w:style w:type="paragraph" w:customStyle="1" w:styleId="381">
    <w:name w:val="正文_1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autoRedefine/>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autoRedefine/>
    <w:qFormat/>
    <w:uiPriority w:val="0"/>
    <w:rPr>
      <w:rFonts w:ascii="黑体" w:hAnsi="黑体" w:eastAsia="黑体" w:cs="Times New Roman"/>
      <w:b/>
      <w:sz w:val="32"/>
      <w:szCs w:val="24"/>
      <w:lang w:val="en-US" w:eastAsia="zh-CN" w:bidi="ar-SA"/>
    </w:rPr>
  </w:style>
  <w:style w:type="paragraph" w:customStyle="1" w:styleId="386">
    <w:name w:val="Normal_16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autoRedefine/>
    <w:qFormat/>
    <w:uiPriority w:val="0"/>
    <w:rPr>
      <w:sz w:val="52"/>
    </w:rPr>
  </w:style>
  <w:style w:type="paragraph" w:customStyle="1" w:styleId="388">
    <w:name w:val="Normal_1_1"/>
    <w:autoRedefine/>
    <w:qFormat/>
    <w:uiPriority w:val="0"/>
    <w:rPr>
      <w:rFonts w:ascii="黑体" w:hAnsi="黑体" w:eastAsia="黑体" w:cs="Times New Roman"/>
      <w:b/>
      <w:sz w:val="32"/>
      <w:szCs w:val="24"/>
      <w:lang w:val="en-US" w:eastAsia="zh-CN" w:bidi="ar-SA"/>
    </w:rPr>
  </w:style>
  <w:style w:type="paragraph" w:customStyle="1" w:styleId="389">
    <w:name w:val="Normal_11"/>
    <w:autoRedefine/>
    <w:qFormat/>
    <w:uiPriority w:val="0"/>
    <w:rPr>
      <w:rFonts w:ascii="黑体" w:hAnsi="黑体" w:eastAsia="黑体" w:cs="Times New Roman"/>
      <w:b/>
      <w:sz w:val="32"/>
      <w:szCs w:val="24"/>
      <w:lang w:val="en-US" w:eastAsia="zh-CN" w:bidi="ar-SA"/>
    </w:rPr>
  </w:style>
  <w:style w:type="paragraph" w:customStyle="1" w:styleId="390">
    <w:name w:val="Char1"/>
    <w:basedOn w:val="1"/>
    <w:autoRedefine/>
    <w:qFormat/>
    <w:uiPriority w:val="0"/>
    <w:pPr>
      <w:tabs>
        <w:tab w:val="left" w:pos="840"/>
      </w:tabs>
      <w:ind w:left="840" w:hanging="420"/>
    </w:pPr>
    <w:rPr>
      <w:sz w:val="24"/>
    </w:rPr>
  </w:style>
  <w:style w:type="paragraph" w:customStyle="1" w:styleId="391">
    <w:name w:val="Normal_14_0_0"/>
    <w:autoRedefine/>
    <w:qFormat/>
    <w:uiPriority w:val="0"/>
    <w:rPr>
      <w:rFonts w:ascii="黑体" w:hAnsi="黑体" w:eastAsia="黑体" w:cs="Times New Roman"/>
      <w:b/>
      <w:sz w:val="32"/>
      <w:szCs w:val="24"/>
      <w:lang w:val="en-US" w:eastAsia="zh-CN" w:bidi="ar-SA"/>
    </w:rPr>
  </w:style>
  <w:style w:type="paragraph" w:customStyle="1" w:styleId="392">
    <w:name w:val="Normal_18_0"/>
    <w:autoRedefine/>
    <w:qFormat/>
    <w:uiPriority w:val="0"/>
    <w:rPr>
      <w:rFonts w:ascii="黑体" w:hAnsi="黑体" w:eastAsia="黑体" w:cs="Times New Roman"/>
      <w:b/>
      <w:sz w:val="32"/>
      <w:szCs w:val="24"/>
      <w:lang w:val="en-US" w:eastAsia="zh-CN" w:bidi="ar-SA"/>
    </w:rPr>
  </w:style>
  <w:style w:type="paragraph" w:customStyle="1" w:styleId="393">
    <w:name w:val="样式5"/>
    <w:basedOn w:val="4"/>
    <w:autoRedefine/>
    <w:qFormat/>
    <w:uiPriority w:val="0"/>
    <w:pPr>
      <w:spacing w:line="412" w:lineRule="auto"/>
    </w:pPr>
    <w:rPr>
      <w:rFonts w:ascii="Calibri" w:hAnsi="Calibri"/>
      <w:kern w:val="2"/>
      <w:sz w:val="28"/>
      <w:szCs w:val="28"/>
    </w:rPr>
  </w:style>
  <w:style w:type="paragraph" w:customStyle="1" w:styleId="394">
    <w:name w:val="正文_4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autoRedefine/>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autoRedefine/>
    <w:qFormat/>
    <w:uiPriority w:val="0"/>
    <w:pPr>
      <w:spacing w:line="412" w:lineRule="auto"/>
    </w:pPr>
    <w:rPr>
      <w:rFonts w:ascii="Calibri" w:hAnsi="Calibri"/>
      <w:kern w:val="2"/>
      <w:sz w:val="28"/>
      <w:szCs w:val="28"/>
    </w:rPr>
  </w:style>
  <w:style w:type="paragraph" w:customStyle="1" w:styleId="397">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autoRedefine/>
    <w:qFormat/>
    <w:uiPriority w:val="0"/>
    <w:rPr>
      <w:rFonts w:ascii="Calibri" w:hAnsi="Calibri"/>
      <w:szCs w:val="21"/>
    </w:rPr>
  </w:style>
  <w:style w:type="paragraph" w:customStyle="1" w:styleId="399">
    <w:name w:val="缺省文本"/>
    <w:basedOn w:val="1"/>
    <w:autoRedefine/>
    <w:qFormat/>
    <w:uiPriority w:val="0"/>
    <w:pPr>
      <w:autoSpaceDE w:val="0"/>
      <w:autoSpaceDN w:val="0"/>
      <w:adjustRightInd w:val="0"/>
      <w:jc w:val="left"/>
    </w:pPr>
    <w:rPr>
      <w:rFonts w:ascii="Calibri" w:hAnsi="Calibri"/>
      <w:kern w:val="0"/>
      <w:sz w:val="24"/>
      <w:szCs w:val="20"/>
    </w:rPr>
  </w:style>
  <w:style w:type="paragraph" w:customStyle="1" w:styleId="400">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autoRedefine/>
    <w:qFormat/>
    <w:uiPriority w:val="34"/>
    <w:pPr>
      <w:ind w:firstLine="420" w:firstLineChars="200"/>
    </w:pPr>
  </w:style>
  <w:style w:type="paragraph" w:customStyle="1" w:styleId="403">
    <w:name w:val="正文（无缩进）"/>
    <w:basedOn w:val="1"/>
    <w:autoRedefine/>
    <w:qFormat/>
    <w:uiPriority w:val="0"/>
    <w:pPr>
      <w:spacing w:line="360" w:lineRule="auto"/>
    </w:pPr>
    <w:rPr>
      <w:rFonts w:ascii="Calibri" w:hAnsi="Calibri"/>
      <w:sz w:val="24"/>
      <w:szCs w:val="21"/>
    </w:rPr>
  </w:style>
  <w:style w:type="paragraph" w:customStyle="1" w:styleId="404">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autoRedefine/>
    <w:qFormat/>
    <w:uiPriority w:val="0"/>
    <w:rPr>
      <w:rFonts w:ascii="黑体" w:hAnsi="黑体" w:eastAsia="黑体" w:cs="Times New Roman"/>
      <w:b/>
      <w:sz w:val="32"/>
      <w:szCs w:val="24"/>
      <w:lang w:val="en-US" w:eastAsia="zh-CN" w:bidi="ar-SA"/>
    </w:rPr>
  </w:style>
  <w:style w:type="paragraph" w:customStyle="1" w:styleId="406">
    <w:name w:val="标书2"/>
    <w:next w:val="404"/>
    <w:autoRedefine/>
    <w:qFormat/>
    <w:uiPriority w:val="0"/>
    <w:rPr>
      <w:rFonts w:ascii="Times New Roman" w:hAnsi="Times New Roman" w:eastAsia="黑体" w:cs="宋体"/>
      <w:b/>
      <w:kern w:val="2"/>
      <w:sz w:val="44"/>
      <w:lang w:val="en-US" w:eastAsia="zh-CN" w:bidi="ar-SA"/>
    </w:rPr>
  </w:style>
  <w:style w:type="paragraph" w:customStyle="1" w:styleId="407">
    <w:name w:val="标准小四"/>
    <w:basedOn w:val="1"/>
    <w:autoRedefine/>
    <w:qFormat/>
    <w:uiPriority w:val="0"/>
    <w:pPr>
      <w:spacing w:line="360" w:lineRule="auto"/>
      <w:ind w:firstLine="200" w:firstLineChars="200"/>
    </w:pPr>
    <w:rPr>
      <w:rFonts w:ascii="Arial" w:hAnsi="Arial"/>
      <w:sz w:val="24"/>
      <w:szCs w:val="21"/>
    </w:rPr>
  </w:style>
  <w:style w:type="paragraph" w:customStyle="1" w:styleId="408">
    <w:name w:val="编号"/>
    <w:basedOn w:val="1"/>
    <w:next w:val="404"/>
    <w:autoRedefine/>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autoRedefine/>
    <w:qFormat/>
    <w:uiPriority w:val="0"/>
    <w:rPr>
      <w:rFonts w:ascii="黑体" w:hAnsi="黑体" w:eastAsia="黑体" w:cs="Times New Roman"/>
      <w:b/>
      <w:sz w:val="32"/>
      <w:szCs w:val="24"/>
      <w:lang w:val="en-US" w:eastAsia="zh-CN" w:bidi="ar-SA"/>
    </w:rPr>
  </w:style>
  <w:style w:type="paragraph" w:customStyle="1" w:styleId="410">
    <w:name w:val="Normal_12_0"/>
    <w:autoRedefine/>
    <w:qFormat/>
    <w:uiPriority w:val="0"/>
    <w:rPr>
      <w:rFonts w:ascii="黑体" w:hAnsi="黑体" w:eastAsia="黑体" w:cs="Times New Roman"/>
      <w:b/>
      <w:sz w:val="32"/>
      <w:szCs w:val="24"/>
      <w:lang w:val="en-US" w:eastAsia="zh-CN" w:bidi="ar-SA"/>
    </w:rPr>
  </w:style>
  <w:style w:type="paragraph" w:customStyle="1" w:styleId="411">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autoRedefine/>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autoRedefine/>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autoRedefine/>
    <w:qFormat/>
    <w:uiPriority w:val="0"/>
    <w:rPr>
      <w:rFonts w:ascii="黑体" w:hAnsi="黑体" w:eastAsia="黑体" w:cs="Times New Roman"/>
      <w:b/>
      <w:sz w:val="32"/>
      <w:szCs w:val="24"/>
      <w:lang w:val="en-US" w:eastAsia="zh-CN" w:bidi="ar-SA"/>
    </w:rPr>
  </w:style>
  <w:style w:type="paragraph" w:customStyle="1" w:styleId="416">
    <w:name w:val="Char Char Char Char"/>
    <w:basedOn w:val="19"/>
    <w:autoRedefine/>
    <w:qFormat/>
    <w:uiPriority w:val="0"/>
    <w:pPr>
      <w:adjustRightInd w:val="0"/>
      <w:snapToGrid w:val="0"/>
      <w:spacing w:line="360" w:lineRule="auto"/>
    </w:pPr>
    <w:rPr>
      <w:rFonts w:ascii="Tahoma" w:hAnsi="Tahoma"/>
      <w:sz w:val="24"/>
    </w:rPr>
  </w:style>
  <w:style w:type="paragraph" w:customStyle="1" w:styleId="417">
    <w:name w:val="Normal_14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autoRedefine/>
    <w:qFormat/>
    <w:uiPriority w:val="0"/>
    <w:rPr>
      <w:rFonts w:ascii="黑体" w:hAnsi="黑体" w:eastAsia="黑体" w:cs="Times New Roman"/>
      <w:b/>
      <w:sz w:val="32"/>
      <w:szCs w:val="24"/>
      <w:lang w:val="en-US" w:eastAsia="zh-CN" w:bidi="ar-SA"/>
    </w:rPr>
  </w:style>
  <w:style w:type="paragraph" w:customStyle="1" w:styleId="419">
    <w:name w:val="表格"/>
    <w:basedOn w:val="1"/>
    <w:autoRedefine/>
    <w:qFormat/>
    <w:uiPriority w:val="0"/>
    <w:pPr>
      <w:snapToGrid w:val="0"/>
      <w:ind w:firstLine="21" w:firstLineChars="21"/>
    </w:pPr>
    <w:rPr>
      <w:rFonts w:ascii="宋体" w:hAnsi="Calibri"/>
      <w:szCs w:val="20"/>
    </w:rPr>
  </w:style>
  <w:style w:type="paragraph" w:customStyle="1" w:styleId="420">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autoRedefine/>
    <w:qFormat/>
    <w:uiPriority w:val="0"/>
    <w:pPr>
      <w:spacing w:line="360" w:lineRule="auto"/>
      <w:ind w:firstLine="200"/>
    </w:pPr>
    <w:rPr>
      <w:rFonts w:ascii="宋体" w:hAnsi="Calibri"/>
      <w:kern w:val="2"/>
      <w:sz w:val="24"/>
    </w:rPr>
  </w:style>
  <w:style w:type="paragraph" w:customStyle="1" w:styleId="42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autoRedefine/>
    <w:qFormat/>
    <w:uiPriority w:val="0"/>
    <w:rPr>
      <w:rFonts w:ascii="黑体" w:hAnsi="黑体" w:eastAsia="黑体" w:cs="Times New Roman"/>
      <w:b/>
      <w:sz w:val="32"/>
      <w:szCs w:val="24"/>
      <w:lang w:val="en-US" w:eastAsia="zh-CN" w:bidi="ar-SA"/>
    </w:rPr>
  </w:style>
  <w:style w:type="paragraph" w:customStyle="1" w:styleId="424">
    <w:name w:val="Normal_0_2"/>
    <w:autoRedefine/>
    <w:qFormat/>
    <w:uiPriority w:val="0"/>
    <w:rPr>
      <w:rFonts w:ascii="黑体" w:hAnsi="黑体" w:eastAsia="黑体" w:cs="Times New Roman"/>
      <w:b/>
      <w:sz w:val="32"/>
      <w:szCs w:val="24"/>
      <w:lang w:val="en-US" w:eastAsia="zh-CN" w:bidi="ar-SA"/>
    </w:rPr>
  </w:style>
  <w:style w:type="paragraph" w:customStyle="1" w:styleId="425">
    <w:name w:val="CM17"/>
    <w:basedOn w:val="1"/>
    <w:next w:val="1"/>
    <w:autoRedefine/>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autoRedefine/>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autoRedefine/>
    <w:qFormat/>
    <w:uiPriority w:val="0"/>
    <w:rPr>
      <w:rFonts w:ascii="Tahoma" w:hAnsi="Tahoma"/>
      <w:sz w:val="24"/>
      <w:szCs w:val="20"/>
    </w:rPr>
  </w:style>
  <w:style w:type="paragraph" w:customStyle="1" w:styleId="429">
    <w:name w:val="大汉方案正文 Char"/>
    <w:basedOn w:val="1"/>
    <w:autoRedefine/>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autoRedefine/>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autoRedefine/>
    <w:qFormat/>
    <w:uiPriority w:val="0"/>
    <w:pPr>
      <w:widowControl/>
      <w:spacing w:line="360" w:lineRule="auto"/>
      <w:ind w:firstLine="196" w:firstLineChars="196"/>
    </w:pPr>
    <w:rPr>
      <w:rFonts w:ascii="宋体" w:hAnsi="Calibri"/>
      <w:sz w:val="24"/>
      <w:szCs w:val="22"/>
    </w:rPr>
  </w:style>
  <w:style w:type="paragraph" w:customStyle="1" w:styleId="432">
    <w:name w:val="标书3"/>
    <w:next w:val="404"/>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autoRedefine/>
    <w:qFormat/>
    <w:uiPriority w:val="0"/>
    <w:rPr>
      <w:rFonts w:ascii="黑体" w:hAnsi="黑体" w:eastAsia="黑体" w:cs="Times New Roman"/>
      <w:b/>
      <w:sz w:val="32"/>
      <w:szCs w:val="24"/>
      <w:lang w:val="en-US" w:eastAsia="zh-CN" w:bidi="ar-SA"/>
    </w:rPr>
  </w:style>
  <w:style w:type="paragraph" w:customStyle="1" w:styleId="434">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autoRedefine/>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autoRedefine/>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autoRedefine/>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autoRedefine/>
    <w:qFormat/>
    <w:uiPriority w:val="0"/>
    <w:rPr>
      <w:rFonts w:ascii="Calibri" w:hAnsi="Calibri"/>
      <w:szCs w:val="20"/>
    </w:rPr>
  </w:style>
  <w:style w:type="paragraph" w:customStyle="1" w:styleId="442">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autoRedefine/>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autoRedefine/>
    <w:qFormat/>
    <w:uiPriority w:val="0"/>
    <w:rPr>
      <w:rFonts w:ascii="黑体" w:hAnsi="黑体" w:eastAsia="黑体" w:cs="Times New Roman"/>
      <w:b/>
      <w:sz w:val="32"/>
      <w:szCs w:val="24"/>
      <w:lang w:val="en-US" w:eastAsia="zh-CN" w:bidi="ar-SA"/>
    </w:rPr>
  </w:style>
  <w:style w:type="paragraph" w:customStyle="1" w:styleId="447">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autoRedefine/>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autoRedefine/>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autoRedefine/>
    <w:qFormat/>
    <w:uiPriority w:val="0"/>
    <w:rPr>
      <w:rFonts w:ascii="Tahoma" w:hAnsi="Tahoma"/>
      <w:sz w:val="24"/>
      <w:szCs w:val="22"/>
    </w:rPr>
  </w:style>
  <w:style w:type="paragraph" w:customStyle="1" w:styleId="455">
    <w:name w:val="Normal_10"/>
    <w:autoRedefine/>
    <w:qFormat/>
    <w:uiPriority w:val="0"/>
    <w:rPr>
      <w:rFonts w:ascii="黑体" w:hAnsi="黑体" w:eastAsia="黑体" w:cs="Times New Roman"/>
      <w:b/>
      <w:sz w:val="32"/>
      <w:szCs w:val="24"/>
      <w:lang w:val="en-US" w:eastAsia="zh-CN" w:bidi="ar-SA"/>
    </w:rPr>
  </w:style>
  <w:style w:type="paragraph" w:customStyle="1" w:styleId="456">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autoRedefine/>
    <w:qFormat/>
    <w:uiPriority w:val="0"/>
    <w:rPr>
      <w:rFonts w:ascii="黑体" w:hAnsi="黑体" w:eastAsia="黑体" w:cs="Times New Roman"/>
      <w:b/>
      <w:sz w:val="32"/>
      <w:szCs w:val="24"/>
      <w:lang w:val="en-US" w:eastAsia="zh-CN" w:bidi="ar-SA"/>
    </w:rPr>
  </w:style>
  <w:style w:type="paragraph" w:customStyle="1" w:styleId="462">
    <w:name w:val="技术方案3"/>
    <w:basedOn w:val="1"/>
    <w:autoRedefine/>
    <w:qFormat/>
    <w:uiPriority w:val="0"/>
    <w:pPr>
      <w:spacing w:line="360" w:lineRule="auto"/>
    </w:pPr>
    <w:rPr>
      <w:rFonts w:ascii="宋体" w:hAnsi="Calibri"/>
      <w:b/>
      <w:bCs/>
      <w:sz w:val="32"/>
      <w:szCs w:val="22"/>
    </w:rPr>
  </w:style>
  <w:style w:type="paragraph" w:customStyle="1" w:styleId="463">
    <w:name w:val="加点正文缩进"/>
    <w:basedOn w:val="1"/>
    <w:autoRedefine/>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autoRedefine/>
    <w:qFormat/>
    <w:uiPriority w:val="0"/>
    <w:pPr>
      <w:adjustRightInd w:val="0"/>
      <w:spacing w:line="360" w:lineRule="auto"/>
      <w:ind w:left="480"/>
    </w:pPr>
    <w:rPr>
      <w:rFonts w:ascii="Calibri" w:hAnsi="Calibri"/>
      <w:kern w:val="0"/>
      <w:sz w:val="24"/>
      <w:szCs w:val="20"/>
    </w:rPr>
  </w:style>
  <w:style w:type="paragraph" w:customStyle="1" w:styleId="465">
    <w:name w:val="pa-10"/>
    <w:basedOn w:val="1"/>
    <w:autoRedefine/>
    <w:qFormat/>
    <w:uiPriority w:val="0"/>
    <w:pPr>
      <w:widowControl/>
      <w:spacing w:line="240" w:lineRule="atLeast"/>
    </w:pPr>
    <w:rPr>
      <w:rFonts w:ascii="宋体" w:hAnsi="Calibri" w:cs="宋体"/>
      <w:kern w:val="0"/>
      <w:sz w:val="24"/>
      <w:szCs w:val="22"/>
    </w:rPr>
  </w:style>
  <w:style w:type="paragraph" w:customStyle="1" w:styleId="466">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autoRedefine/>
    <w:qFormat/>
    <w:uiPriority w:val="0"/>
    <w:rPr>
      <w:rFonts w:ascii="黑体" w:hAnsi="黑体" w:eastAsia="黑体" w:cs="Times New Roman"/>
      <w:b/>
      <w:sz w:val="32"/>
      <w:szCs w:val="24"/>
      <w:lang w:val="en-US" w:eastAsia="zh-CN" w:bidi="ar-SA"/>
    </w:rPr>
  </w:style>
  <w:style w:type="paragraph" w:customStyle="1" w:styleId="469">
    <w:name w:val="pa-3"/>
    <w:basedOn w:val="1"/>
    <w:autoRedefine/>
    <w:qFormat/>
    <w:uiPriority w:val="0"/>
    <w:pPr>
      <w:widowControl/>
      <w:spacing w:before="150" w:after="150"/>
      <w:jc w:val="left"/>
    </w:pPr>
    <w:rPr>
      <w:rFonts w:ascii="宋体" w:hAnsi="Calibri" w:cs="宋体"/>
      <w:kern w:val="0"/>
      <w:sz w:val="24"/>
      <w:szCs w:val="22"/>
    </w:rPr>
  </w:style>
  <w:style w:type="paragraph" w:customStyle="1" w:styleId="470">
    <w:name w:val="Normal_15_0"/>
    <w:autoRedefine/>
    <w:qFormat/>
    <w:uiPriority w:val="0"/>
    <w:rPr>
      <w:rFonts w:ascii="黑体" w:hAnsi="黑体" w:eastAsia="黑体" w:cs="Times New Roman"/>
      <w:b/>
      <w:sz w:val="32"/>
      <w:szCs w:val="24"/>
      <w:lang w:val="en-US" w:eastAsia="zh-CN" w:bidi="ar-SA"/>
    </w:rPr>
  </w:style>
  <w:style w:type="paragraph" w:customStyle="1" w:styleId="471">
    <w:name w:val="D&amp;L"/>
    <w:basedOn w:val="41"/>
    <w:autoRedefine/>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autoRedefine/>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autoRedefine/>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autoRedefine/>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autoRedefine/>
    <w:qFormat/>
    <w:uiPriority w:val="0"/>
    <w:pPr>
      <w:spacing w:line="312" w:lineRule="auto"/>
    </w:pPr>
    <w:rPr>
      <w:rFonts w:ascii="宋体" w:hAnsi="Calibri" w:cs="宋体"/>
      <w:sz w:val="24"/>
      <w:szCs w:val="22"/>
    </w:rPr>
  </w:style>
  <w:style w:type="paragraph" w:customStyle="1" w:styleId="481">
    <w:name w:val="Normal_19"/>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autoRedefine/>
    <w:qFormat/>
    <w:uiPriority w:val="0"/>
    <w:pPr>
      <w:adjustRightInd w:val="0"/>
      <w:jc w:val="left"/>
    </w:pPr>
    <w:rPr>
      <w:rFonts w:ascii="宋体"/>
      <w:kern w:val="0"/>
      <w:sz w:val="24"/>
    </w:rPr>
  </w:style>
  <w:style w:type="paragraph" w:customStyle="1" w:styleId="483">
    <w:name w:val="表格序号"/>
    <w:autoRedefine/>
    <w:qFormat/>
    <w:uiPriority w:val="0"/>
    <w:rPr>
      <w:rFonts w:ascii="Times New Roman" w:hAnsi="Times New Roman" w:eastAsia="仿宋_GB2312" w:cs="宋体"/>
      <w:kern w:val="44"/>
      <w:sz w:val="21"/>
      <w:lang w:val="en-US" w:eastAsia="zh-CN" w:bidi="ar-SA"/>
    </w:rPr>
  </w:style>
  <w:style w:type="paragraph" w:customStyle="1" w:styleId="484">
    <w:name w:val="序号"/>
    <w:next w:val="1"/>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autoRedefine/>
    <w:qFormat/>
    <w:uiPriority w:val="0"/>
    <w:pPr>
      <w:adjustRightInd w:val="0"/>
      <w:jc w:val="left"/>
    </w:pPr>
    <w:rPr>
      <w:rFonts w:ascii="宋体"/>
      <w:kern w:val="0"/>
      <w:sz w:val="24"/>
    </w:rPr>
  </w:style>
  <w:style w:type="paragraph" w:customStyle="1" w:styleId="487">
    <w:name w:val="Normal_7"/>
    <w:autoRedefine/>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autoRedefine/>
    <w:qFormat/>
    <w:uiPriority w:val="0"/>
    <w:pPr>
      <w:widowControl/>
      <w:spacing w:after="160" w:line="240" w:lineRule="exact"/>
      <w:jc w:val="left"/>
    </w:pPr>
    <w:rPr>
      <w:rFonts w:ascii="宋体" w:hAnsi="宋体"/>
      <w:b/>
      <w:kern w:val="0"/>
      <w:sz w:val="28"/>
      <w:szCs w:val="28"/>
    </w:rPr>
  </w:style>
  <w:style w:type="paragraph" w:customStyle="1" w:styleId="489">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autoRedefine/>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autoRedefine/>
    <w:qFormat/>
    <w:uiPriority w:val="0"/>
    <w:rPr>
      <w:rFonts w:ascii="Tahoma" w:hAnsi="Tahoma"/>
      <w:sz w:val="24"/>
    </w:rPr>
  </w:style>
  <w:style w:type="paragraph" w:customStyle="1" w:styleId="493">
    <w:name w:val="章标题"/>
    <w:next w:val="156"/>
    <w:autoRedefine/>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autoRedefine/>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autoRedefine/>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autoRedefine/>
    <w:unhideWhenUsed/>
    <w:qFormat/>
    <w:uiPriority w:val="99"/>
    <w:pPr>
      <w:ind w:firstLine="200" w:firstLineChars="200"/>
    </w:pPr>
  </w:style>
  <w:style w:type="paragraph" w:customStyle="1" w:styleId="499">
    <w:name w:val="正文缩进2字符"/>
    <w:basedOn w:val="1"/>
    <w:next w:val="1"/>
    <w:autoRedefine/>
    <w:qFormat/>
    <w:uiPriority w:val="0"/>
    <w:pPr>
      <w:ind w:firstLine="200" w:firstLineChars="200"/>
    </w:pPr>
  </w:style>
  <w:style w:type="paragraph" w:customStyle="1" w:styleId="500">
    <w:name w:val="s1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autoRedefine/>
    <w:qFormat/>
    <w:uiPriority w:val="0"/>
    <w:pPr>
      <w:snapToGrid w:val="0"/>
    </w:pPr>
    <w:rPr>
      <w:sz w:val="20"/>
      <w:szCs w:val="20"/>
    </w:rPr>
  </w:style>
  <w:style w:type="paragraph" w:customStyle="1" w:styleId="502">
    <w:name w:val="标书正文"/>
    <w:basedOn w:val="1"/>
    <w:autoRedefine/>
    <w:qFormat/>
    <w:uiPriority w:val="0"/>
    <w:pPr>
      <w:spacing w:line="400" w:lineRule="exact"/>
    </w:pPr>
    <w:rPr>
      <w:sz w:val="24"/>
      <w:szCs w:val="22"/>
    </w:rPr>
  </w:style>
  <w:style w:type="paragraph" w:customStyle="1" w:styleId="503">
    <w:name w:val="！正文"/>
    <w:basedOn w:val="1"/>
    <w:autoRedefine/>
    <w:qFormat/>
    <w:uiPriority w:val="0"/>
    <w:pPr>
      <w:widowControl/>
      <w:ind w:firstLine="480"/>
      <w:jc w:val="left"/>
    </w:pPr>
    <w:rPr>
      <w:kern w:val="0"/>
      <w:szCs w:val="20"/>
    </w:rPr>
  </w:style>
  <w:style w:type="paragraph" w:customStyle="1" w:styleId="504">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67</Pages>
  <Words>9331</Words>
  <Characters>9794</Characters>
  <Lines>174</Lines>
  <Paragraphs>49</Paragraphs>
  <TotalTime>2</TotalTime>
  <ScaleCrop>false</ScaleCrop>
  <LinksUpToDate>false</LinksUpToDate>
  <CharactersWithSpaces>9900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污染普查</dc:creator>
  <cp:lastModifiedBy>WPS_1775098245</cp:lastModifiedBy>
  <cp:lastPrinted>2021-09-29T18:02:00Z</cp:lastPrinted>
  <dcterms:modified xsi:type="dcterms:W3CDTF">2026-04-22T01:26:40Z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84894A1D506330DC44FBC169D0E31235_43</vt:lpwstr>
  </property>
  <property fmtid="{D5CDD505-2E9C-101B-9397-08002B2CF9AE}" pid="4" name="KSOTemplateDocerSaveRecord">
    <vt:lpwstr>eyJoZGlkIjoiNGU3NDM3MzI5YzEyZGZjZjkzY2E5N2U2OGRlYTgzNGEiLCJ1c2VySWQiOiIxODE5OTk5MTgxIn0=</vt:lpwstr>
  </property>
</Properties>
</file>