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80E445">
      <w:pPr>
        <w:spacing w:line="360" w:lineRule="auto"/>
        <w:jc w:val="center"/>
        <w:rPr>
          <w:rFonts w:hint="eastAsia" w:ascii="宋体" w:hAnsi="宋体" w:cs="宋体"/>
          <w:b/>
          <w:bCs/>
          <w:color w:val="auto"/>
          <w:sz w:val="44"/>
          <w:szCs w:val="44"/>
          <w:highlight w:val="none"/>
          <w:lang w:eastAsia="zh-CN"/>
        </w:rPr>
      </w:pPr>
    </w:p>
    <w:p w14:paraId="652C874D">
      <w:pPr>
        <w:spacing w:line="360" w:lineRule="auto"/>
        <w:jc w:val="center"/>
        <w:rPr>
          <w:rFonts w:hint="eastAsia" w:ascii="宋体" w:hAnsi="宋体" w:cs="宋体"/>
          <w:b/>
          <w:bCs/>
          <w:color w:val="auto"/>
          <w:sz w:val="44"/>
          <w:szCs w:val="44"/>
          <w:highlight w:val="none"/>
          <w:lang w:eastAsia="zh-CN"/>
        </w:rPr>
      </w:pPr>
    </w:p>
    <w:p w14:paraId="04313EA4">
      <w:pPr>
        <w:spacing w:line="360" w:lineRule="auto"/>
        <w:jc w:val="center"/>
        <w:rPr>
          <w:rFonts w:hint="eastAsia" w:ascii="宋体" w:hAnsi="宋体" w:eastAsia="宋体" w:cs="宋体"/>
          <w:b/>
          <w:color w:val="auto"/>
          <w:sz w:val="96"/>
          <w:szCs w:val="96"/>
          <w:highlight w:val="none"/>
          <w:lang w:eastAsia="zh-CN"/>
        </w:rPr>
      </w:pPr>
      <w:r>
        <w:rPr>
          <w:rFonts w:hint="eastAsia" w:ascii="宋体" w:hAnsi="宋体" w:cs="宋体"/>
          <w:b/>
          <w:bCs/>
          <w:color w:val="auto"/>
          <w:sz w:val="44"/>
          <w:szCs w:val="44"/>
          <w:highlight w:val="none"/>
          <w:lang w:eastAsia="zh-CN"/>
        </w:rPr>
        <w:t>南通职业大学2026年校区搬迁家具搬运项目</w:t>
      </w:r>
    </w:p>
    <w:p w14:paraId="011A64DA">
      <w:pPr>
        <w:spacing w:line="360" w:lineRule="auto"/>
        <w:rPr>
          <w:rFonts w:ascii="宋体" w:hAnsi="宋体" w:cs="宋体"/>
          <w:b/>
          <w:color w:val="auto"/>
          <w:sz w:val="100"/>
          <w:szCs w:val="100"/>
          <w:highlight w:val="none"/>
        </w:rPr>
      </w:pPr>
    </w:p>
    <w:p w14:paraId="207FB788">
      <w:pPr>
        <w:spacing w:line="360" w:lineRule="auto"/>
        <w:jc w:val="center"/>
        <w:rPr>
          <w:rFonts w:ascii="宋体" w:hAnsi="宋体" w:cs="宋体"/>
          <w:b/>
          <w:color w:val="auto"/>
          <w:sz w:val="100"/>
          <w:szCs w:val="100"/>
          <w:highlight w:val="none"/>
        </w:rPr>
      </w:pPr>
      <w:r>
        <w:rPr>
          <w:rFonts w:hint="eastAsia" w:ascii="宋体" w:hAnsi="宋体" w:cs="宋体"/>
          <w:b/>
          <w:color w:val="auto"/>
          <w:sz w:val="100"/>
          <w:szCs w:val="100"/>
          <w:highlight w:val="none"/>
        </w:rPr>
        <w:t>磋商采购文件</w:t>
      </w:r>
    </w:p>
    <w:p w14:paraId="0630C221">
      <w:pPr>
        <w:keepNext/>
        <w:spacing w:line="360" w:lineRule="auto"/>
        <w:jc w:val="center"/>
        <w:rPr>
          <w:rFonts w:ascii="宋体" w:hAnsi="宋体" w:cs="宋体"/>
          <w:b/>
          <w:color w:val="auto"/>
          <w:kern w:val="0"/>
          <w:sz w:val="36"/>
          <w:szCs w:val="36"/>
          <w:highlight w:val="none"/>
        </w:rPr>
      </w:pPr>
    </w:p>
    <w:p w14:paraId="4B59084C">
      <w:pPr>
        <w:keepNext/>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rPr>
        <w:t>采购文件编号：FW20260015</w:t>
      </w:r>
    </w:p>
    <w:p w14:paraId="21B741FB">
      <w:pPr>
        <w:spacing w:line="360" w:lineRule="auto"/>
        <w:jc w:val="center"/>
        <w:rPr>
          <w:rFonts w:ascii="宋体" w:hAnsi="宋体" w:cs="宋体"/>
          <w:b/>
          <w:color w:val="auto"/>
          <w:sz w:val="36"/>
          <w:highlight w:val="none"/>
        </w:rPr>
      </w:pPr>
    </w:p>
    <w:p w14:paraId="4499F221">
      <w:pPr>
        <w:spacing w:line="360" w:lineRule="auto"/>
        <w:jc w:val="center"/>
        <w:rPr>
          <w:rFonts w:ascii="宋体" w:hAnsi="宋体" w:cs="宋体"/>
          <w:b/>
          <w:color w:val="auto"/>
          <w:sz w:val="36"/>
          <w:highlight w:val="none"/>
        </w:rPr>
      </w:pPr>
    </w:p>
    <w:p w14:paraId="3C79E76C">
      <w:pPr>
        <w:spacing w:line="360" w:lineRule="auto"/>
        <w:jc w:val="center"/>
        <w:rPr>
          <w:rFonts w:ascii="宋体" w:hAnsi="宋体" w:cs="宋体"/>
          <w:b/>
          <w:color w:val="auto"/>
          <w:sz w:val="36"/>
          <w:highlight w:val="none"/>
        </w:rPr>
      </w:pPr>
    </w:p>
    <w:p w14:paraId="3B3C191B">
      <w:pPr>
        <w:spacing w:line="360" w:lineRule="auto"/>
        <w:jc w:val="center"/>
        <w:rPr>
          <w:rFonts w:ascii="宋体" w:hAnsi="宋体" w:cs="宋体"/>
          <w:b/>
          <w:color w:val="auto"/>
          <w:sz w:val="36"/>
          <w:highlight w:val="none"/>
        </w:rPr>
      </w:pPr>
    </w:p>
    <w:p w14:paraId="6DC95481">
      <w:pPr>
        <w:spacing w:line="360" w:lineRule="auto"/>
        <w:jc w:val="center"/>
        <w:rPr>
          <w:rFonts w:ascii="宋体" w:hAnsi="宋体" w:cs="宋体"/>
          <w:b/>
          <w:color w:val="auto"/>
          <w:sz w:val="36"/>
          <w:highlight w:val="none"/>
        </w:rPr>
      </w:pPr>
    </w:p>
    <w:p w14:paraId="2BF8F9A5">
      <w:pPr>
        <w:adjustRightInd w:val="0"/>
        <w:spacing w:before="120" w:after="120" w:line="360" w:lineRule="auto"/>
        <w:ind w:right="120"/>
        <w:textAlignment w:val="baseline"/>
        <w:rPr>
          <w:rFonts w:ascii="宋体" w:hAnsi="宋体" w:cs="宋体"/>
          <w:b/>
          <w:color w:val="auto"/>
          <w:spacing w:val="20"/>
          <w:sz w:val="32"/>
          <w:szCs w:val="32"/>
          <w:highlight w:val="none"/>
        </w:rPr>
      </w:pPr>
    </w:p>
    <w:p w14:paraId="7F35BED3">
      <w:pPr>
        <w:adjustRightInd w:val="0"/>
        <w:spacing w:before="120" w:after="120" w:line="360" w:lineRule="auto"/>
        <w:ind w:right="120"/>
        <w:jc w:val="both"/>
        <w:textAlignment w:val="baseline"/>
        <w:rPr>
          <w:rFonts w:ascii="宋体" w:hAnsi="宋体" w:cs="宋体"/>
          <w:b/>
          <w:color w:val="auto"/>
          <w:spacing w:val="20"/>
          <w:sz w:val="32"/>
          <w:szCs w:val="32"/>
          <w:highlight w:val="none"/>
        </w:rPr>
      </w:pPr>
    </w:p>
    <w:p w14:paraId="3C4FF459">
      <w:pPr>
        <w:adjustRightInd w:val="0"/>
        <w:spacing w:before="120" w:after="120" w:line="360" w:lineRule="auto"/>
        <w:ind w:left="-2" w:right="120"/>
        <w:jc w:val="center"/>
        <w:textAlignment w:val="baseline"/>
        <w:rPr>
          <w:rFonts w:hint="eastAsia" w:ascii="宋体" w:hAnsi="宋体" w:cs="宋体"/>
          <w:b/>
          <w:bCs/>
          <w:color w:val="auto"/>
          <w:kern w:val="0"/>
          <w:sz w:val="32"/>
          <w:szCs w:val="32"/>
          <w:highlight w:val="none"/>
        </w:rPr>
      </w:pPr>
    </w:p>
    <w:p w14:paraId="6C89D1BA">
      <w:pPr>
        <w:adjustRightInd w:val="0"/>
        <w:spacing w:before="120" w:after="120" w:line="360" w:lineRule="auto"/>
        <w:ind w:left="-2" w:right="120"/>
        <w:jc w:val="center"/>
        <w:textAlignment w:val="baseline"/>
        <w:rPr>
          <w:rFonts w:hint="eastAsia" w:ascii="宋体" w:hAnsi="宋体" w:cs="宋体"/>
          <w:b/>
          <w:bCs/>
          <w:color w:val="auto"/>
          <w:kern w:val="0"/>
          <w:sz w:val="32"/>
          <w:szCs w:val="32"/>
          <w:highlight w:val="none"/>
          <w:lang w:eastAsia="zh-CN"/>
        </w:rPr>
      </w:pPr>
      <w:r>
        <w:rPr>
          <w:rFonts w:hint="eastAsia" w:ascii="宋体" w:hAnsi="宋体" w:cs="宋体"/>
          <w:b/>
          <w:bCs/>
          <w:color w:val="auto"/>
          <w:kern w:val="0"/>
          <w:sz w:val="32"/>
          <w:szCs w:val="32"/>
          <w:highlight w:val="none"/>
          <w:lang w:eastAsia="zh-CN"/>
        </w:rPr>
        <w:t>南通职业大学</w:t>
      </w:r>
    </w:p>
    <w:p w14:paraId="2E6DA2DB">
      <w:pPr>
        <w:adjustRightInd w:val="0"/>
        <w:spacing w:before="120" w:after="120" w:line="360" w:lineRule="auto"/>
        <w:ind w:left="-2" w:right="120"/>
        <w:jc w:val="center"/>
        <w:textAlignment w:val="baseline"/>
        <w:rPr>
          <w:rFonts w:hint="eastAsia" w:ascii="宋体" w:hAnsi="宋体" w:cs="宋体"/>
          <w:color w:val="auto"/>
          <w:sz w:val="44"/>
          <w:szCs w:val="44"/>
          <w:highlight w:val="none"/>
          <w:lang w:val="zh-CN"/>
        </w:rPr>
      </w:pPr>
      <w:r>
        <w:rPr>
          <w:rFonts w:hint="eastAsia" w:ascii="宋体" w:hAnsi="宋体" w:cs="宋体"/>
          <w:b/>
          <w:bCs/>
          <w:color w:val="auto"/>
          <w:kern w:val="0"/>
          <w:sz w:val="32"/>
          <w:szCs w:val="32"/>
          <w:highlight w:val="none"/>
        </w:rPr>
        <w:t>202</w:t>
      </w:r>
      <w:r>
        <w:rPr>
          <w:rFonts w:hint="eastAsia" w:ascii="宋体" w:hAnsi="宋体" w:cs="宋体"/>
          <w:b/>
          <w:bCs/>
          <w:color w:val="auto"/>
          <w:kern w:val="0"/>
          <w:sz w:val="32"/>
          <w:szCs w:val="32"/>
          <w:highlight w:val="none"/>
          <w:lang w:val="en-US" w:eastAsia="zh-CN"/>
        </w:rPr>
        <w:t>6</w:t>
      </w:r>
      <w:r>
        <w:rPr>
          <w:rFonts w:hint="eastAsia" w:ascii="宋体" w:hAnsi="宋体" w:cs="宋体"/>
          <w:b/>
          <w:bCs/>
          <w:color w:val="auto"/>
          <w:kern w:val="0"/>
          <w:sz w:val="32"/>
          <w:szCs w:val="32"/>
          <w:highlight w:val="none"/>
        </w:rPr>
        <w:t>年</w:t>
      </w:r>
      <w:r>
        <w:rPr>
          <w:rFonts w:hint="eastAsia" w:ascii="宋体" w:hAnsi="宋体" w:cs="宋体"/>
          <w:b/>
          <w:bCs/>
          <w:color w:val="auto"/>
          <w:kern w:val="0"/>
          <w:sz w:val="32"/>
          <w:szCs w:val="32"/>
          <w:highlight w:val="none"/>
          <w:lang w:val="en-US" w:eastAsia="zh-CN"/>
        </w:rPr>
        <w:t>07</w:t>
      </w:r>
      <w:r>
        <w:rPr>
          <w:rFonts w:hint="eastAsia" w:ascii="宋体" w:hAnsi="宋体" w:cs="宋体"/>
          <w:b/>
          <w:bCs/>
          <w:color w:val="auto"/>
          <w:kern w:val="0"/>
          <w:sz w:val="32"/>
          <w:szCs w:val="32"/>
          <w:highlight w:val="none"/>
        </w:rPr>
        <w:t>月</w:t>
      </w:r>
    </w:p>
    <w:p w14:paraId="31E1275B">
      <w:pPr>
        <w:adjustRightInd w:val="0"/>
        <w:snapToGrid w:val="0"/>
        <w:spacing w:line="360" w:lineRule="auto"/>
        <w:ind w:left="-158" w:leftChars="-75"/>
        <w:jc w:val="center"/>
        <w:rPr>
          <w:rFonts w:ascii="宋体" w:hAnsi="宋体" w:cs="宋体"/>
          <w:color w:val="auto"/>
          <w:sz w:val="44"/>
          <w:szCs w:val="44"/>
          <w:highlight w:val="none"/>
          <w:lang w:val="zh-CN"/>
        </w:rPr>
      </w:pPr>
      <w:r>
        <w:rPr>
          <w:rFonts w:hint="eastAsia" w:ascii="宋体" w:hAnsi="宋体" w:cs="宋体"/>
          <w:color w:val="auto"/>
          <w:sz w:val="44"/>
          <w:szCs w:val="44"/>
          <w:highlight w:val="none"/>
          <w:lang w:val="zh-CN"/>
        </w:rPr>
        <w:br w:type="page"/>
      </w:r>
      <w:r>
        <w:rPr>
          <w:rFonts w:hint="eastAsia" w:ascii="宋体" w:hAnsi="宋体" w:cs="宋体"/>
          <w:color w:val="auto"/>
          <w:sz w:val="44"/>
          <w:szCs w:val="44"/>
          <w:highlight w:val="none"/>
          <w:lang w:val="zh-CN"/>
        </w:rPr>
        <w:t xml:space="preserve">目 </w:t>
      </w:r>
      <w:r>
        <w:rPr>
          <w:rFonts w:hint="eastAsia" w:ascii="宋体" w:hAnsi="宋体" w:cs="宋体"/>
          <w:color w:val="auto"/>
          <w:sz w:val="44"/>
          <w:szCs w:val="44"/>
          <w:highlight w:val="none"/>
        </w:rPr>
        <w:t xml:space="preserve">  </w:t>
      </w:r>
      <w:r>
        <w:rPr>
          <w:rFonts w:hint="eastAsia" w:ascii="宋体" w:hAnsi="宋体" w:cs="宋体"/>
          <w:color w:val="auto"/>
          <w:sz w:val="44"/>
          <w:szCs w:val="44"/>
          <w:highlight w:val="none"/>
          <w:lang w:val="zh-CN"/>
        </w:rPr>
        <w:t>录</w:t>
      </w:r>
    </w:p>
    <w:p w14:paraId="0C2729FA">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第一部分  磋商公告</w:t>
      </w:r>
    </w:p>
    <w:p w14:paraId="1B364C85">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第二部分  磋商须知</w:t>
      </w:r>
    </w:p>
    <w:p w14:paraId="7A1A4CF0">
      <w:pPr>
        <w:autoSpaceDE w:val="0"/>
        <w:autoSpaceDN w:val="0"/>
        <w:adjustRightInd w:val="0"/>
        <w:snapToGrid w:val="0"/>
        <w:spacing w:line="1000" w:lineRule="exact"/>
        <w:ind w:firstLine="537"/>
        <w:rPr>
          <w:rFonts w:ascii="宋体" w:hAnsi="宋体" w:cs="宋体"/>
          <w:color w:val="auto"/>
          <w:sz w:val="32"/>
          <w:szCs w:val="32"/>
          <w:highlight w:val="none"/>
        </w:rPr>
      </w:pPr>
      <w:r>
        <w:rPr>
          <w:rFonts w:hint="eastAsia" w:ascii="宋体" w:hAnsi="宋体" w:cs="宋体"/>
          <w:color w:val="auto"/>
          <w:sz w:val="32"/>
          <w:szCs w:val="32"/>
          <w:highlight w:val="none"/>
        </w:rPr>
        <w:t>第三部分  项目需求</w:t>
      </w:r>
    </w:p>
    <w:p w14:paraId="2690AAB0">
      <w:pPr>
        <w:autoSpaceDE w:val="0"/>
        <w:autoSpaceDN w:val="0"/>
        <w:adjustRightInd w:val="0"/>
        <w:snapToGrid w:val="0"/>
        <w:spacing w:line="1000" w:lineRule="exact"/>
        <w:ind w:firstLine="537"/>
        <w:rPr>
          <w:rFonts w:ascii="宋体" w:hAnsi="宋体" w:cs="宋体"/>
          <w:color w:val="auto"/>
          <w:sz w:val="32"/>
          <w:szCs w:val="32"/>
          <w:highlight w:val="none"/>
        </w:rPr>
      </w:pPr>
      <w:r>
        <w:rPr>
          <w:rFonts w:hint="eastAsia" w:ascii="宋体" w:hAnsi="宋体" w:cs="宋体"/>
          <w:color w:val="auto"/>
          <w:sz w:val="32"/>
          <w:szCs w:val="32"/>
          <w:highlight w:val="none"/>
        </w:rPr>
        <w:t>第四部分  评审方法和评审标准</w:t>
      </w:r>
    </w:p>
    <w:p w14:paraId="0E157453">
      <w:pPr>
        <w:autoSpaceDE w:val="0"/>
        <w:autoSpaceDN w:val="0"/>
        <w:adjustRightInd w:val="0"/>
        <w:snapToGrid w:val="0"/>
        <w:spacing w:line="1000" w:lineRule="exact"/>
        <w:ind w:firstLine="556"/>
        <w:rPr>
          <w:rFonts w:hint="eastAsia" w:ascii="宋体" w:hAnsi="宋体" w:cs="宋体"/>
          <w:color w:val="auto"/>
          <w:sz w:val="32"/>
          <w:szCs w:val="32"/>
          <w:highlight w:val="none"/>
        </w:rPr>
      </w:pPr>
      <w:r>
        <w:rPr>
          <w:rFonts w:hint="eastAsia" w:ascii="宋体" w:hAnsi="宋体" w:cs="宋体"/>
          <w:color w:val="auto"/>
          <w:sz w:val="32"/>
          <w:szCs w:val="32"/>
          <w:highlight w:val="none"/>
        </w:rPr>
        <w:t>第五部分  质疑与投诉</w:t>
      </w:r>
    </w:p>
    <w:p w14:paraId="1C4F035E">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w:t>
      </w:r>
      <w:r>
        <w:rPr>
          <w:rFonts w:hint="eastAsia" w:ascii="宋体" w:hAnsi="宋体" w:cs="宋体"/>
          <w:color w:val="auto"/>
          <w:sz w:val="32"/>
          <w:szCs w:val="32"/>
          <w:highlight w:val="none"/>
          <w:lang w:val="en-US" w:eastAsia="zh-CN"/>
        </w:rPr>
        <w:t>六</w:t>
      </w:r>
      <w:r>
        <w:rPr>
          <w:rFonts w:hint="eastAsia" w:ascii="宋体" w:hAnsi="宋体" w:cs="宋体"/>
          <w:color w:val="auto"/>
          <w:sz w:val="32"/>
          <w:szCs w:val="32"/>
          <w:highlight w:val="none"/>
        </w:rPr>
        <w:t>部分  响应文件组成</w:t>
      </w:r>
    </w:p>
    <w:p w14:paraId="2A922B8A">
      <w:pPr>
        <w:tabs>
          <w:tab w:val="left" w:pos="7740"/>
        </w:tabs>
        <w:spacing w:line="360" w:lineRule="auto"/>
        <w:rPr>
          <w:rFonts w:ascii="宋体" w:hAnsi="宋体" w:cs="宋体"/>
          <w:bCs/>
          <w:color w:val="auto"/>
          <w:sz w:val="32"/>
          <w:szCs w:val="32"/>
          <w:highlight w:val="none"/>
        </w:rPr>
      </w:pPr>
    </w:p>
    <w:p w14:paraId="5B89A61D">
      <w:pPr>
        <w:tabs>
          <w:tab w:val="left" w:pos="7740"/>
        </w:tabs>
        <w:spacing w:line="360" w:lineRule="auto"/>
        <w:rPr>
          <w:rFonts w:ascii="宋体" w:hAnsi="宋体" w:cs="宋体"/>
          <w:bCs/>
          <w:color w:val="auto"/>
          <w:sz w:val="32"/>
          <w:szCs w:val="32"/>
          <w:highlight w:val="none"/>
        </w:rPr>
      </w:pPr>
    </w:p>
    <w:p w14:paraId="11C84CBF">
      <w:pPr>
        <w:autoSpaceDE w:val="0"/>
        <w:autoSpaceDN w:val="0"/>
        <w:adjustRightInd w:val="0"/>
        <w:spacing w:line="360" w:lineRule="auto"/>
        <w:jc w:val="center"/>
        <w:rPr>
          <w:rFonts w:ascii="宋体" w:hAnsi="宋体" w:cs="宋体"/>
          <w:b/>
          <w:bCs/>
          <w:color w:val="auto"/>
          <w:sz w:val="36"/>
          <w:szCs w:val="36"/>
          <w:highlight w:val="none"/>
          <w:lang w:val="zh-CN"/>
        </w:rPr>
      </w:pPr>
    </w:p>
    <w:p w14:paraId="14F6A725">
      <w:pPr>
        <w:autoSpaceDE w:val="0"/>
        <w:autoSpaceDN w:val="0"/>
        <w:adjustRightInd w:val="0"/>
        <w:spacing w:line="360" w:lineRule="auto"/>
        <w:rPr>
          <w:rFonts w:ascii="宋体" w:hAnsi="宋体" w:cs="宋体"/>
          <w:b/>
          <w:bCs/>
          <w:color w:val="auto"/>
          <w:sz w:val="36"/>
          <w:szCs w:val="36"/>
          <w:highlight w:val="none"/>
          <w:lang w:val="zh-CN"/>
        </w:rPr>
      </w:pPr>
    </w:p>
    <w:p w14:paraId="28F8BED9">
      <w:pPr>
        <w:autoSpaceDE w:val="0"/>
        <w:autoSpaceDN w:val="0"/>
        <w:adjustRightInd w:val="0"/>
        <w:spacing w:line="360" w:lineRule="auto"/>
        <w:jc w:val="center"/>
        <w:rPr>
          <w:rFonts w:ascii="宋体" w:hAnsi="宋体" w:cs="宋体"/>
          <w:b/>
          <w:bCs/>
          <w:color w:val="auto"/>
          <w:sz w:val="36"/>
          <w:szCs w:val="36"/>
          <w:highlight w:val="none"/>
          <w:lang w:val="zh-CN"/>
        </w:rPr>
      </w:pPr>
    </w:p>
    <w:p w14:paraId="71ED8D70">
      <w:pPr>
        <w:autoSpaceDE w:val="0"/>
        <w:autoSpaceDN w:val="0"/>
        <w:adjustRightInd w:val="0"/>
        <w:spacing w:line="360" w:lineRule="auto"/>
        <w:jc w:val="center"/>
        <w:rPr>
          <w:rFonts w:ascii="宋体" w:hAnsi="宋体" w:cs="宋体"/>
          <w:b/>
          <w:bCs/>
          <w:color w:val="auto"/>
          <w:sz w:val="36"/>
          <w:szCs w:val="36"/>
          <w:highlight w:val="none"/>
          <w:lang w:val="zh-CN"/>
        </w:rPr>
      </w:pPr>
    </w:p>
    <w:p w14:paraId="37035137">
      <w:pPr>
        <w:autoSpaceDE w:val="0"/>
        <w:autoSpaceDN w:val="0"/>
        <w:adjustRightInd w:val="0"/>
        <w:spacing w:line="360" w:lineRule="auto"/>
        <w:jc w:val="center"/>
        <w:rPr>
          <w:rFonts w:ascii="宋体" w:hAnsi="宋体" w:cs="宋体"/>
          <w:b/>
          <w:bCs/>
          <w:color w:val="auto"/>
          <w:sz w:val="36"/>
          <w:szCs w:val="36"/>
          <w:highlight w:val="none"/>
          <w:lang w:val="zh-CN"/>
        </w:rPr>
      </w:pPr>
    </w:p>
    <w:p w14:paraId="26174675">
      <w:pPr>
        <w:autoSpaceDE w:val="0"/>
        <w:autoSpaceDN w:val="0"/>
        <w:adjustRightInd w:val="0"/>
        <w:spacing w:line="360" w:lineRule="auto"/>
        <w:jc w:val="center"/>
        <w:rPr>
          <w:rFonts w:ascii="宋体" w:hAnsi="宋体" w:cs="宋体"/>
          <w:b/>
          <w:bCs/>
          <w:color w:val="auto"/>
          <w:sz w:val="36"/>
          <w:szCs w:val="36"/>
          <w:highlight w:val="none"/>
          <w:lang w:val="zh-CN"/>
        </w:rPr>
      </w:pPr>
    </w:p>
    <w:p w14:paraId="39B70777">
      <w:pPr>
        <w:autoSpaceDE w:val="0"/>
        <w:autoSpaceDN w:val="0"/>
        <w:adjustRightInd w:val="0"/>
        <w:spacing w:line="360" w:lineRule="auto"/>
        <w:jc w:val="center"/>
        <w:rPr>
          <w:rFonts w:ascii="宋体" w:hAnsi="宋体" w:cs="宋体"/>
          <w:b/>
          <w:bCs/>
          <w:color w:val="auto"/>
          <w:sz w:val="36"/>
          <w:szCs w:val="36"/>
          <w:highlight w:val="none"/>
          <w:lang w:val="zh-CN"/>
        </w:rPr>
      </w:pPr>
    </w:p>
    <w:p w14:paraId="63E9E0BD">
      <w:pPr>
        <w:autoSpaceDE w:val="0"/>
        <w:autoSpaceDN w:val="0"/>
        <w:adjustRightInd w:val="0"/>
        <w:spacing w:line="360" w:lineRule="auto"/>
        <w:jc w:val="center"/>
        <w:rPr>
          <w:rFonts w:ascii="宋体" w:hAnsi="宋体" w:cs="宋体"/>
          <w:b/>
          <w:bCs/>
          <w:color w:val="auto"/>
          <w:sz w:val="36"/>
          <w:szCs w:val="36"/>
          <w:highlight w:val="none"/>
          <w:lang w:val="zh-CN"/>
        </w:rPr>
      </w:pPr>
    </w:p>
    <w:p w14:paraId="16469EEE">
      <w:pPr>
        <w:autoSpaceDE w:val="0"/>
        <w:autoSpaceDN w:val="0"/>
        <w:adjustRightInd w:val="0"/>
        <w:spacing w:line="360" w:lineRule="auto"/>
        <w:jc w:val="center"/>
        <w:rPr>
          <w:rFonts w:ascii="宋体" w:hAnsi="宋体" w:cs="宋体"/>
          <w:b/>
          <w:bCs/>
          <w:color w:val="auto"/>
          <w:sz w:val="36"/>
          <w:szCs w:val="36"/>
          <w:highlight w:val="none"/>
          <w:lang w:val="zh-CN"/>
        </w:rPr>
      </w:pPr>
    </w:p>
    <w:p w14:paraId="5AB6C345">
      <w:pPr>
        <w:autoSpaceDE w:val="0"/>
        <w:autoSpaceDN w:val="0"/>
        <w:adjustRightInd w:val="0"/>
        <w:snapToGrid w:val="0"/>
        <w:spacing w:line="800" w:lineRule="exact"/>
        <w:jc w:val="center"/>
        <w:outlineLvl w:val="0"/>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第一部分 磋商公告</w:t>
      </w:r>
    </w:p>
    <w:p w14:paraId="275760D0">
      <w:pPr>
        <w:wordWrap w:val="0"/>
        <w:adjustRightInd w:val="0"/>
        <w:snapToGrid w:val="0"/>
        <w:spacing w:line="460" w:lineRule="exact"/>
        <w:ind w:firstLine="560" w:firstLineChars="200"/>
        <w:rPr>
          <w:rFonts w:ascii="宋体" w:hAnsi="宋体" w:cs="宋体"/>
          <w:color w:val="auto"/>
          <w:sz w:val="28"/>
          <w:szCs w:val="28"/>
          <w:highlight w:val="none"/>
          <w:lang w:val="zh-CN"/>
        </w:rPr>
      </w:pPr>
      <w:r>
        <w:rPr>
          <w:rFonts w:hint="eastAsia" w:ascii="宋体" w:hAnsi="宋体" w:cs="宋体"/>
          <w:color w:val="auto"/>
          <w:sz w:val="28"/>
          <w:szCs w:val="28"/>
          <w:highlight w:val="none"/>
        </w:rPr>
        <w:t>受[</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]的委托，江苏中润工程建设咨询有限公司就[</w:t>
      </w:r>
      <w:r>
        <w:rPr>
          <w:rFonts w:hint="eastAsia" w:ascii="宋体" w:hAnsi="宋体" w:cs="宋体"/>
          <w:color w:val="auto"/>
          <w:sz w:val="28"/>
          <w:szCs w:val="28"/>
          <w:highlight w:val="none"/>
          <w:lang w:eastAsia="zh-CN"/>
        </w:rPr>
        <w:t>南通职业大学2026年校区搬迁家具搬运项目</w:t>
      </w:r>
      <w:r>
        <w:rPr>
          <w:rFonts w:hint="eastAsia" w:ascii="宋体" w:hAnsi="宋体" w:cs="宋体"/>
          <w:color w:val="auto"/>
          <w:sz w:val="28"/>
          <w:szCs w:val="28"/>
          <w:highlight w:val="none"/>
        </w:rPr>
        <w:t>](项目编号:FW20260015</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)进行磋商采购，欢迎符合条件的供应商参加磋商。</w:t>
      </w:r>
    </w:p>
    <w:p w14:paraId="4F748BAA">
      <w:pPr>
        <w:pBdr>
          <w:top w:val="single" w:color="auto" w:sz="4" w:space="1"/>
          <w:left w:val="single" w:color="auto" w:sz="4" w:space="1"/>
          <w:bottom w:val="single" w:color="auto" w:sz="4" w:space="1"/>
          <w:right w:val="single" w:color="auto" w:sz="4" w:space="4"/>
        </w:pBd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项目概况</w:t>
      </w:r>
    </w:p>
    <w:p w14:paraId="4AA42A34">
      <w:pPr>
        <w:pBdr>
          <w:top w:val="single" w:color="auto" w:sz="4" w:space="1"/>
          <w:left w:val="single" w:color="auto" w:sz="4" w:space="1"/>
          <w:bottom w:val="single" w:color="auto" w:sz="4" w:space="1"/>
          <w:right w:val="single" w:color="auto" w:sz="4" w:space="4"/>
        </w:pBd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）的（</w:t>
      </w:r>
      <w:r>
        <w:rPr>
          <w:rFonts w:hint="eastAsia" w:ascii="宋体" w:hAnsi="宋体" w:cs="宋体"/>
          <w:color w:val="auto"/>
          <w:sz w:val="28"/>
          <w:szCs w:val="28"/>
          <w:highlight w:val="none"/>
          <w:lang w:eastAsia="zh-CN"/>
        </w:rPr>
        <w:t>南通职业大学2026年校区搬迁家具搬运项目</w:t>
      </w:r>
      <w:r>
        <w:rPr>
          <w:rFonts w:hint="eastAsia" w:ascii="宋体" w:hAnsi="宋体" w:cs="宋体"/>
          <w:color w:val="auto"/>
          <w:sz w:val="28"/>
          <w:szCs w:val="28"/>
          <w:highlight w:val="none"/>
        </w:rPr>
        <w:t>)的潜在供应商应在</w:t>
      </w:r>
      <w:r>
        <w:rPr>
          <w:rFonts w:hint="eastAsia" w:ascii="宋体" w:hAnsi="宋体" w:cs="宋体"/>
          <w:b/>
          <w:bCs/>
          <w:color w:val="auto"/>
          <w:sz w:val="28"/>
          <w:szCs w:val="28"/>
          <w:highlight w:val="none"/>
          <w:u w:val="single"/>
          <w:lang w:val="en-US" w:eastAsia="zh-CN"/>
        </w:rPr>
        <w:t>南通职业大学网站</w:t>
      </w:r>
      <w:r>
        <w:rPr>
          <w:rFonts w:hint="eastAsia" w:ascii="宋体" w:hAnsi="宋体" w:cs="宋体"/>
          <w:color w:val="auto"/>
          <w:sz w:val="28"/>
          <w:szCs w:val="28"/>
          <w:highlight w:val="none"/>
        </w:rPr>
        <w:t>获取采购文件，并于202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13</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09</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0分（北京时间）前提交响应文件。</w:t>
      </w:r>
    </w:p>
    <w:p w14:paraId="24860082">
      <w:pPr>
        <w:widowControl/>
        <w:shd w:val="clear" w:color="auto" w:fill="FFFFFF"/>
        <w:adjustRightInd w:val="0"/>
        <w:snapToGrid w:val="0"/>
        <w:spacing w:line="460" w:lineRule="exact"/>
        <w:ind w:firstLine="590" w:firstLineChars="200"/>
        <w:outlineLvl w:val="1"/>
        <w:rPr>
          <w:rFonts w:ascii="宋体" w:hAnsi="宋体" w:cs="宋体"/>
          <w:b/>
          <w:color w:val="auto"/>
          <w:spacing w:val="7"/>
          <w:kern w:val="0"/>
          <w:sz w:val="28"/>
          <w:szCs w:val="28"/>
          <w:highlight w:val="none"/>
        </w:rPr>
      </w:pPr>
      <w:r>
        <w:rPr>
          <w:rFonts w:hint="eastAsia" w:ascii="宋体" w:hAnsi="宋体" w:cs="宋体"/>
          <w:b/>
          <w:color w:val="auto"/>
          <w:spacing w:val="7"/>
          <w:kern w:val="0"/>
          <w:sz w:val="28"/>
          <w:szCs w:val="28"/>
          <w:highlight w:val="none"/>
        </w:rPr>
        <w:t>一、项目基本情况</w:t>
      </w:r>
    </w:p>
    <w:p w14:paraId="2A8281C6">
      <w:pPr>
        <w:adjustRightInd w:val="0"/>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项目编号：FW20260015</w:t>
      </w:r>
    </w:p>
    <w:p w14:paraId="176FFAF3">
      <w:pPr>
        <w:adjustRightInd w:val="0"/>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lang w:val="en-US" w:eastAsia="zh-CN"/>
        </w:rPr>
        <w:t>:南通职业大学2026年校区搬迁家具搬运项目</w:t>
      </w:r>
    </w:p>
    <w:p w14:paraId="76EAD567">
      <w:pPr>
        <w:adjustRightInd w:val="0"/>
        <w:snapToGrid w:val="0"/>
        <w:spacing w:line="460" w:lineRule="exact"/>
        <w:ind w:firstLine="560" w:firstLineChars="200"/>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rPr>
        <w:t>预算金额：20.7</w:t>
      </w:r>
      <w:r>
        <w:rPr>
          <w:rFonts w:hint="eastAsia" w:ascii="宋体" w:hAnsi="宋体" w:cs="宋体"/>
          <w:color w:val="auto"/>
          <w:sz w:val="28"/>
          <w:szCs w:val="28"/>
          <w:highlight w:val="none"/>
          <w:lang w:val="en-US" w:eastAsia="zh-CN"/>
        </w:rPr>
        <w:t>万元</w:t>
      </w:r>
    </w:p>
    <w:p w14:paraId="4A3B51D8">
      <w:pPr>
        <w:adjustRightInd w:val="0"/>
        <w:snapToGrid w:val="0"/>
        <w:spacing w:line="52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最高限价：20.7</w:t>
      </w:r>
      <w:r>
        <w:rPr>
          <w:rFonts w:hint="eastAsia" w:ascii="宋体" w:hAnsi="宋体" w:eastAsia="宋体" w:cs="宋体"/>
          <w:color w:val="auto"/>
          <w:sz w:val="28"/>
          <w:szCs w:val="28"/>
          <w:highlight w:val="none"/>
        </w:rPr>
        <w:t>万元，</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报价超过最高限价按无效</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处理。</w:t>
      </w:r>
    </w:p>
    <w:p w14:paraId="5429E73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采购需求：具体需求详见本项目磋商文件第三部分。</w:t>
      </w:r>
    </w:p>
    <w:p w14:paraId="396FDAF0">
      <w:pPr>
        <w:adjustRightInd w:val="0"/>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合同履行期限：2026年7月—9月（具体以</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实际需求为准）</w:t>
      </w:r>
      <w:r>
        <w:rPr>
          <w:rFonts w:hint="eastAsia" w:ascii="宋体" w:hAnsi="宋体" w:eastAsia="宋体" w:cs="宋体"/>
          <w:color w:val="auto"/>
          <w:sz w:val="28"/>
          <w:szCs w:val="28"/>
          <w:highlight w:val="none"/>
        </w:rPr>
        <w:t>。</w:t>
      </w:r>
    </w:p>
    <w:p w14:paraId="69A8F60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本项目是否接受联合体投标：否。</w:t>
      </w:r>
    </w:p>
    <w:p w14:paraId="2C772060">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二、供应商的资格要求：</w:t>
      </w:r>
    </w:p>
    <w:p w14:paraId="2DDD0752">
      <w:pPr>
        <w:adjustRightInd w:val="0"/>
        <w:snapToGrid w:val="0"/>
        <w:spacing w:line="460" w:lineRule="exact"/>
        <w:ind w:firstLine="560" w:firstLineChars="200"/>
        <w:outlineLvl w:val="1"/>
        <w:rPr>
          <w:rFonts w:ascii="宋体" w:hAnsi="宋体" w:cs="宋体"/>
          <w:color w:val="auto"/>
          <w:sz w:val="28"/>
          <w:szCs w:val="28"/>
          <w:highlight w:val="none"/>
        </w:rPr>
      </w:pPr>
      <w:r>
        <w:rPr>
          <w:rFonts w:hint="eastAsia" w:ascii="宋体" w:hAnsi="宋体" w:cs="宋体"/>
          <w:color w:val="auto"/>
          <w:sz w:val="28"/>
          <w:szCs w:val="28"/>
          <w:highlight w:val="none"/>
        </w:rPr>
        <w:t>1.具有独立承担民事责任的能力；具有良好的商业信誉和健全的财务会计制度；具有履行合同所必需的设备和专业</w:t>
      </w:r>
      <w:r>
        <w:rPr>
          <w:rFonts w:hint="eastAsia" w:ascii="宋体" w:hAnsi="宋体" w:cs="宋体"/>
          <w:color w:val="auto"/>
          <w:sz w:val="28"/>
          <w:szCs w:val="28"/>
          <w:highlight w:val="none"/>
          <w:lang w:val="zh-CN"/>
        </w:rPr>
        <w:t>技术能力；</w:t>
      </w:r>
      <w:r>
        <w:rPr>
          <w:rFonts w:hint="eastAsia" w:ascii="宋体" w:hAnsi="宋体" w:cs="宋体"/>
          <w:color w:val="auto"/>
          <w:sz w:val="28"/>
          <w:szCs w:val="28"/>
          <w:highlight w:val="none"/>
        </w:rPr>
        <w:t>具</w:t>
      </w:r>
      <w:r>
        <w:rPr>
          <w:rFonts w:hint="eastAsia" w:ascii="宋体" w:hAnsi="宋体" w:cs="宋体"/>
          <w:color w:val="auto"/>
          <w:sz w:val="28"/>
          <w:szCs w:val="28"/>
          <w:highlight w:val="none"/>
          <w:lang w:val="zh-CN"/>
        </w:rPr>
        <w:t>有依法缴纳税收和社会保障资金的良好记录；参加本次采购活动前三年内，在经营活动中没有重大违法记录；</w:t>
      </w:r>
    </w:p>
    <w:p w14:paraId="7162C507">
      <w:pPr>
        <w:adjustRightInd w:val="0"/>
        <w:snapToGrid w:val="0"/>
        <w:spacing w:line="460" w:lineRule="exact"/>
        <w:ind w:firstLine="560" w:firstLineChars="200"/>
        <w:outlineLvl w:val="1"/>
        <w:rPr>
          <w:rFonts w:ascii="宋体" w:hAnsi="宋体" w:cs="宋体"/>
          <w:color w:val="auto"/>
          <w:sz w:val="28"/>
          <w:szCs w:val="28"/>
          <w:highlight w:val="none"/>
        </w:rPr>
      </w:pPr>
      <w:r>
        <w:rPr>
          <w:rFonts w:hint="eastAsia" w:ascii="宋体" w:hAnsi="宋体" w:cs="宋体"/>
          <w:color w:val="auto"/>
          <w:sz w:val="28"/>
          <w:szCs w:val="28"/>
          <w:highlight w:val="none"/>
        </w:rPr>
        <w:t>2.未被“信用中国”网站列入失信被执行人、重大税收违法案件当事人名单、采购严重违法失信行为记录名单；</w:t>
      </w:r>
    </w:p>
    <w:p w14:paraId="27900193">
      <w:pPr>
        <w:adjustRightInd w:val="0"/>
        <w:snapToGrid w:val="0"/>
        <w:spacing w:line="460" w:lineRule="exact"/>
        <w:ind w:firstLine="560" w:firstLineChars="200"/>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提供具有有效的营业执照；</w:t>
      </w:r>
    </w:p>
    <w:p w14:paraId="1EBA0A6B">
      <w:pPr>
        <w:adjustRightInd w:val="0"/>
        <w:snapToGrid w:val="0"/>
        <w:spacing w:line="460" w:lineRule="exact"/>
        <w:ind w:firstLine="560" w:firstLineChars="200"/>
        <w:outlineLvl w:val="1"/>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.法律、行政法规规定的其他条件。</w:t>
      </w:r>
    </w:p>
    <w:p w14:paraId="261C4FFE">
      <w:pPr>
        <w:adjustRightInd w:val="0"/>
        <w:snapToGrid w:val="0"/>
        <w:spacing w:line="460" w:lineRule="exact"/>
        <w:ind w:firstLine="562" w:firstLineChars="200"/>
        <w:outlineLvl w:val="1"/>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注：</w:t>
      </w:r>
      <w:r>
        <w:rPr>
          <w:rFonts w:hint="eastAsia" w:ascii="宋体" w:hAnsi="宋体" w:cs="宋体"/>
          <w:b/>
          <w:color w:val="auto"/>
          <w:sz w:val="28"/>
          <w:szCs w:val="28"/>
          <w:highlight w:val="none"/>
        </w:rPr>
        <w:t>在开标现场，将由</w:t>
      </w:r>
      <w:r>
        <w:rPr>
          <w:rFonts w:hint="eastAsia" w:ascii="宋体" w:hAnsi="宋体" w:cs="宋体"/>
          <w:b/>
          <w:color w:val="auto"/>
          <w:sz w:val="28"/>
          <w:szCs w:val="28"/>
          <w:highlight w:val="none"/>
          <w:lang w:val="en-US" w:eastAsia="zh-CN"/>
        </w:rPr>
        <w:t>采购</w:t>
      </w:r>
      <w:r>
        <w:rPr>
          <w:rFonts w:hint="eastAsia" w:ascii="宋体" w:hAnsi="宋体" w:cs="宋体"/>
          <w:b/>
          <w:color w:val="auto"/>
          <w:sz w:val="28"/>
          <w:szCs w:val="28"/>
          <w:highlight w:val="none"/>
        </w:rPr>
        <w:t>人或代理</w:t>
      </w:r>
      <w:r>
        <w:rPr>
          <w:rFonts w:hint="eastAsia" w:ascii="宋体" w:hAnsi="宋体" w:cs="宋体"/>
          <w:b/>
          <w:color w:val="auto"/>
          <w:sz w:val="28"/>
          <w:szCs w:val="28"/>
          <w:highlight w:val="none"/>
          <w:lang w:val="en-US" w:eastAsia="zh-CN"/>
        </w:rPr>
        <w:t>机构</w:t>
      </w:r>
      <w:r>
        <w:rPr>
          <w:rFonts w:hint="eastAsia" w:ascii="宋体" w:hAnsi="宋体" w:cs="宋体"/>
          <w:b/>
          <w:color w:val="auto"/>
          <w:sz w:val="28"/>
          <w:szCs w:val="28"/>
          <w:highlight w:val="none"/>
        </w:rPr>
        <w:t>通过“天眼查或企查查”查询</w:t>
      </w:r>
      <w:r>
        <w:rPr>
          <w:rFonts w:hint="eastAsia" w:ascii="宋体" w:hAnsi="宋体" w:cs="宋体"/>
          <w:b/>
          <w:color w:val="auto"/>
          <w:sz w:val="28"/>
          <w:szCs w:val="28"/>
          <w:highlight w:val="none"/>
          <w:lang w:val="en-US" w:eastAsia="zh-CN"/>
        </w:rPr>
        <w:t>供应商</w:t>
      </w:r>
      <w:r>
        <w:rPr>
          <w:rFonts w:hint="eastAsia" w:ascii="宋体" w:hAnsi="宋体" w:cs="宋体"/>
          <w:b/>
          <w:color w:val="auto"/>
          <w:sz w:val="28"/>
          <w:szCs w:val="28"/>
          <w:highlight w:val="none"/>
        </w:rPr>
        <w:t>之间是否存在法定关联性关系。若存在法定关联性关系将按无效</w:t>
      </w:r>
      <w:r>
        <w:rPr>
          <w:rFonts w:hint="eastAsia" w:ascii="宋体" w:hAnsi="宋体" w:cs="宋体"/>
          <w:b/>
          <w:color w:val="auto"/>
          <w:sz w:val="28"/>
          <w:szCs w:val="28"/>
          <w:highlight w:val="none"/>
          <w:lang w:eastAsia="zh-CN"/>
        </w:rPr>
        <w:t>响应</w:t>
      </w:r>
      <w:r>
        <w:rPr>
          <w:rFonts w:hint="eastAsia" w:ascii="宋体" w:hAnsi="宋体" w:cs="宋体"/>
          <w:b/>
          <w:color w:val="auto"/>
          <w:sz w:val="28"/>
          <w:szCs w:val="28"/>
          <w:highlight w:val="none"/>
        </w:rPr>
        <w:t>处理。查询结果留存归档。</w:t>
      </w:r>
    </w:p>
    <w:p w14:paraId="0483A470">
      <w:pPr>
        <w:adjustRightInd w:val="0"/>
        <w:snapToGrid w:val="0"/>
        <w:spacing w:line="460" w:lineRule="exact"/>
        <w:ind w:firstLine="562" w:firstLineChars="200"/>
        <w:outlineLvl w:val="1"/>
        <w:rPr>
          <w:rFonts w:ascii="宋体" w:hAnsi="宋体" w:cs="宋体"/>
          <w:color w:val="auto"/>
          <w:sz w:val="28"/>
          <w:szCs w:val="28"/>
          <w:highlight w:val="none"/>
        </w:rPr>
      </w:pPr>
      <w:r>
        <w:rPr>
          <w:rFonts w:hint="eastAsia" w:ascii="宋体" w:hAnsi="宋体" w:cs="宋体"/>
          <w:b/>
          <w:color w:val="auto"/>
          <w:sz w:val="28"/>
          <w:szCs w:val="28"/>
          <w:highlight w:val="none"/>
        </w:rPr>
        <w:t>三、</w:t>
      </w:r>
      <w:r>
        <w:rPr>
          <w:rFonts w:hint="eastAsia" w:ascii="宋体" w:hAnsi="宋体" w:cs="宋体"/>
          <w:b/>
          <w:color w:val="auto"/>
          <w:sz w:val="28"/>
          <w:szCs w:val="28"/>
          <w:highlight w:val="none"/>
          <w:lang w:val="en-US" w:eastAsia="zh-CN"/>
        </w:rPr>
        <w:t>采购文件获取</w:t>
      </w:r>
    </w:p>
    <w:p w14:paraId="1EA7B8CE">
      <w:pPr>
        <w:snapToGrid w:val="0"/>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时间：202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日至202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13</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09</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0分（北京时间）</w:t>
      </w:r>
    </w:p>
    <w:p w14:paraId="1EB61547">
      <w:pPr>
        <w:adjustRightInd w:val="0"/>
        <w:snapToGrid w:val="0"/>
        <w:spacing w:line="460" w:lineRule="exact"/>
        <w:ind w:firstLine="560" w:firstLineChars="200"/>
        <w:outlineLvl w:val="1"/>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rPr>
        <w:t>地点：</w:t>
      </w:r>
      <w:r>
        <w:rPr>
          <w:rFonts w:hint="eastAsia" w:ascii="宋体" w:hAnsi="宋体" w:cs="宋体"/>
          <w:b w:val="0"/>
          <w:bCs/>
          <w:color w:val="auto"/>
          <w:sz w:val="28"/>
          <w:szCs w:val="28"/>
          <w:highlight w:val="none"/>
          <w:lang w:eastAsia="zh-CN"/>
        </w:rPr>
        <w:t>南通职业大学网站</w:t>
      </w:r>
    </w:p>
    <w:p w14:paraId="0BC57533">
      <w:pPr>
        <w:adjustRightInd w:val="0"/>
        <w:snapToGrid w:val="0"/>
        <w:spacing w:line="460" w:lineRule="exact"/>
        <w:ind w:firstLine="560" w:firstLineChars="200"/>
        <w:outlineLvl w:val="1"/>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rPr>
        <w:t>方式：</w:t>
      </w:r>
      <w:r>
        <w:rPr>
          <w:rFonts w:hint="eastAsia" w:ascii="宋体" w:hAnsi="宋体" w:cs="宋体"/>
          <w:b w:val="0"/>
          <w:bCs/>
          <w:color w:val="auto"/>
          <w:sz w:val="28"/>
          <w:szCs w:val="28"/>
          <w:highlight w:val="none"/>
          <w:lang w:val="en-US" w:eastAsia="zh-CN"/>
        </w:rPr>
        <w:t>自行下载</w:t>
      </w:r>
    </w:p>
    <w:p w14:paraId="28194F6C">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四、提交响应文件截止时间、磋商时间和地点</w:t>
      </w:r>
    </w:p>
    <w:p w14:paraId="57E38A8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13</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09</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0分（北京时间），逾时，采购人将拒绝接受磋商响应文件。</w:t>
      </w:r>
    </w:p>
    <w:p w14:paraId="7BC6AD24">
      <w:pPr>
        <w:adjustRightInd w:val="0"/>
        <w:snapToGrid w:val="0"/>
        <w:spacing w:line="460" w:lineRule="exact"/>
        <w:ind w:firstLine="560" w:firstLineChars="200"/>
        <w:rPr>
          <w:rFonts w:ascii="宋体" w:hAnsi="宋体" w:cs="宋体"/>
          <w:i/>
          <w:color w:val="auto"/>
          <w:sz w:val="28"/>
          <w:szCs w:val="28"/>
          <w:highlight w:val="none"/>
          <w:u w:val="single"/>
        </w:rPr>
      </w:pPr>
      <w:r>
        <w:rPr>
          <w:rFonts w:hint="eastAsia" w:ascii="宋体" w:hAnsi="宋体" w:cs="宋体"/>
          <w:color w:val="auto"/>
          <w:sz w:val="28"/>
          <w:szCs w:val="28"/>
          <w:highlight w:val="none"/>
        </w:rPr>
        <w:t>地点：</w:t>
      </w:r>
      <w:r>
        <w:rPr>
          <w:rFonts w:hint="eastAsia" w:ascii="宋体" w:hAnsi="宋体" w:cs="宋体"/>
          <w:color w:val="auto"/>
          <w:sz w:val="28"/>
          <w:szCs w:val="28"/>
          <w:highlight w:val="none"/>
          <w:lang w:eastAsia="zh-CN"/>
        </w:rPr>
        <w:t>南通职业大学青年中路校区主楼1401室</w:t>
      </w:r>
      <w:r>
        <w:rPr>
          <w:rFonts w:hint="eastAsia" w:ascii="宋体" w:hAnsi="宋体" w:cs="宋体"/>
          <w:color w:val="auto"/>
          <w:sz w:val="28"/>
          <w:szCs w:val="28"/>
          <w:highlight w:val="none"/>
        </w:rPr>
        <w:t>，如有变动另行通知。</w:t>
      </w:r>
    </w:p>
    <w:p w14:paraId="69128977">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五、公告期限</w:t>
      </w:r>
    </w:p>
    <w:p w14:paraId="6CBF49B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自本公告发布之日起</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个工作日。</w:t>
      </w:r>
    </w:p>
    <w:p w14:paraId="2826DDC8">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六、其他补充事宜</w:t>
      </w:r>
    </w:p>
    <w:p w14:paraId="198F4D4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1.投标保证金：免收</w:t>
      </w:r>
    </w:p>
    <w:p w14:paraId="30D11A1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2.项目磋商活动模式：见面磋商模式，供应商在</w:t>
      </w:r>
      <w:r>
        <w:rPr>
          <w:rFonts w:hint="eastAsia" w:ascii="宋体" w:hAnsi="宋体" w:cs="宋体"/>
          <w:color w:val="auto"/>
          <w:sz w:val="28"/>
          <w:szCs w:val="28"/>
          <w:highlight w:val="none"/>
          <w:lang w:eastAsia="zh-CN"/>
        </w:rPr>
        <w:t>南通职业大学青年中路校区主楼1401室</w:t>
      </w:r>
      <w:r>
        <w:rPr>
          <w:rFonts w:hint="eastAsia" w:ascii="宋体" w:hAnsi="宋体" w:cs="宋体"/>
          <w:color w:val="auto"/>
          <w:sz w:val="28"/>
          <w:szCs w:val="28"/>
          <w:highlight w:val="none"/>
        </w:rPr>
        <w:t>参加磋商活动。</w:t>
      </w:r>
    </w:p>
    <w:p w14:paraId="3C47557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3.项目演示、样品：无。</w:t>
      </w:r>
    </w:p>
    <w:p w14:paraId="6EDD99E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4.对项目需求部分（供应商资格要求、项目需求、商务技术评分标准）的询问、质疑请向采购人提出，由采购人负责答复；对项目磋商文件</w:t>
      </w:r>
      <w:r>
        <w:rPr>
          <w:rFonts w:hint="eastAsia" w:ascii="宋体" w:hAnsi="宋体" w:cs="宋体"/>
          <w:color w:val="auto"/>
          <w:sz w:val="28"/>
          <w:szCs w:val="28"/>
          <w:highlight w:val="none"/>
          <w:lang w:eastAsia="zh-CN"/>
        </w:rPr>
        <w:t>其他部分</w:t>
      </w:r>
      <w:r>
        <w:rPr>
          <w:rFonts w:hint="eastAsia" w:ascii="宋体" w:hAnsi="宋体" w:cs="宋体"/>
          <w:color w:val="auto"/>
          <w:sz w:val="28"/>
          <w:szCs w:val="28"/>
          <w:highlight w:val="none"/>
        </w:rPr>
        <w:t>的询问请向磋商文件制作人或项目磋商经办人提出。</w:t>
      </w:r>
    </w:p>
    <w:p w14:paraId="621F47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供应商应依照规定提交各类声明函、承诺函，不再同时提供原件备查或提供有关部门出具的相关证明文件。但成交供应商应做好提交声明函、承诺函、认证、业绩相应原件的核查准备；核查后发现虚假或违背承诺的，依照相关法律法规规定处理。</w:t>
      </w:r>
    </w:p>
    <w:p w14:paraId="13A5C8C0">
      <w:pPr>
        <w:widowControl/>
        <w:shd w:val="clear" w:color="auto" w:fill="FFFFFF"/>
        <w:adjustRightInd w:val="0"/>
        <w:snapToGrid w:val="0"/>
        <w:spacing w:line="460" w:lineRule="exact"/>
        <w:ind w:firstLine="590" w:firstLineChars="200"/>
        <w:outlineLvl w:val="1"/>
        <w:rPr>
          <w:rFonts w:ascii="宋体" w:hAnsi="宋体" w:cs="宋体"/>
          <w:b/>
          <w:color w:val="auto"/>
          <w:spacing w:val="7"/>
          <w:kern w:val="0"/>
          <w:sz w:val="28"/>
          <w:szCs w:val="28"/>
          <w:highlight w:val="none"/>
        </w:rPr>
      </w:pPr>
      <w:r>
        <w:rPr>
          <w:rFonts w:hint="eastAsia" w:ascii="宋体" w:hAnsi="宋体" w:cs="宋体"/>
          <w:b/>
          <w:color w:val="auto"/>
          <w:spacing w:val="7"/>
          <w:kern w:val="0"/>
          <w:sz w:val="28"/>
          <w:szCs w:val="28"/>
          <w:highlight w:val="none"/>
        </w:rPr>
        <w:t>七、凡对本次采购提出询问，请按以下方式联系。</w:t>
      </w:r>
    </w:p>
    <w:p w14:paraId="66E046B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1.采购人信息</w:t>
      </w:r>
    </w:p>
    <w:p w14:paraId="38382800">
      <w:pPr>
        <w:widowControl/>
        <w:shd w:val="clear" w:color="auto" w:fill="FFFFFF"/>
        <w:adjustRightInd w:val="0"/>
        <w:snapToGrid w:val="0"/>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名称：</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　　　　　　　　　　　　</w:t>
      </w:r>
    </w:p>
    <w:p w14:paraId="638A2A80">
      <w:pPr>
        <w:shd w:val="clear"/>
        <w:adjustRightInd w:val="0"/>
        <w:snapToGrid w:val="0"/>
        <w:spacing w:line="460" w:lineRule="exact"/>
        <w:ind w:firstLine="560" w:firstLineChars="200"/>
        <w:jc w:val="lef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地址：</w:t>
      </w:r>
      <w:r>
        <w:rPr>
          <w:rFonts w:hint="eastAsia" w:ascii="宋体" w:hAnsi="宋体" w:eastAsia="宋体" w:cs="宋体"/>
          <w:color w:val="auto"/>
          <w:spacing w:val="7"/>
          <w:sz w:val="28"/>
          <w:szCs w:val="28"/>
          <w:highlight w:val="none"/>
        </w:rPr>
        <w:t>江苏省南通市青年中路89号  </w:t>
      </w:r>
    </w:p>
    <w:p w14:paraId="30972723">
      <w:pPr>
        <w:shd w:val="clear"/>
        <w:adjustRightInd w:val="0"/>
        <w:snapToGrid w:val="0"/>
        <w:spacing w:line="46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w:t>
      </w:r>
      <w:r>
        <w:rPr>
          <w:rFonts w:hint="eastAsia" w:ascii="宋体" w:hAnsi="宋体" w:cs="宋体"/>
          <w:color w:val="auto"/>
          <w:spacing w:val="7"/>
          <w:sz w:val="28"/>
          <w:szCs w:val="28"/>
          <w:highlight w:val="none"/>
        </w:rPr>
        <w:t>顾老师</w:t>
      </w:r>
    </w:p>
    <w:p w14:paraId="6CFADCDB">
      <w:pPr>
        <w:shd w:val="clear"/>
        <w:adjustRightInd w:val="0"/>
        <w:snapToGrid w:val="0"/>
        <w:spacing w:line="460" w:lineRule="exact"/>
        <w:ind w:firstLine="560" w:firstLineChars="200"/>
        <w:jc w:val="lef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联系方式：</w:t>
      </w:r>
      <w:r>
        <w:rPr>
          <w:rFonts w:hint="eastAsia" w:ascii="宋体" w:hAnsi="宋体" w:cs="宋体"/>
          <w:color w:val="auto"/>
          <w:spacing w:val="7"/>
          <w:sz w:val="28"/>
          <w:szCs w:val="28"/>
          <w:highlight w:val="none"/>
        </w:rPr>
        <w:t>15862744812</w:t>
      </w:r>
    </w:p>
    <w:p w14:paraId="16A630F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2.采购代理机构信息</w:t>
      </w:r>
    </w:p>
    <w:p w14:paraId="28F3E23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名称：江苏中润工程建设咨询有限公司</w:t>
      </w:r>
    </w:p>
    <w:p w14:paraId="0ED1120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地址：南通市崇川路58号南通产业技术研究院9号楼1004室</w:t>
      </w:r>
    </w:p>
    <w:p w14:paraId="0F78F60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联系</w:t>
      </w:r>
      <w:r>
        <w:rPr>
          <w:rFonts w:hint="eastAsia" w:ascii="宋体" w:hAnsi="宋体" w:cs="宋体"/>
          <w:color w:val="auto"/>
          <w:sz w:val="28"/>
          <w:szCs w:val="28"/>
          <w:highlight w:val="none"/>
          <w:lang w:val="en-US" w:eastAsia="zh-CN"/>
        </w:rPr>
        <w:t>人</w:t>
      </w:r>
      <w:r>
        <w:rPr>
          <w:rFonts w:hint="eastAsia" w:ascii="宋体" w:hAnsi="宋体" w:cs="宋体"/>
          <w:color w:val="auto"/>
          <w:sz w:val="28"/>
          <w:szCs w:val="28"/>
          <w:highlight w:val="none"/>
        </w:rPr>
        <w:t xml:space="preserve">：王  工 </w:t>
      </w:r>
    </w:p>
    <w:p w14:paraId="5E5C66D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联系方式：</w:t>
      </w:r>
      <w:r>
        <w:rPr>
          <w:rFonts w:hint="eastAsia" w:ascii="宋体" w:hAnsi="宋体" w:cs="宋体"/>
          <w:color w:val="auto"/>
          <w:sz w:val="28"/>
          <w:szCs w:val="28"/>
          <w:highlight w:val="none"/>
        </w:rPr>
        <w:t>0513-55887688   13906272111</w:t>
      </w:r>
    </w:p>
    <w:p w14:paraId="223B94C2">
      <w:pPr>
        <w:adjustRightInd w:val="0"/>
        <w:snapToGrid w:val="0"/>
        <w:spacing w:line="360" w:lineRule="auto"/>
        <w:jc w:val="center"/>
        <w:outlineLvl w:val="0"/>
        <w:rPr>
          <w:rFonts w:ascii="宋体" w:hAnsi="宋体" w:cs="宋体"/>
          <w:bCs/>
          <w:color w:val="auto"/>
          <w:sz w:val="36"/>
          <w:szCs w:val="36"/>
          <w:highlight w:val="none"/>
        </w:rPr>
      </w:pPr>
    </w:p>
    <w:p w14:paraId="12FE1FA6">
      <w:pPr>
        <w:adjustRightInd w:val="0"/>
        <w:snapToGrid w:val="0"/>
        <w:spacing w:line="360" w:lineRule="auto"/>
        <w:jc w:val="center"/>
        <w:outlineLvl w:val="0"/>
        <w:rPr>
          <w:rFonts w:ascii="宋体" w:hAnsi="宋体" w:cs="宋体"/>
          <w:bCs/>
          <w:color w:val="auto"/>
          <w:sz w:val="36"/>
          <w:szCs w:val="36"/>
          <w:highlight w:val="none"/>
        </w:rPr>
      </w:pPr>
    </w:p>
    <w:p w14:paraId="37DEF453">
      <w:pPr>
        <w:adjustRightInd w:val="0"/>
        <w:snapToGrid w:val="0"/>
        <w:spacing w:line="360" w:lineRule="auto"/>
        <w:jc w:val="center"/>
        <w:outlineLvl w:val="0"/>
        <w:rPr>
          <w:rFonts w:ascii="宋体" w:hAnsi="宋体" w:cs="宋体"/>
          <w:bCs/>
          <w:color w:val="auto"/>
          <w:sz w:val="36"/>
          <w:szCs w:val="36"/>
          <w:highlight w:val="none"/>
        </w:rPr>
      </w:pPr>
    </w:p>
    <w:p w14:paraId="370458FF">
      <w:pPr>
        <w:adjustRightInd w:val="0"/>
        <w:snapToGrid w:val="0"/>
        <w:spacing w:line="360" w:lineRule="auto"/>
        <w:jc w:val="center"/>
        <w:outlineLvl w:val="0"/>
        <w:rPr>
          <w:rFonts w:ascii="宋体" w:hAnsi="宋体" w:cs="宋体"/>
          <w:bCs/>
          <w:color w:val="auto"/>
          <w:sz w:val="36"/>
          <w:szCs w:val="36"/>
          <w:highlight w:val="none"/>
        </w:rPr>
      </w:pPr>
    </w:p>
    <w:p w14:paraId="0389CD97">
      <w:pPr>
        <w:adjustRightInd w:val="0"/>
        <w:snapToGrid w:val="0"/>
        <w:spacing w:line="360" w:lineRule="auto"/>
        <w:jc w:val="center"/>
        <w:outlineLvl w:val="0"/>
        <w:rPr>
          <w:rFonts w:ascii="宋体" w:hAnsi="宋体" w:cs="宋体"/>
          <w:bCs/>
          <w:color w:val="auto"/>
          <w:sz w:val="36"/>
          <w:szCs w:val="36"/>
          <w:highlight w:val="none"/>
        </w:rPr>
      </w:pPr>
    </w:p>
    <w:p w14:paraId="6F98A37C">
      <w:pPr>
        <w:adjustRightInd w:val="0"/>
        <w:snapToGrid w:val="0"/>
        <w:spacing w:line="360" w:lineRule="auto"/>
        <w:jc w:val="center"/>
        <w:outlineLvl w:val="0"/>
        <w:rPr>
          <w:rFonts w:ascii="宋体" w:hAnsi="宋体" w:cs="宋体"/>
          <w:bCs/>
          <w:color w:val="auto"/>
          <w:sz w:val="36"/>
          <w:szCs w:val="36"/>
          <w:highlight w:val="none"/>
        </w:rPr>
      </w:pPr>
    </w:p>
    <w:p w14:paraId="712A3F89">
      <w:pPr>
        <w:adjustRightInd w:val="0"/>
        <w:snapToGrid w:val="0"/>
        <w:spacing w:line="360" w:lineRule="auto"/>
        <w:jc w:val="center"/>
        <w:outlineLvl w:val="0"/>
        <w:rPr>
          <w:rFonts w:ascii="宋体" w:hAnsi="宋体" w:cs="宋体"/>
          <w:bCs/>
          <w:color w:val="auto"/>
          <w:sz w:val="36"/>
          <w:szCs w:val="36"/>
          <w:highlight w:val="none"/>
        </w:rPr>
      </w:pPr>
    </w:p>
    <w:p w14:paraId="12FF7444">
      <w:pPr>
        <w:adjustRightInd w:val="0"/>
        <w:snapToGrid w:val="0"/>
        <w:spacing w:line="360" w:lineRule="auto"/>
        <w:outlineLvl w:val="0"/>
        <w:rPr>
          <w:rFonts w:ascii="宋体" w:hAnsi="宋体" w:cs="宋体"/>
          <w:bCs/>
          <w:color w:val="auto"/>
          <w:sz w:val="36"/>
          <w:szCs w:val="36"/>
          <w:highlight w:val="none"/>
        </w:rPr>
      </w:pPr>
    </w:p>
    <w:p w14:paraId="5E6FF6C5">
      <w:pPr>
        <w:adjustRightInd w:val="0"/>
        <w:snapToGrid w:val="0"/>
        <w:spacing w:line="360" w:lineRule="auto"/>
        <w:jc w:val="center"/>
        <w:outlineLvl w:val="0"/>
        <w:rPr>
          <w:rFonts w:ascii="宋体" w:hAnsi="宋体" w:cs="宋体"/>
          <w:bCs/>
          <w:color w:val="auto"/>
          <w:sz w:val="36"/>
          <w:szCs w:val="36"/>
          <w:highlight w:val="none"/>
        </w:rPr>
      </w:pPr>
    </w:p>
    <w:p w14:paraId="253F7526">
      <w:pPr>
        <w:adjustRightInd w:val="0"/>
        <w:snapToGrid w:val="0"/>
        <w:spacing w:line="360" w:lineRule="auto"/>
        <w:jc w:val="center"/>
        <w:outlineLvl w:val="0"/>
        <w:rPr>
          <w:rFonts w:ascii="宋体" w:hAnsi="宋体" w:cs="宋体"/>
          <w:bCs/>
          <w:color w:val="auto"/>
          <w:sz w:val="36"/>
          <w:szCs w:val="36"/>
          <w:highlight w:val="none"/>
        </w:rPr>
      </w:pPr>
    </w:p>
    <w:p w14:paraId="721C34BE">
      <w:pPr>
        <w:adjustRightInd w:val="0"/>
        <w:snapToGrid w:val="0"/>
        <w:spacing w:line="360" w:lineRule="auto"/>
        <w:jc w:val="center"/>
        <w:outlineLvl w:val="0"/>
        <w:rPr>
          <w:rFonts w:ascii="宋体" w:hAnsi="宋体" w:cs="宋体"/>
          <w:bCs/>
          <w:color w:val="auto"/>
          <w:sz w:val="36"/>
          <w:szCs w:val="36"/>
          <w:highlight w:val="none"/>
        </w:rPr>
      </w:pPr>
      <w:r>
        <w:rPr>
          <w:rFonts w:hint="eastAsia" w:ascii="宋体" w:hAnsi="宋体" w:cs="宋体"/>
          <w:bCs/>
          <w:color w:val="auto"/>
          <w:sz w:val="36"/>
          <w:szCs w:val="36"/>
          <w:highlight w:val="none"/>
        </w:rPr>
        <w:br w:type="page"/>
      </w:r>
      <w:r>
        <w:rPr>
          <w:rFonts w:hint="eastAsia" w:ascii="宋体" w:hAnsi="宋体" w:cs="宋体"/>
          <w:bCs/>
          <w:color w:val="auto"/>
          <w:sz w:val="36"/>
          <w:szCs w:val="36"/>
          <w:highlight w:val="none"/>
        </w:rPr>
        <w:t>第二部分 磋商须知</w:t>
      </w:r>
    </w:p>
    <w:p w14:paraId="64CE3916">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0" w:name="_Toc16938519"/>
      <w:bookmarkStart w:id="1" w:name="_Toc20823275"/>
      <w:bookmarkStart w:id="2" w:name="_Toc120614214"/>
      <w:bookmarkStart w:id="3" w:name="_Toc513029203"/>
      <w:r>
        <w:rPr>
          <w:rFonts w:hint="eastAsia" w:ascii="宋体" w:hAnsi="宋体" w:cs="宋体"/>
          <w:b/>
          <w:bCs/>
          <w:color w:val="auto"/>
          <w:kern w:val="0"/>
          <w:sz w:val="28"/>
          <w:szCs w:val="28"/>
          <w:highlight w:val="none"/>
        </w:rPr>
        <w:t>一、总则</w:t>
      </w:r>
      <w:bookmarkEnd w:id="0"/>
      <w:bookmarkEnd w:id="1"/>
      <w:bookmarkEnd w:id="2"/>
      <w:bookmarkEnd w:id="3"/>
    </w:p>
    <w:p w14:paraId="79929857">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 w:name="_Hlt16619475"/>
      <w:bookmarkEnd w:id="4"/>
      <w:bookmarkStart w:id="5" w:name="_Toc458694821"/>
      <w:bookmarkStart w:id="6" w:name="_Toc513029204"/>
      <w:bookmarkStart w:id="7" w:name="_Toc20823276"/>
      <w:bookmarkStart w:id="8" w:name="_Toc16938520"/>
      <w:r>
        <w:rPr>
          <w:rFonts w:hint="eastAsia" w:ascii="宋体" w:hAnsi="宋体" w:cs="宋体"/>
          <w:color w:val="auto"/>
          <w:kern w:val="0"/>
          <w:sz w:val="28"/>
          <w:szCs w:val="28"/>
          <w:highlight w:val="none"/>
        </w:rPr>
        <w:t>1</w:t>
      </w:r>
      <w:bookmarkEnd w:id="5"/>
      <w:r>
        <w:rPr>
          <w:rFonts w:hint="eastAsia" w:ascii="宋体" w:hAnsi="宋体" w:cs="宋体"/>
          <w:color w:val="auto"/>
          <w:kern w:val="0"/>
          <w:sz w:val="28"/>
          <w:szCs w:val="28"/>
          <w:highlight w:val="none"/>
        </w:rPr>
        <w:t>.采购方式</w:t>
      </w:r>
      <w:bookmarkEnd w:id="6"/>
      <w:bookmarkEnd w:id="7"/>
      <w:bookmarkEnd w:id="8"/>
    </w:p>
    <w:p w14:paraId="7EA96C8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1.1 本次采取磋商方式，本磋商文件仅适用于磋商公告中所述项目。</w:t>
      </w:r>
    </w:p>
    <w:p w14:paraId="4F0147E3">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9" w:name="_Toc16938521"/>
      <w:bookmarkStart w:id="10" w:name="_Toc513029205"/>
      <w:bookmarkStart w:id="11" w:name="_Toc20823277"/>
      <w:r>
        <w:rPr>
          <w:rFonts w:hint="eastAsia" w:ascii="宋体" w:hAnsi="宋体" w:cs="宋体"/>
          <w:color w:val="auto"/>
          <w:kern w:val="0"/>
          <w:sz w:val="28"/>
          <w:szCs w:val="28"/>
          <w:highlight w:val="none"/>
        </w:rPr>
        <w:t>2.合格的</w:t>
      </w:r>
      <w:bookmarkEnd w:id="9"/>
      <w:bookmarkEnd w:id="10"/>
      <w:bookmarkEnd w:id="11"/>
      <w:r>
        <w:rPr>
          <w:rFonts w:hint="eastAsia" w:ascii="宋体" w:hAnsi="宋体" w:cs="宋体"/>
          <w:color w:val="auto"/>
          <w:kern w:val="0"/>
          <w:sz w:val="28"/>
          <w:szCs w:val="28"/>
          <w:highlight w:val="none"/>
        </w:rPr>
        <w:t>供应商</w:t>
      </w:r>
    </w:p>
    <w:p w14:paraId="0DDAD78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2.1满足磋商公告中供应商的资格要求的规定。</w:t>
      </w:r>
    </w:p>
    <w:p w14:paraId="6A32201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 满足本文件实质性条款的规定。</w:t>
      </w:r>
    </w:p>
    <w:p w14:paraId="65930D0F">
      <w:pPr>
        <w:keepNext/>
        <w:adjustRightInd w:val="0"/>
        <w:snapToGrid w:val="0"/>
        <w:spacing w:line="460" w:lineRule="exact"/>
        <w:ind w:firstLine="562" w:firstLineChars="200"/>
        <w:rPr>
          <w:rFonts w:ascii="宋体" w:hAnsi="宋体" w:cs="宋体"/>
          <w:b/>
          <w:bCs/>
          <w:color w:val="auto"/>
          <w:kern w:val="0"/>
          <w:sz w:val="28"/>
          <w:szCs w:val="28"/>
          <w:highlight w:val="none"/>
        </w:rPr>
      </w:pPr>
      <w:bookmarkStart w:id="12" w:name="_Toc16938522"/>
      <w:bookmarkStart w:id="13" w:name="_Toc20823278"/>
      <w:bookmarkStart w:id="14" w:name="_Toc513029206"/>
      <w:r>
        <w:rPr>
          <w:rFonts w:hint="eastAsia" w:ascii="宋体" w:hAnsi="宋体" w:cs="宋体"/>
          <w:b/>
          <w:bCs/>
          <w:color w:val="auto"/>
          <w:kern w:val="0"/>
          <w:sz w:val="28"/>
          <w:szCs w:val="28"/>
          <w:highlight w:val="none"/>
        </w:rPr>
        <w:t>采购项目磋商开始后，不再接受供应商对采购文件（含更正通告等）内容的异议或质询（质疑）。</w:t>
      </w:r>
    </w:p>
    <w:p w14:paraId="71CC8A11">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3.适用法律</w:t>
      </w:r>
      <w:bookmarkEnd w:id="12"/>
      <w:bookmarkEnd w:id="13"/>
      <w:bookmarkEnd w:id="14"/>
    </w:p>
    <w:p w14:paraId="3A4C7F9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3.1 本次采购及由此产生的合同受中华人民共和国有关的法律法规制约和保护。</w:t>
      </w:r>
    </w:p>
    <w:p w14:paraId="0A06CCB2">
      <w:pPr>
        <w:keepNext/>
        <w:adjustRightInd w:val="0"/>
        <w:snapToGrid w:val="0"/>
        <w:spacing w:line="460" w:lineRule="exact"/>
        <w:ind w:firstLine="560" w:firstLineChars="200"/>
        <w:rPr>
          <w:rFonts w:ascii="宋体" w:hAnsi="宋体" w:cs="宋体"/>
          <w:color w:val="auto"/>
          <w:kern w:val="0"/>
          <w:sz w:val="28"/>
          <w:szCs w:val="28"/>
          <w:highlight w:val="none"/>
        </w:rPr>
      </w:pPr>
      <w:bookmarkStart w:id="15" w:name="_Toc462564067"/>
      <w:bookmarkStart w:id="16" w:name="_Toc20823279"/>
      <w:bookmarkStart w:id="17" w:name="_Toc16938523"/>
      <w:bookmarkStart w:id="18" w:name="_Toc513029207"/>
      <w:r>
        <w:rPr>
          <w:rFonts w:hint="eastAsia" w:ascii="宋体" w:hAnsi="宋体" w:cs="宋体"/>
          <w:color w:val="auto"/>
          <w:kern w:val="0"/>
          <w:sz w:val="28"/>
          <w:szCs w:val="28"/>
          <w:highlight w:val="none"/>
        </w:rPr>
        <w:t>4.磋商费用</w:t>
      </w:r>
      <w:bookmarkEnd w:id="15"/>
      <w:bookmarkEnd w:id="16"/>
      <w:bookmarkEnd w:id="17"/>
      <w:bookmarkEnd w:id="18"/>
    </w:p>
    <w:p w14:paraId="2CD334F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 供应商应自行承担所有与参加磋商有关的费用，无论磋商过程中的做法和结果如何，江苏中润工程建设咨询有限公司（以下简称采购代理机构）在任何情况下均无义务和责任承担这些费用。</w:t>
      </w:r>
    </w:p>
    <w:p w14:paraId="2811FAFA">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4.2本项目工本费200元/份，于开标现场支付给采购代理机构，无论是否</w:t>
      </w:r>
      <w:r>
        <w:rPr>
          <w:rFonts w:hint="eastAsia" w:ascii="宋体" w:hAnsi="宋体" w:cs="宋体"/>
          <w:color w:val="auto"/>
          <w:sz w:val="28"/>
          <w:szCs w:val="28"/>
          <w:highlight w:val="none"/>
          <w:lang w:val="en-US" w:eastAsia="zh-CN"/>
        </w:rPr>
        <w:t>成交</w:t>
      </w:r>
      <w:r>
        <w:rPr>
          <w:rFonts w:hint="eastAsia" w:ascii="宋体" w:hAnsi="宋体" w:cs="宋体"/>
          <w:color w:val="auto"/>
          <w:sz w:val="28"/>
          <w:szCs w:val="28"/>
          <w:highlight w:val="none"/>
        </w:rPr>
        <w:t>售后不退。</w:t>
      </w:r>
    </w:p>
    <w:p w14:paraId="54D623C8">
      <w:pPr>
        <w:spacing w:line="460" w:lineRule="exact"/>
        <w:ind w:firstLine="560" w:firstLineChars="20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4.3本项目</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代理费收取标准以</w:t>
      </w:r>
      <w:r>
        <w:rPr>
          <w:rFonts w:hint="eastAsia" w:ascii="宋体" w:hAnsi="宋体" w:cs="宋体"/>
          <w:color w:val="auto"/>
          <w:sz w:val="28"/>
          <w:szCs w:val="28"/>
          <w:highlight w:val="none"/>
          <w:lang w:val="en-US" w:eastAsia="zh-CN"/>
        </w:rPr>
        <w:t>成交金额</w:t>
      </w:r>
      <w:r>
        <w:rPr>
          <w:rFonts w:hint="eastAsia" w:ascii="宋体" w:hAnsi="宋体" w:cs="宋体"/>
          <w:color w:val="auto"/>
          <w:sz w:val="28"/>
          <w:szCs w:val="28"/>
          <w:highlight w:val="none"/>
        </w:rPr>
        <w:t>为基准，乘以</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代理收费费率，</w:t>
      </w:r>
      <w:r>
        <w:rPr>
          <w:rFonts w:hint="eastAsia" w:ascii="宋体" w:hAnsi="宋体" w:cs="宋体"/>
          <w:color w:val="auto"/>
          <w:sz w:val="28"/>
          <w:szCs w:val="28"/>
          <w:highlight w:val="none"/>
          <w:lang w:val="en-US" w:eastAsia="zh-CN"/>
        </w:rPr>
        <w:t>供应商</w:t>
      </w:r>
      <w:r>
        <w:rPr>
          <w:rFonts w:hint="eastAsia" w:ascii="宋体" w:hAnsi="宋体" w:cs="宋体"/>
          <w:color w:val="auto"/>
          <w:sz w:val="28"/>
          <w:szCs w:val="28"/>
          <w:highlight w:val="none"/>
          <w:lang w:val="zh-CN"/>
        </w:rPr>
        <w:t>综合考虑在报价内（不单列）。</w:t>
      </w:r>
    </w:p>
    <w:p w14:paraId="0755560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采购</w:t>
      </w:r>
      <w:r>
        <w:rPr>
          <w:rFonts w:hint="eastAsia" w:ascii="宋体" w:hAnsi="宋体" w:eastAsia="宋体" w:cs="宋体"/>
          <w:color w:val="auto"/>
          <w:sz w:val="28"/>
          <w:szCs w:val="28"/>
          <w:highlight w:val="none"/>
        </w:rPr>
        <w:t>代理收费费率标准：</w:t>
      </w:r>
    </w:p>
    <w:tbl>
      <w:tblPr>
        <w:tblStyle w:val="29"/>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497"/>
      </w:tblGrid>
      <w:tr w14:paraId="0C153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noWrap w:val="0"/>
            <w:vAlign w:val="center"/>
          </w:tcPr>
          <w:p w14:paraId="7F155848">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成交</w:t>
            </w:r>
            <w:r>
              <w:rPr>
                <w:rFonts w:hint="eastAsia" w:ascii="宋体" w:hAnsi="宋体" w:eastAsia="宋体" w:cs="宋体"/>
                <w:color w:val="auto"/>
                <w:sz w:val="28"/>
                <w:szCs w:val="28"/>
                <w:highlight w:val="none"/>
              </w:rPr>
              <w:t>金额</w:t>
            </w:r>
          </w:p>
        </w:tc>
        <w:tc>
          <w:tcPr>
            <w:tcW w:w="4497" w:type="dxa"/>
            <w:noWrap w:val="0"/>
            <w:vAlign w:val="center"/>
          </w:tcPr>
          <w:p w14:paraId="6F4A1838">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采购</w:t>
            </w:r>
            <w:r>
              <w:rPr>
                <w:rFonts w:hint="eastAsia" w:ascii="宋体" w:hAnsi="宋体" w:eastAsia="宋体" w:cs="宋体"/>
                <w:color w:val="auto"/>
                <w:sz w:val="28"/>
                <w:szCs w:val="28"/>
                <w:highlight w:val="none"/>
              </w:rPr>
              <w:t>代理收费费率</w:t>
            </w:r>
          </w:p>
        </w:tc>
      </w:tr>
      <w:tr w14:paraId="600F3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605A3BFF">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20万元（不含）以下</w:t>
            </w:r>
          </w:p>
        </w:tc>
        <w:tc>
          <w:tcPr>
            <w:tcW w:w="4497" w:type="dxa"/>
            <w:noWrap w:val="0"/>
            <w:vAlign w:val="center"/>
          </w:tcPr>
          <w:p w14:paraId="72976020">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固定3000元</w:t>
            </w:r>
          </w:p>
        </w:tc>
      </w:tr>
      <w:tr w14:paraId="6C64F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noWrap w:val="0"/>
            <w:vAlign w:val="center"/>
          </w:tcPr>
          <w:p w14:paraId="183928C2">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20万元（含）-50万元（含）</w:t>
            </w:r>
          </w:p>
        </w:tc>
        <w:tc>
          <w:tcPr>
            <w:tcW w:w="4497" w:type="dxa"/>
            <w:noWrap w:val="0"/>
            <w:vAlign w:val="center"/>
          </w:tcPr>
          <w:p w14:paraId="22AA3951">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0.8%</w:t>
            </w:r>
          </w:p>
        </w:tc>
      </w:tr>
      <w:tr w14:paraId="2E46D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noWrap w:val="0"/>
            <w:vAlign w:val="center"/>
          </w:tcPr>
          <w:p w14:paraId="6B06B2CD">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50万元（不含）-400万元（含）</w:t>
            </w:r>
          </w:p>
        </w:tc>
        <w:tc>
          <w:tcPr>
            <w:tcW w:w="4497" w:type="dxa"/>
            <w:noWrap w:val="0"/>
            <w:vAlign w:val="center"/>
          </w:tcPr>
          <w:p w14:paraId="2B114A84">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0.75%</w:t>
            </w:r>
          </w:p>
        </w:tc>
      </w:tr>
      <w:tr w14:paraId="61202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2D8B22F3">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400万元（不含）-1000万元（含）</w:t>
            </w:r>
          </w:p>
        </w:tc>
        <w:tc>
          <w:tcPr>
            <w:tcW w:w="4497" w:type="dxa"/>
            <w:noWrap w:val="0"/>
            <w:vAlign w:val="center"/>
          </w:tcPr>
          <w:p w14:paraId="7CFCC94A">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0.55%</w:t>
            </w:r>
          </w:p>
        </w:tc>
      </w:tr>
      <w:tr w14:paraId="74806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736" w:type="dxa"/>
            <w:gridSpan w:val="2"/>
            <w:noWrap w:val="0"/>
            <w:vAlign w:val="center"/>
          </w:tcPr>
          <w:p w14:paraId="405B6246">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采购</w:t>
            </w:r>
            <w:r>
              <w:rPr>
                <w:rFonts w:hint="eastAsia" w:ascii="宋体" w:hAnsi="宋体" w:eastAsia="宋体" w:cs="宋体"/>
                <w:color w:val="auto"/>
                <w:sz w:val="28"/>
                <w:szCs w:val="28"/>
                <w:highlight w:val="none"/>
              </w:rPr>
              <w:t>代理费最低保底收费3000元，超过15000元按15000元计收</w:t>
            </w:r>
          </w:p>
        </w:tc>
      </w:tr>
    </w:tbl>
    <w:p w14:paraId="76AD791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代理费等费用定标后由成交候选人支付给代理机构。因成交</w:t>
      </w:r>
      <w:r>
        <w:rPr>
          <w:rFonts w:hint="eastAsia" w:ascii="宋体" w:hAnsi="宋体" w:cs="宋体"/>
          <w:color w:val="auto"/>
          <w:sz w:val="28"/>
          <w:szCs w:val="28"/>
          <w:highlight w:val="none"/>
          <w:lang w:val="en-US" w:eastAsia="zh-CN"/>
        </w:rPr>
        <w:t>供应商</w:t>
      </w:r>
      <w:r>
        <w:rPr>
          <w:rFonts w:hint="eastAsia" w:ascii="宋体" w:hAnsi="宋体" w:cs="宋体"/>
          <w:color w:val="auto"/>
          <w:sz w:val="28"/>
          <w:szCs w:val="28"/>
          <w:highlight w:val="none"/>
        </w:rPr>
        <w:t>原因导致成交结果变更或取消成交资格等，代理费不予退还。</w:t>
      </w:r>
    </w:p>
    <w:p w14:paraId="3E600F0D">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5.磋商文件的约束力</w:t>
      </w:r>
    </w:p>
    <w:p w14:paraId="76555F2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5.1</w:t>
      </w:r>
      <w:r>
        <w:rPr>
          <w:rFonts w:hint="eastAsia" w:ascii="宋体" w:hAnsi="宋体" w:cs="宋体"/>
          <w:color w:val="auto"/>
          <w:sz w:val="28"/>
          <w:szCs w:val="28"/>
          <w:highlight w:val="none"/>
        </w:rPr>
        <w:t xml:space="preserve"> 供应商一旦参加本项目采购活动，即被认为接受了本磋商文件的规定和约束。</w:t>
      </w:r>
    </w:p>
    <w:p w14:paraId="34989817">
      <w:pPr>
        <w:keepNext/>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6.磋商文件的解释</w:t>
      </w:r>
    </w:p>
    <w:p w14:paraId="5838757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6.1</w:t>
      </w:r>
      <w:r>
        <w:rPr>
          <w:rFonts w:hint="eastAsia" w:ascii="宋体" w:hAnsi="宋体" w:cs="宋体"/>
          <w:color w:val="auto"/>
          <w:sz w:val="28"/>
          <w:szCs w:val="28"/>
          <w:highlight w:val="none"/>
        </w:rPr>
        <w:t>磋商文件需求部分（供应商资格要求、项目需求、商务技术评分标准）由采购人解释，</w:t>
      </w:r>
      <w:r>
        <w:rPr>
          <w:rFonts w:hint="eastAsia" w:ascii="宋体" w:hAnsi="宋体" w:cs="宋体"/>
          <w:color w:val="auto"/>
          <w:sz w:val="28"/>
          <w:szCs w:val="28"/>
          <w:highlight w:val="none"/>
          <w:lang w:eastAsia="zh-CN"/>
        </w:rPr>
        <w:t>其他部分</w:t>
      </w:r>
      <w:r>
        <w:rPr>
          <w:rFonts w:hint="eastAsia" w:ascii="宋体" w:hAnsi="宋体" w:cs="宋体"/>
          <w:color w:val="auto"/>
          <w:sz w:val="28"/>
          <w:szCs w:val="28"/>
          <w:highlight w:val="none"/>
        </w:rPr>
        <w:t>由采购代理机构解释。</w:t>
      </w:r>
    </w:p>
    <w:p w14:paraId="58FB7F56">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19" w:name="_Toc16938525"/>
      <w:bookmarkStart w:id="20" w:name="_Toc513029209"/>
      <w:bookmarkStart w:id="21" w:name="_Toc120614215"/>
      <w:bookmarkStart w:id="22" w:name="_Toc20823281"/>
      <w:r>
        <w:rPr>
          <w:rFonts w:hint="eastAsia" w:ascii="宋体" w:hAnsi="宋体" w:cs="宋体"/>
          <w:b/>
          <w:bCs/>
          <w:color w:val="auto"/>
          <w:kern w:val="0"/>
          <w:sz w:val="28"/>
          <w:szCs w:val="28"/>
          <w:highlight w:val="none"/>
        </w:rPr>
        <w:t>二、磋商文件</w:t>
      </w:r>
      <w:bookmarkEnd w:id="19"/>
      <w:bookmarkEnd w:id="20"/>
      <w:bookmarkEnd w:id="21"/>
      <w:bookmarkEnd w:id="22"/>
    </w:p>
    <w:p w14:paraId="48577EF3">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23" w:name="_Toc20823282"/>
      <w:bookmarkStart w:id="24" w:name="_Toc16938526"/>
      <w:bookmarkStart w:id="25" w:name="_Toc513029210"/>
      <w:r>
        <w:rPr>
          <w:rFonts w:hint="eastAsia" w:ascii="宋体" w:hAnsi="宋体" w:cs="宋体"/>
          <w:color w:val="auto"/>
          <w:kern w:val="0"/>
          <w:sz w:val="28"/>
          <w:szCs w:val="28"/>
          <w:highlight w:val="none"/>
        </w:rPr>
        <w:t>1.磋商文件构成</w:t>
      </w:r>
      <w:bookmarkEnd w:id="23"/>
      <w:bookmarkEnd w:id="24"/>
      <w:bookmarkEnd w:id="25"/>
    </w:p>
    <w:p w14:paraId="756AB92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 xml:space="preserve"> 磋商文件由以下部分组成：</w:t>
      </w:r>
    </w:p>
    <w:p w14:paraId="3D72250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（1）磋商公告</w:t>
      </w:r>
    </w:p>
    <w:p w14:paraId="3C8EADA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（2）磋商须知</w:t>
      </w:r>
    </w:p>
    <w:p w14:paraId="5425C90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（3）项目需求</w:t>
      </w:r>
    </w:p>
    <w:p w14:paraId="13E3073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（4）评审方法和评审标准</w:t>
      </w:r>
    </w:p>
    <w:p w14:paraId="59AC78E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（5）响应文件组成</w:t>
      </w:r>
    </w:p>
    <w:p w14:paraId="117CD9E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（6）附件</w:t>
      </w:r>
    </w:p>
    <w:p w14:paraId="1591F3E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请仔细检查磋商文件是否齐全，如有缺漏请立即与采购代理机构联系解决。</w:t>
      </w:r>
    </w:p>
    <w:p w14:paraId="577323E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012C1A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26" w:name="_Toc513029211"/>
      <w:bookmarkStart w:id="27" w:name="_Toc20823283"/>
      <w:bookmarkStart w:id="28" w:name="_Toc462564070"/>
      <w:bookmarkStart w:id="29" w:name="_Toc16938527"/>
      <w:r>
        <w:rPr>
          <w:rFonts w:hint="eastAsia" w:ascii="宋体" w:hAnsi="宋体" w:cs="宋体"/>
          <w:color w:val="auto"/>
          <w:kern w:val="0"/>
          <w:sz w:val="28"/>
          <w:szCs w:val="28"/>
          <w:highlight w:val="none"/>
        </w:rPr>
        <w:t>2.磋商文件的澄清</w:t>
      </w:r>
      <w:bookmarkEnd w:id="26"/>
      <w:bookmarkEnd w:id="27"/>
      <w:bookmarkEnd w:id="28"/>
      <w:bookmarkEnd w:id="29"/>
    </w:p>
    <w:p w14:paraId="7053AD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p>
    <w:p w14:paraId="4189AE2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2.2采购人视情组织答疑会</w:t>
      </w:r>
    </w:p>
    <w:p w14:paraId="54DE4371">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30" w:name="_Toc462564071"/>
      <w:bookmarkStart w:id="31" w:name="_Toc20823284"/>
      <w:bookmarkStart w:id="32" w:name="_Toc513029212"/>
      <w:bookmarkStart w:id="33" w:name="_Toc16938528"/>
      <w:r>
        <w:rPr>
          <w:rFonts w:hint="eastAsia" w:ascii="宋体" w:hAnsi="宋体" w:cs="宋体"/>
          <w:color w:val="auto"/>
          <w:kern w:val="0"/>
          <w:sz w:val="28"/>
          <w:szCs w:val="28"/>
          <w:highlight w:val="none"/>
        </w:rPr>
        <w:t>3.磋商文件的修改</w:t>
      </w:r>
      <w:bookmarkEnd w:id="30"/>
      <w:bookmarkEnd w:id="31"/>
      <w:bookmarkEnd w:id="32"/>
      <w:bookmarkEnd w:id="33"/>
    </w:p>
    <w:p w14:paraId="3671D96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3.1</w:t>
      </w:r>
      <w:r>
        <w:rPr>
          <w:rFonts w:hint="eastAsia" w:ascii="宋体" w:hAnsi="宋体" w:cs="宋体"/>
          <w:color w:val="auto"/>
          <w:sz w:val="28"/>
          <w:szCs w:val="28"/>
          <w:highlight w:val="none"/>
        </w:rPr>
        <w:t xml:space="preserve"> 在响应文件提交截止时间前，采购代理机构可以对磋商文件进行修改。</w:t>
      </w:r>
    </w:p>
    <w:p w14:paraId="2394A3C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 xml:space="preserve">3.2 </w:t>
      </w:r>
      <w:r>
        <w:rPr>
          <w:rFonts w:hint="eastAsia" w:ascii="宋体" w:hAnsi="宋体" w:cs="宋体"/>
          <w:color w:val="auto"/>
          <w:sz w:val="28"/>
          <w:szCs w:val="28"/>
          <w:highlight w:val="none"/>
        </w:rPr>
        <w:t>采购代理机构有权按照法定的要求推迟响应文件提交截止日期和磋商日期。</w:t>
      </w:r>
    </w:p>
    <w:p w14:paraId="7E0AB8D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 xml:space="preserve">3.3 </w:t>
      </w:r>
      <w:r>
        <w:rPr>
          <w:rFonts w:hint="eastAsia" w:ascii="宋体" w:hAnsi="宋体" w:cs="宋体"/>
          <w:color w:val="auto"/>
          <w:sz w:val="28"/>
          <w:szCs w:val="28"/>
          <w:highlight w:val="none"/>
        </w:rPr>
        <w:t>磋商文件的修改将在</w:t>
      </w:r>
      <w:r>
        <w:rPr>
          <w:rFonts w:hint="eastAsia" w:ascii="宋体" w:hAnsi="宋体" w:cs="宋体"/>
          <w:color w:val="auto"/>
          <w:sz w:val="28"/>
          <w:szCs w:val="28"/>
          <w:highlight w:val="none"/>
          <w:lang w:eastAsia="zh-CN"/>
        </w:rPr>
        <w:t>南通职业大学网站</w:t>
      </w:r>
      <w:r>
        <w:rPr>
          <w:rFonts w:hint="eastAsia" w:ascii="宋体" w:hAnsi="宋体" w:cs="宋体"/>
          <w:color w:val="auto"/>
          <w:sz w:val="28"/>
          <w:szCs w:val="28"/>
          <w:highlight w:val="none"/>
        </w:rPr>
        <w:t>公布，补充文件将作为磋商文件的组成部分，并对供应商具有约束力。</w:t>
      </w:r>
    </w:p>
    <w:p w14:paraId="686F08D0">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34" w:name="_Toc462564072"/>
      <w:bookmarkStart w:id="35" w:name="_Toc16938529"/>
      <w:bookmarkStart w:id="36" w:name="_Toc513029213"/>
      <w:bookmarkStart w:id="37" w:name="_Toc120614216"/>
      <w:bookmarkStart w:id="38" w:name="_Toc20823285"/>
      <w:r>
        <w:rPr>
          <w:rFonts w:hint="eastAsia" w:ascii="宋体" w:hAnsi="宋体" w:cs="宋体"/>
          <w:b/>
          <w:bCs/>
          <w:color w:val="auto"/>
          <w:kern w:val="0"/>
          <w:sz w:val="28"/>
          <w:szCs w:val="28"/>
          <w:highlight w:val="none"/>
        </w:rPr>
        <w:t>三、响应文件的编制</w:t>
      </w:r>
      <w:bookmarkEnd w:id="34"/>
      <w:bookmarkEnd w:id="35"/>
      <w:bookmarkEnd w:id="36"/>
      <w:bookmarkEnd w:id="37"/>
      <w:bookmarkEnd w:id="38"/>
    </w:p>
    <w:p w14:paraId="362E80B0">
      <w:pPr>
        <w:keepNext/>
        <w:adjustRightInd w:val="0"/>
        <w:snapToGrid w:val="0"/>
        <w:spacing w:line="460" w:lineRule="exact"/>
        <w:ind w:firstLine="560" w:firstLineChars="200"/>
        <w:rPr>
          <w:rFonts w:ascii="宋体" w:hAnsi="宋体" w:cs="宋体"/>
          <w:bCs/>
          <w:color w:val="auto"/>
          <w:kern w:val="0"/>
          <w:sz w:val="28"/>
          <w:szCs w:val="28"/>
          <w:highlight w:val="none"/>
        </w:rPr>
      </w:pPr>
      <w:bookmarkStart w:id="39" w:name="_Toc462564073"/>
      <w:bookmarkStart w:id="40" w:name="_Toc513029214"/>
      <w:bookmarkStart w:id="41" w:name="_Toc16938530"/>
      <w:bookmarkStart w:id="42" w:name="_Toc20823286"/>
      <w:r>
        <w:rPr>
          <w:rFonts w:hint="eastAsia" w:ascii="宋体" w:hAnsi="宋体" w:cs="宋体"/>
          <w:color w:val="auto"/>
          <w:kern w:val="0"/>
          <w:sz w:val="28"/>
          <w:szCs w:val="28"/>
          <w:highlight w:val="none"/>
        </w:rPr>
        <w:t>1.响应文件的语言及度量衡单位</w:t>
      </w:r>
      <w:bookmarkEnd w:id="39"/>
      <w:bookmarkEnd w:id="40"/>
      <w:bookmarkEnd w:id="41"/>
      <w:bookmarkEnd w:id="42"/>
    </w:p>
    <w:p w14:paraId="5A6A2A1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供应商提交的响应文件以及供应商与采购代理机构及采购人就有关磋商的所有来往通知、函件和文件均应使用</w:t>
      </w:r>
      <w:r>
        <w:rPr>
          <w:rFonts w:hint="eastAsia" w:ascii="宋体" w:hAnsi="宋体" w:cs="宋体"/>
          <w:bCs/>
          <w:color w:val="auto"/>
          <w:sz w:val="28"/>
          <w:szCs w:val="28"/>
          <w:highlight w:val="none"/>
        </w:rPr>
        <w:t>简体中文</w:t>
      </w:r>
      <w:r>
        <w:rPr>
          <w:rFonts w:hint="eastAsia" w:ascii="宋体" w:hAnsi="宋体" w:cs="宋体"/>
          <w:color w:val="auto"/>
          <w:sz w:val="28"/>
          <w:szCs w:val="28"/>
          <w:highlight w:val="none"/>
        </w:rPr>
        <w:t>。</w:t>
      </w:r>
    </w:p>
    <w:p w14:paraId="5E83CA3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除技术性能另有规定外，响应文件所使用的度量衡单位，均须采用国家法定计量单位。</w:t>
      </w:r>
    </w:p>
    <w:p w14:paraId="1D18C6F1">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3" w:name="_Toc513029215"/>
      <w:bookmarkStart w:id="44" w:name="_Toc462564074"/>
      <w:bookmarkStart w:id="45" w:name="_Toc20823287"/>
      <w:bookmarkStart w:id="46" w:name="_Toc16938531"/>
      <w:r>
        <w:rPr>
          <w:rFonts w:hint="eastAsia" w:ascii="宋体" w:hAnsi="宋体" w:cs="宋体"/>
          <w:color w:val="auto"/>
          <w:kern w:val="0"/>
          <w:sz w:val="28"/>
          <w:szCs w:val="28"/>
          <w:highlight w:val="none"/>
        </w:rPr>
        <w:t>2.响应文件构成</w:t>
      </w:r>
      <w:bookmarkEnd w:id="43"/>
      <w:bookmarkEnd w:id="44"/>
      <w:bookmarkEnd w:id="45"/>
      <w:bookmarkEnd w:id="46"/>
    </w:p>
    <w:p w14:paraId="771645E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供应商编写的响应文件应包括资格审查文件、商务技术文件、价格文件。供应商按“第五部分 响应文件组成”要求编写响应文件。</w:t>
      </w:r>
    </w:p>
    <w:p w14:paraId="008A854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7" w:name="_Hlt26668975"/>
      <w:bookmarkEnd w:id="47"/>
      <w:bookmarkStart w:id="48" w:name="_Hlt26954838"/>
      <w:bookmarkEnd w:id="48"/>
      <w:bookmarkStart w:id="49" w:name="_Hlt26670360"/>
      <w:bookmarkEnd w:id="49"/>
      <w:bookmarkStart w:id="50" w:name="_Toc14577360"/>
      <w:bookmarkStart w:id="51" w:name="_Toc49090511"/>
      <w:r>
        <w:rPr>
          <w:rFonts w:hint="eastAsia" w:ascii="宋体" w:hAnsi="宋体" w:cs="宋体"/>
          <w:color w:val="auto"/>
          <w:kern w:val="0"/>
          <w:sz w:val="28"/>
          <w:szCs w:val="28"/>
          <w:highlight w:val="none"/>
        </w:rPr>
        <w:t>3.</w:t>
      </w:r>
      <w:bookmarkEnd w:id="50"/>
      <w:bookmarkEnd w:id="51"/>
      <w:r>
        <w:rPr>
          <w:rFonts w:hint="eastAsia" w:ascii="宋体" w:hAnsi="宋体" w:cs="宋体"/>
          <w:color w:val="auto"/>
          <w:kern w:val="0"/>
          <w:sz w:val="28"/>
          <w:szCs w:val="28"/>
          <w:highlight w:val="none"/>
        </w:rPr>
        <w:t>磋商响应有效期</w:t>
      </w:r>
    </w:p>
    <w:p w14:paraId="31E48D2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3.1磋商响应有效期为采购代理机构规定的响应文件</w:t>
      </w:r>
      <w:r>
        <w:rPr>
          <w:rFonts w:hint="eastAsia" w:ascii="宋体" w:hAnsi="宋体" w:cs="宋体"/>
          <w:color w:val="auto"/>
          <w:sz w:val="28"/>
          <w:szCs w:val="28"/>
          <w:highlight w:val="none"/>
        </w:rPr>
        <w:t>提交</w:t>
      </w:r>
      <w:r>
        <w:rPr>
          <w:rFonts w:hint="eastAsia" w:ascii="宋体" w:hAnsi="宋体" w:cs="宋体"/>
          <w:bCs/>
          <w:color w:val="auto"/>
          <w:sz w:val="28"/>
          <w:szCs w:val="28"/>
          <w:highlight w:val="none"/>
        </w:rPr>
        <w:t>截止时间后</w:t>
      </w:r>
      <w:r>
        <w:rPr>
          <w:rFonts w:hint="eastAsia" w:ascii="宋体" w:hAnsi="宋体" w:cs="宋体"/>
          <w:b/>
          <w:color w:val="auto"/>
          <w:sz w:val="28"/>
          <w:szCs w:val="28"/>
          <w:highlight w:val="none"/>
          <w:u w:val="single"/>
        </w:rPr>
        <w:t>六十（60）天</w:t>
      </w:r>
      <w:r>
        <w:rPr>
          <w:rFonts w:hint="eastAsia" w:ascii="宋体" w:hAnsi="宋体" w:cs="宋体"/>
          <w:bCs/>
          <w:color w:val="auto"/>
          <w:sz w:val="28"/>
          <w:szCs w:val="28"/>
          <w:highlight w:val="none"/>
        </w:rPr>
        <w:t>。磋商响应有效期比规定短的将被视为非实质性响应而予以拒绝。</w:t>
      </w:r>
    </w:p>
    <w:p w14:paraId="67CC310E">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4. 磋商响应有效期的延长</w:t>
      </w:r>
    </w:p>
    <w:p w14:paraId="08CB760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eastAsia" w:ascii="宋体" w:hAnsi="宋体" w:cs="宋体"/>
          <w:color w:val="auto"/>
          <w:sz w:val="28"/>
          <w:szCs w:val="28"/>
          <w:highlight w:val="none"/>
        </w:rPr>
        <w:t>受磋商响应有效期约束的所有权利与义务均延长至新的有效期</w:t>
      </w:r>
      <w:r>
        <w:rPr>
          <w:rFonts w:hint="eastAsia" w:ascii="宋体" w:hAnsi="宋体" w:cs="宋体"/>
          <w:bCs/>
          <w:color w:val="auto"/>
          <w:sz w:val="28"/>
          <w:szCs w:val="28"/>
          <w:highlight w:val="none"/>
        </w:rPr>
        <w:t>。</w:t>
      </w:r>
    </w:p>
    <w:p w14:paraId="4BF99B39">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52" w:name="_Hlt26954739"/>
      <w:bookmarkEnd w:id="52"/>
      <w:bookmarkStart w:id="53" w:name="_Hlt26954852"/>
      <w:bookmarkEnd w:id="53"/>
      <w:bookmarkStart w:id="54" w:name="_Toc20823296"/>
      <w:bookmarkStart w:id="55" w:name="_Toc513029224"/>
      <w:bookmarkStart w:id="56" w:name="_Toc120614217"/>
      <w:bookmarkStart w:id="57" w:name="_Toc16938540"/>
      <w:r>
        <w:rPr>
          <w:rFonts w:hint="eastAsia" w:ascii="宋体" w:hAnsi="宋体" w:cs="宋体"/>
          <w:b/>
          <w:bCs/>
          <w:color w:val="auto"/>
          <w:kern w:val="0"/>
          <w:sz w:val="28"/>
          <w:szCs w:val="28"/>
          <w:highlight w:val="none"/>
        </w:rPr>
        <w:t>四、响应文件的提交</w:t>
      </w:r>
      <w:bookmarkEnd w:id="54"/>
      <w:bookmarkEnd w:id="55"/>
      <w:bookmarkEnd w:id="56"/>
      <w:bookmarkEnd w:id="57"/>
    </w:p>
    <w:p w14:paraId="06063D9B">
      <w:pPr>
        <w:adjustRightInd w:val="0"/>
        <w:snapToGrid w:val="0"/>
        <w:spacing w:line="460" w:lineRule="exact"/>
        <w:ind w:firstLine="560" w:firstLineChars="200"/>
        <w:rPr>
          <w:rFonts w:ascii="宋体" w:hAnsi="宋体" w:cs="宋体"/>
          <w:color w:val="auto"/>
          <w:kern w:val="0"/>
          <w:sz w:val="28"/>
          <w:szCs w:val="28"/>
          <w:highlight w:val="none"/>
        </w:rPr>
      </w:pPr>
      <w:bookmarkStart w:id="58" w:name="_Toc513029226"/>
      <w:bookmarkStart w:id="59" w:name="_Toc20823298"/>
      <w:bookmarkStart w:id="60" w:name="_Toc16938542"/>
      <w:r>
        <w:rPr>
          <w:rFonts w:hint="eastAsia" w:ascii="宋体" w:hAnsi="宋体" w:cs="宋体"/>
          <w:color w:val="auto"/>
          <w:kern w:val="0"/>
          <w:sz w:val="28"/>
          <w:szCs w:val="28"/>
          <w:highlight w:val="none"/>
        </w:rPr>
        <w:t>1.响应文件的提交</w:t>
      </w:r>
    </w:p>
    <w:p w14:paraId="464B9DAB">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1.1纸质响应文件三部分内容【资格审查文件、商务技术文件、价格文件】须分别单独密封，并牢固装订成册，不得相互混淆，文件自编目录并连续标注页码，不得将内容拆开。价格文件不得出现于其他磋商文件中。</w:t>
      </w:r>
    </w:p>
    <w:p w14:paraId="098B6D40">
      <w:pPr>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1.2纸质响应文件</w:t>
      </w:r>
      <w:r>
        <w:rPr>
          <w:rFonts w:hint="eastAsia" w:ascii="宋体" w:hAnsi="宋体" w:cs="宋体"/>
          <w:b/>
          <w:bCs/>
          <w:color w:val="auto"/>
          <w:kern w:val="0"/>
          <w:sz w:val="28"/>
          <w:szCs w:val="28"/>
          <w:highlight w:val="none"/>
          <w:lang w:val="en-US" w:eastAsia="zh-CN"/>
        </w:rPr>
        <w:t>每一部分</w:t>
      </w:r>
      <w:r>
        <w:rPr>
          <w:rFonts w:hint="eastAsia" w:ascii="宋体" w:hAnsi="宋体" w:cs="宋体"/>
          <w:color w:val="auto"/>
          <w:kern w:val="0"/>
          <w:sz w:val="28"/>
          <w:szCs w:val="28"/>
          <w:highlight w:val="none"/>
        </w:rPr>
        <w:t>须提供“正本一份、副本</w:t>
      </w:r>
      <w:r>
        <w:rPr>
          <w:rFonts w:hint="eastAsia" w:ascii="宋体" w:hAnsi="宋体" w:cs="宋体"/>
          <w:color w:val="auto"/>
          <w:kern w:val="0"/>
          <w:sz w:val="28"/>
          <w:szCs w:val="28"/>
          <w:highlight w:val="none"/>
          <w:lang w:val="en-US" w:eastAsia="zh-CN"/>
        </w:rPr>
        <w:t>二</w:t>
      </w:r>
      <w:r>
        <w:rPr>
          <w:rFonts w:hint="eastAsia" w:ascii="宋体" w:hAnsi="宋体" w:cs="宋体"/>
          <w:color w:val="auto"/>
          <w:kern w:val="0"/>
          <w:sz w:val="28"/>
          <w:szCs w:val="28"/>
          <w:highlight w:val="none"/>
        </w:rPr>
        <w:t>份”，可以合并在一个密封袋或密封箱内提交,也可以分别密封提交；如有A3大小的图纸类，可单独密封。密封完好以不泄露</w:t>
      </w:r>
      <w:r>
        <w:rPr>
          <w:rFonts w:hint="eastAsia" w:ascii="宋体" w:hAnsi="宋体" w:cs="宋体"/>
          <w:color w:val="auto"/>
          <w:kern w:val="0"/>
          <w:sz w:val="28"/>
          <w:szCs w:val="28"/>
          <w:highlight w:val="none"/>
          <w:lang w:val="en-US" w:eastAsia="zh-CN"/>
        </w:rPr>
        <w:t>响应</w:t>
      </w:r>
      <w:r>
        <w:rPr>
          <w:rFonts w:hint="eastAsia" w:ascii="宋体" w:hAnsi="宋体" w:cs="宋体"/>
          <w:color w:val="auto"/>
          <w:kern w:val="0"/>
          <w:sz w:val="28"/>
          <w:szCs w:val="28"/>
          <w:highlight w:val="none"/>
        </w:rPr>
        <w:t>文件内容为主要判断依据</w:t>
      </w:r>
      <w:r>
        <w:rPr>
          <w:rFonts w:hint="eastAsia" w:ascii="宋体" w:hAnsi="宋体" w:cs="宋体"/>
          <w:b/>
          <w:bCs/>
          <w:color w:val="auto"/>
          <w:kern w:val="0"/>
          <w:sz w:val="28"/>
          <w:szCs w:val="28"/>
          <w:highlight w:val="none"/>
        </w:rPr>
        <w:t>（是否严格按照采购文件装袋提交不作为无效标判定依据）。</w:t>
      </w:r>
    </w:p>
    <w:p w14:paraId="55AF014B">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1.3纸质响应文件须采用A4纸（图纸等除外）打印并由法定代表人或授权人签字并加盖单位印章。文件内容中不得行间插字、涂改、增删；如修补错漏处，须由响应文件签署人签字并加盖公章。</w:t>
      </w:r>
    </w:p>
    <w:p w14:paraId="1891B355">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1.4提交电子响应文件一份，电子响应文件的内容为磋商响应文件（含资格审查文件、商务技术文件、价格文件）的打印盖章或电子签章后的扫描件，采取U盘方式单独密封提交。</w:t>
      </w:r>
    </w:p>
    <w:p w14:paraId="737FB2CD">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1.5递交时间：供应商须在规定的响应文件接收截止时间前送达指定地点。供应商提交磋商文件，即视为已响应参加磋商活动。</w:t>
      </w:r>
    </w:p>
    <w:p w14:paraId="2A37CE1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kern w:val="0"/>
          <w:sz w:val="28"/>
          <w:szCs w:val="28"/>
          <w:highlight w:val="none"/>
        </w:rPr>
        <w:t>友情提醒：代理机构将拒绝接收在响应文件接收截止时间后递交的响应文件。</w:t>
      </w:r>
    </w:p>
    <w:p w14:paraId="30322E33">
      <w:pPr>
        <w:adjustRightInd w:val="0"/>
        <w:snapToGrid w:val="0"/>
        <w:spacing w:line="460" w:lineRule="exact"/>
        <w:ind w:firstLine="562" w:firstLineChars="200"/>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rPr>
        <w:t>采购人、采购代理机构对投标（响应）文件的格式、形式要求，结合财政部《关于促进政府采购公平竞争优化营商环境的通知》（财库〔2019〕38 号）相关规定实施。</w:t>
      </w:r>
    </w:p>
    <w:p w14:paraId="76FCDFC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2.响应文件截止日期</w:t>
      </w:r>
      <w:bookmarkEnd w:id="58"/>
      <w:bookmarkEnd w:id="59"/>
      <w:bookmarkEnd w:id="60"/>
    </w:p>
    <w:p w14:paraId="54003DA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2.1 供应商提交响应文件的时间不得迟于磋商公告中规定的响应文件提交截止时间。</w:t>
      </w:r>
    </w:p>
    <w:p w14:paraId="524723C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供应商应充分考虑到交通路况、停车等风险因素，如因供应商自身原因造成的磋商响应文件提交不成功由供应商自行承担全部责任。</w:t>
      </w:r>
    </w:p>
    <w:p w14:paraId="341AA66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 xml:space="preserve"> 采购代理机构可以按照规定，通过修改响应文件酌情延长响应文件提交截止日期，在此情况下，供应商的所有权利和义务以及供应商受制的截止日期均应以延长后新的截止日期为准。</w:t>
      </w:r>
    </w:p>
    <w:p w14:paraId="27308D6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61" w:name="_Toc513029227"/>
      <w:bookmarkStart w:id="62" w:name="_Toc20823299"/>
      <w:bookmarkStart w:id="63" w:name="_Toc16938543"/>
      <w:r>
        <w:rPr>
          <w:rFonts w:hint="eastAsia" w:ascii="宋体" w:hAnsi="宋体" w:cs="宋体"/>
          <w:color w:val="auto"/>
          <w:kern w:val="0"/>
          <w:sz w:val="28"/>
          <w:szCs w:val="28"/>
          <w:highlight w:val="none"/>
        </w:rPr>
        <w:t>3.响应文件</w:t>
      </w:r>
      <w:bookmarkEnd w:id="61"/>
      <w:bookmarkEnd w:id="62"/>
      <w:bookmarkEnd w:id="63"/>
      <w:r>
        <w:rPr>
          <w:rFonts w:hint="eastAsia" w:ascii="宋体" w:hAnsi="宋体" w:cs="宋体"/>
          <w:color w:val="auto"/>
          <w:kern w:val="0"/>
          <w:sz w:val="28"/>
          <w:szCs w:val="28"/>
          <w:highlight w:val="none"/>
        </w:rPr>
        <w:t>的拒收</w:t>
      </w:r>
    </w:p>
    <w:p w14:paraId="33EE771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3.1 采购代理机构拒绝接收在其规定的响应文件提交截止时间后提交的任何响应文件。</w:t>
      </w:r>
    </w:p>
    <w:p w14:paraId="540437CB">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64" w:name="_Toc20823300"/>
      <w:bookmarkStart w:id="65" w:name="_Toc16938544"/>
      <w:bookmarkStart w:id="66" w:name="_Toc513029228"/>
      <w:r>
        <w:rPr>
          <w:rFonts w:hint="eastAsia" w:ascii="宋体" w:hAnsi="宋体" w:cs="宋体"/>
          <w:color w:val="auto"/>
          <w:kern w:val="0"/>
          <w:sz w:val="28"/>
          <w:szCs w:val="28"/>
          <w:highlight w:val="none"/>
        </w:rPr>
        <w:t>4. 响应文件的撤回和修改</w:t>
      </w:r>
      <w:bookmarkEnd w:id="64"/>
      <w:bookmarkEnd w:id="65"/>
      <w:bookmarkEnd w:id="66"/>
    </w:p>
    <w:p w14:paraId="2B44696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 响应文件的撤回</w:t>
      </w:r>
    </w:p>
    <w:p w14:paraId="5B54DC8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4.1.1 响应文件的撤回</w:t>
      </w:r>
    </w:p>
    <w:p w14:paraId="5007D89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供应商可在响应文件提交截止时间前，书面撤回其磋商响应文件。</w:t>
      </w:r>
    </w:p>
    <w:p w14:paraId="4498776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4.1.2 供应商撤回磋商响应文件，则认为其不再参与本项目磋商活动。</w:t>
      </w:r>
    </w:p>
    <w:p w14:paraId="42B191B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 响应文件的修改</w:t>
      </w:r>
    </w:p>
    <w:p w14:paraId="5CB20A5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在响应文件提交截止时间之后，供应商不得再对其提交的响应文件进行修改。</w:t>
      </w:r>
    </w:p>
    <w:p w14:paraId="1632B287">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67" w:name="_Toc16938545"/>
      <w:bookmarkStart w:id="68" w:name="_Toc513029229"/>
      <w:bookmarkStart w:id="69" w:name="_Toc120614218"/>
      <w:bookmarkStart w:id="70" w:name="_Toc20823301"/>
      <w:r>
        <w:rPr>
          <w:rFonts w:hint="eastAsia" w:ascii="宋体" w:hAnsi="宋体" w:cs="宋体"/>
          <w:b/>
          <w:bCs/>
          <w:color w:val="auto"/>
          <w:kern w:val="0"/>
          <w:sz w:val="28"/>
          <w:szCs w:val="28"/>
          <w:highlight w:val="none"/>
        </w:rPr>
        <w:t>五</w:t>
      </w:r>
      <w:bookmarkEnd w:id="67"/>
      <w:bookmarkEnd w:id="68"/>
      <w:bookmarkEnd w:id="69"/>
      <w:bookmarkEnd w:id="70"/>
      <w:bookmarkStart w:id="71" w:name="_Toc513029230"/>
      <w:bookmarkStart w:id="72" w:name="_Toc16938546"/>
      <w:bookmarkStart w:id="73" w:name="_Toc20823302"/>
      <w:r>
        <w:rPr>
          <w:rFonts w:hint="eastAsia" w:ascii="宋体" w:hAnsi="宋体" w:cs="宋体"/>
          <w:b/>
          <w:bCs/>
          <w:color w:val="auto"/>
          <w:kern w:val="0"/>
          <w:sz w:val="28"/>
          <w:szCs w:val="28"/>
          <w:highlight w:val="none"/>
        </w:rPr>
        <w:t>、磋商与评审</w:t>
      </w:r>
    </w:p>
    <w:p w14:paraId="76EB63C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1.磋商仪式</w:t>
      </w:r>
    </w:p>
    <w:p w14:paraId="32B762C6">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1.1采购代理机构将在磋商公告中规定的时间和地点组织磋商开始仪式。供应商应当在磋商公告中规定的时间和地点参加磋商活动。</w:t>
      </w:r>
    </w:p>
    <w:p w14:paraId="5489240B">
      <w:pPr>
        <w:adjustRightInd w:val="0"/>
        <w:snapToGrid w:val="0"/>
        <w:spacing w:line="460" w:lineRule="exact"/>
        <w:ind w:firstLine="560" w:firstLineChars="200"/>
        <w:rPr>
          <w:rFonts w:ascii="宋体" w:hAnsi="宋体" w:cs="宋体"/>
          <w:b/>
          <w:color w:val="auto"/>
          <w:sz w:val="28"/>
          <w:szCs w:val="28"/>
          <w:highlight w:val="none"/>
        </w:rPr>
      </w:pPr>
      <w:r>
        <w:rPr>
          <w:rFonts w:hint="eastAsia" w:ascii="宋体" w:hAnsi="宋体" w:cs="宋体"/>
          <w:bCs/>
          <w:color w:val="auto"/>
          <w:sz w:val="28"/>
          <w:szCs w:val="28"/>
          <w:highlight w:val="none"/>
        </w:rPr>
        <w:t>1.2 磋商活动的文件密封性检查工作</w:t>
      </w:r>
      <w:r>
        <w:rPr>
          <w:rFonts w:hint="eastAsia" w:ascii="宋体" w:hAnsi="宋体" w:cs="宋体"/>
          <w:color w:val="auto"/>
          <w:sz w:val="28"/>
          <w:szCs w:val="28"/>
          <w:highlight w:val="none"/>
        </w:rPr>
        <w:t>由采购代理机构组织。</w:t>
      </w:r>
    </w:p>
    <w:p w14:paraId="1F0D4A5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1.3供应商在磋商过程中涉及到的磋商文件密封性检查、磋商结果确认等工作，按照采购代理机构指引进行。</w:t>
      </w:r>
    </w:p>
    <w:p w14:paraId="56D0EFB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2.磋商小组</w:t>
      </w:r>
    </w:p>
    <w:p w14:paraId="5435F7B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2.1磋商开始仪式结束后，采购代理机构将立即组织磋商小组进行评审。</w:t>
      </w:r>
    </w:p>
    <w:p w14:paraId="43F829F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磋商小组由采购人代表和评审专家共3人以上单数组成，其中评审专家人数不得少于磋商小组成员总数的2/3。采购人不得以评审专家身份参加本部门或本单位采购项目的评审。采购代理机构人员不得参加本机构代理的采购项目的评审。</w:t>
      </w:r>
    </w:p>
    <w:p w14:paraId="1C857DD0">
      <w:pPr>
        <w:adjustRightInd w:val="0"/>
        <w:snapToGrid w:val="0"/>
        <w:spacing w:line="460" w:lineRule="exact"/>
        <w:ind w:firstLine="560" w:firstLineChars="200"/>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2</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3本</w:t>
      </w:r>
      <w:r>
        <w:rPr>
          <w:rFonts w:hint="eastAsia" w:ascii="宋体" w:hAnsi="宋体" w:cs="宋体"/>
          <w:color w:val="auto"/>
          <w:sz w:val="28"/>
          <w:szCs w:val="28"/>
          <w:highlight w:val="none"/>
        </w:rPr>
        <w:t>项目评审专家应当从政府采购评审专家库内相关专业的专家名单中随机抽取</w:t>
      </w:r>
      <w:r>
        <w:rPr>
          <w:rFonts w:hint="eastAsia" w:ascii="宋体" w:hAnsi="宋体" w:cs="宋体"/>
          <w:color w:val="auto"/>
          <w:sz w:val="28"/>
          <w:szCs w:val="28"/>
          <w:highlight w:val="none"/>
          <w:lang w:eastAsia="zh-CN"/>
        </w:rPr>
        <w:t>。</w:t>
      </w:r>
    </w:p>
    <w:p w14:paraId="1C8467B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磋商小组独立工作，负责评审所有响应文件并确定成交候选人。</w:t>
      </w:r>
    </w:p>
    <w:p w14:paraId="1A66427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 磋商评审过程的保密与公正</w:t>
      </w:r>
    </w:p>
    <w:p w14:paraId="608376DD">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3.1磋商小组、采购人和采购代理机构工作人员、相关监督人员等与评审工作有关的人员，对评审情况以及在评审过程中获悉的国家秘密、商业秘密负有保密责任。</w:t>
      </w:r>
    </w:p>
    <w:p w14:paraId="61B58FF3">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3.2在磋商评审过程中，磋商供应商不得以任何行为影响磋商评审过程，否则其响应文件将被作为无效响应文件。</w:t>
      </w:r>
    </w:p>
    <w:p w14:paraId="5FDB10A6">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7B8327E">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3.4</w:t>
      </w:r>
      <w:r>
        <w:rPr>
          <w:rFonts w:hint="eastAsia" w:ascii="宋体" w:hAnsi="宋体" w:cs="宋体"/>
          <w:bCs/>
          <w:color w:val="auto"/>
          <w:sz w:val="28"/>
          <w:szCs w:val="28"/>
          <w:highlight w:val="none"/>
        </w:rPr>
        <w:t>评审开始后，直至向成交供应商授予合同时止，凡是与审查、澄清、评价和比较响应的有关资料以及授标建议等，采购人、磋商小组、采购代理机构均不得向供应商或与评标无关的其他人员透露。</w:t>
      </w:r>
    </w:p>
    <w:p w14:paraId="55173DD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3.5在评审期间，采购代理机构将设专门人员与供应商联系。</w:t>
      </w:r>
    </w:p>
    <w:p w14:paraId="2DB2E44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3.6采购代理机构和评审小组不向未成交的供应商解释未成交原因，也不公布评审过程中的相关细节。</w:t>
      </w:r>
    </w:p>
    <w:p w14:paraId="19FAA9EF">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4.评审过程的澄清</w:t>
      </w:r>
    </w:p>
    <w:p w14:paraId="39CB293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4.1评审期间，为有助于对响应文件的审查、评价和比较，磋商小组有权要求响应人对其响应文件进行澄清，但并非对每个供应商都作澄清要求。</w:t>
      </w:r>
    </w:p>
    <w:p w14:paraId="1E013FC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4.2接到磋商小组澄清要求的供应商应按磋商小组规定的时间和格式做出澄清，澄清的内容作为响应文件的补充部分，但实质性的内容不得做任何更改。</w:t>
      </w:r>
    </w:p>
    <w:p w14:paraId="5BE8B2D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4.3 接到磋商小组澄清要求的供应商如未按规定</w:t>
      </w:r>
      <w:r>
        <w:rPr>
          <w:rFonts w:hint="eastAsia" w:ascii="宋体" w:hAnsi="宋体" w:cs="宋体"/>
          <w:color w:val="auto"/>
          <w:sz w:val="28"/>
          <w:szCs w:val="28"/>
          <w:highlight w:val="none"/>
          <w:lang w:eastAsia="zh-CN"/>
        </w:rPr>
        <w:t>作出</w:t>
      </w:r>
      <w:r>
        <w:rPr>
          <w:rFonts w:hint="eastAsia" w:ascii="宋体" w:hAnsi="宋体" w:cs="宋体"/>
          <w:color w:val="auto"/>
          <w:sz w:val="28"/>
          <w:szCs w:val="28"/>
          <w:highlight w:val="none"/>
        </w:rPr>
        <w:t>澄清，其风</w:t>
      </w:r>
      <w:r>
        <w:rPr>
          <w:rFonts w:hint="eastAsia" w:ascii="宋体" w:hAnsi="宋体" w:cs="宋体"/>
          <w:bCs/>
          <w:color w:val="auto"/>
          <w:sz w:val="28"/>
          <w:szCs w:val="28"/>
          <w:highlight w:val="none"/>
        </w:rPr>
        <w:t>险由供应商自行承担。</w:t>
      </w:r>
    </w:p>
    <w:p w14:paraId="63FCE8F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5.对响应文件的初审</w:t>
      </w:r>
    </w:p>
    <w:p w14:paraId="78E8106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5.1响应文件初审分为资格性审查和符合性审查。</w:t>
      </w:r>
    </w:p>
    <w:p w14:paraId="526121C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5.1.1资格性检查：依据法律法规和磋商文件的规定，由采购人对响应文件中的资格审查文件进行审查。</w:t>
      </w:r>
    </w:p>
    <w:p w14:paraId="4C412BB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5.1.2符合性审查：依据磋商文件的规定，由磋商小组从响应文件的有效性、完整性和对磋商文件的响应程度进行审查，以确定是否对磋商文件的实质性要求作出响应。</w:t>
      </w:r>
    </w:p>
    <w:p w14:paraId="70CCD0B7">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5.1.3未通过资格审查或符合性审查的</w:t>
      </w:r>
      <w:r>
        <w:rPr>
          <w:rFonts w:hint="eastAsia" w:ascii="宋体" w:hAnsi="宋体" w:cs="宋体"/>
          <w:bCs/>
          <w:color w:val="auto"/>
          <w:sz w:val="28"/>
          <w:szCs w:val="28"/>
          <w:highlight w:val="none"/>
          <w:lang w:eastAsia="zh-CN"/>
        </w:rPr>
        <w:t>供应商</w:t>
      </w:r>
      <w:r>
        <w:rPr>
          <w:rFonts w:hint="eastAsia" w:ascii="宋体" w:hAnsi="宋体" w:cs="宋体"/>
          <w:bCs/>
          <w:color w:val="auto"/>
          <w:sz w:val="28"/>
          <w:szCs w:val="28"/>
          <w:highlight w:val="none"/>
        </w:rPr>
        <w:t>，采购代理机构将告知未通过资格审查或符合性审查的原因，并记录存档。</w:t>
      </w:r>
    </w:p>
    <w:p w14:paraId="3ED6BC1F">
      <w:pPr>
        <w:tabs>
          <w:tab w:val="left" w:pos="900"/>
        </w:tabs>
        <w:adjustRightInd w:val="0"/>
        <w:snapToGrid w:val="0"/>
        <w:spacing w:line="46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5.2异常低价审查</w:t>
      </w:r>
    </w:p>
    <w:p w14:paraId="74676E8C">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（1）根据财库〔2026〕2号文件,政府采购评审中出现下列情形之一的，评审委员会应当启动异常低价投标（响应）审查程序：</w:t>
      </w:r>
    </w:p>
    <w:p w14:paraId="2E4022FF">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①</w:t>
      </w:r>
      <w:r>
        <w:rPr>
          <w:rFonts w:hint="eastAsia" w:ascii="宋体" w:hAnsi="宋体" w:cs="宋体"/>
          <w:bCs/>
          <w:color w:val="auto"/>
          <w:sz w:val="28"/>
          <w:szCs w:val="28"/>
          <w:highlight w:val="none"/>
        </w:rPr>
        <w:t xml:space="preserve">投标（响应）报价低于全部通过符合性审查供应商投标（响应）报价平均值50%的，即投标（响应）报价&lt;全部通过符合性审查供应商投标（响应）报价平均值×50%； </w:t>
      </w:r>
    </w:p>
    <w:p w14:paraId="24873C81">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②</w:t>
      </w:r>
      <w:r>
        <w:rPr>
          <w:rFonts w:hint="eastAsia" w:ascii="宋体" w:hAnsi="宋体" w:cs="宋体"/>
          <w:bCs/>
          <w:color w:val="auto"/>
          <w:sz w:val="28"/>
          <w:szCs w:val="28"/>
          <w:highlight w:val="none"/>
        </w:rPr>
        <w:t xml:space="preserve">投标（响应）报价低于通过符合性审查的次低报价供应商投标（响应）报价50%的，即投标（响应）报价&lt;通过符合性审查的次低报价供应商投标（响应）报价×50%； </w:t>
      </w:r>
    </w:p>
    <w:p w14:paraId="23AD8293">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③</w:t>
      </w:r>
      <w:r>
        <w:rPr>
          <w:rFonts w:hint="eastAsia" w:ascii="宋体" w:hAnsi="宋体" w:cs="宋体"/>
          <w:bCs/>
          <w:color w:val="auto"/>
          <w:sz w:val="28"/>
          <w:szCs w:val="28"/>
          <w:highlight w:val="none"/>
        </w:rPr>
        <w:t>投标（响应）报价低于采购项目最高限价</w:t>
      </w:r>
      <w:r>
        <w:rPr>
          <w:rFonts w:hint="eastAsia" w:ascii="宋体" w:hAnsi="宋体" w:cs="宋体"/>
          <w:bCs/>
          <w:color w:val="auto"/>
          <w:sz w:val="28"/>
          <w:szCs w:val="28"/>
          <w:highlight w:val="none"/>
          <w:lang w:val="en-US" w:eastAsia="zh-CN"/>
        </w:rPr>
        <w:t>45</w:t>
      </w:r>
      <w:r>
        <w:rPr>
          <w:rFonts w:hint="eastAsia" w:ascii="宋体" w:hAnsi="宋体" w:cs="宋体"/>
          <w:bCs/>
          <w:color w:val="auto"/>
          <w:sz w:val="28"/>
          <w:szCs w:val="28"/>
          <w:highlight w:val="none"/>
        </w:rPr>
        <w:t>%的，即投标（响应）报价&lt;采购项目最高限价×</w:t>
      </w:r>
      <w:r>
        <w:rPr>
          <w:rFonts w:hint="eastAsia" w:ascii="宋体" w:hAnsi="宋体" w:cs="宋体"/>
          <w:bCs/>
          <w:color w:val="auto"/>
          <w:sz w:val="28"/>
          <w:szCs w:val="28"/>
          <w:highlight w:val="none"/>
          <w:lang w:val="en-US" w:eastAsia="zh-CN"/>
        </w:rPr>
        <w:t>45</w:t>
      </w:r>
      <w:r>
        <w:rPr>
          <w:rFonts w:hint="eastAsia" w:ascii="宋体" w:hAnsi="宋体" w:cs="宋体"/>
          <w:bCs/>
          <w:color w:val="auto"/>
          <w:sz w:val="28"/>
          <w:szCs w:val="28"/>
          <w:highlight w:val="none"/>
        </w:rPr>
        <w:t xml:space="preserve">%； </w:t>
      </w:r>
    </w:p>
    <w:p w14:paraId="097CA6A3">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④</w:t>
      </w:r>
      <w:r>
        <w:rPr>
          <w:rFonts w:hint="eastAsia" w:ascii="宋体" w:hAnsi="宋体" w:cs="宋体"/>
          <w:bCs/>
          <w:color w:val="auto"/>
          <w:sz w:val="28"/>
          <w:szCs w:val="28"/>
          <w:highlight w:val="none"/>
        </w:rPr>
        <w:t xml:space="preserve">评审委员会基于专业判断，认为供应商报价过低，有可能影响产品质量或者不能诚信履约的其他情形。 </w:t>
      </w:r>
    </w:p>
    <w:p w14:paraId="59C49B0A">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2）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w:t>
      </w:r>
      <w:r>
        <w:rPr>
          <w:rFonts w:hint="eastAsia" w:ascii="宋体" w:hAnsi="宋体" w:cs="宋体"/>
          <w:bCs/>
          <w:color w:val="auto"/>
          <w:sz w:val="28"/>
          <w:szCs w:val="28"/>
          <w:highlight w:val="none"/>
          <w:lang w:eastAsia="zh-CN"/>
        </w:rPr>
        <w:t>③</w:t>
      </w:r>
      <w:r>
        <w:rPr>
          <w:rFonts w:hint="eastAsia" w:ascii="宋体" w:hAnsi="宋体" w:cs="宋体"/>
          <w:bCs/>
          <w:color w:val="auto"/>
          <w:sz w:val="28"/>
          <w:szCs w:val="28"/>
          <w:highlight w:val="none"/>
        </w:rPr>
        <w:t>项情形，</w:t>
      </w:r>
      <w:r>
        <w:rPr>
          <w:rFonts w:hint="eastAsia" w:ascii="宋体" w:hAnsi="宋体" w:cs="宋体"/>
          <w:bCs/>
          <w:color w:val="auto"/>
          <w:sz w:val="28"/>
          <w:szCs w:val="28"/>
          <w:highlight w:val="none"/>
          <w:lang w:eastAsia="zh-CN"/>
        </w:rPr>
        <w:t>供应商</w:t>
      </w:r>
      <w:r>
        <w:rPr>
          <w:rFonts w:hint="eastAsia" w:ascii="宋体" w:hAnsi="宋体" w:cs="宋体"/>
          <w:bCs/>
          <w:color w:val="auto"/>
          <w:sz w:val="28"/>
          <w:szCs w:val="28"/>
          <w:highlight w:val="none"/>
        </w:rPr>
        <w:t>已随投标（响应）文件一并提交相关书面说明及必要的证明材料的，在评审现场可不再重复提交。</w:t>
      </w:r>
    </w:p>
    <w:p w14:paraId="04DE89A9">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AD8EF0B">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4）采购人、采购代理机构应当为评审小组在评审现场及时获取同类项目中标（中标）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p>
    <w:p w14:paraId="5B0AF3EC">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（5）异常低价投标审查的启动原因、审查意见和审查结果应当在评审报告中记录，并随供应商提供的相关书面说明及证明材料，以及评审小组有关互联网浏览、查询历史一并归档。</w:t>
      </w:r>
    </w:p>
    <w:p w14:paraId="2AF1422D">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3</w:t>
      </w:r>
      <w:r>
        <w:rPr>
          <w:rFonts w:hint="eastAsia" w:ascii="宋体" w:hAnsi="宋体" w:cs="宋体"/>
          <w:bCs/>
          <w:color w:val="auto"/>
          <w:sz w:val="28"/>
          <w:szCs w:val="28"/>
          <w:highlight w:val="none"/>
        </w:rPr>
        <w:t>在正式磋商之前，磋商小组将首先审查每份响应文件是否实质性响应了磋商文件的要求。实质性响应的响应文件应该是与磋商文件要求的全部条款、条件和规格相符，没有重大负偏离或保留。</w:t>
      </w:r>
    </w:p>
    <w:p w14:paraId="1B36624F">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8DC05F3">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4</w:t>
      </w:r>
      <w:r>
        <w:rPr>
          <w:rFonts w:hint="eastAsia" w:ascii="宋体" w:hAnsi="宋体" w:cs="宋体"/>
          <w:bCs/>
          <w:color w:val="auto"/>
          <w:sz w:val="28"/>
          <w:szCs w:val="28"/>
          <w:highlight w:val="none"/>
        </w:rPr>
        <w:t>如果响应文件实质上没有响应磋商文件的要求，磋商小组将予以拒绝，供应商不得通过修改或撤销</w:t>
      </w:r>
      <w:r>
        <w:rPr>
          <w:rFonts w:hint="eastAsia" w:ascii="宋体" w:hAnsi="宋体" w:cs="宋体"/>
          <w:bCs/>
          <w:color w:val="auto"/>
          <w:sz w:val="28"/>
          <w:szCs w:val="28"/>
          <w:highlight w:val="none"/>
          <w:lang w:eastAsia="zh-CN"/>
        </w:rPr>
        <w:t>不符</w:t>
      </w:r>
      <w:r>
        <w:rPr>
          <w:rFonts w:hint="eastAsia" w:ascii="宋体" w:hAnsi="宋体" w:cs="宋体"/>
          <w:bCs/>
          <w:color w:val="auto"/>
          <w:sz w:val="28"/>
          <w:szCs w:val="28"/>
          <w:highlight w:val="none"/>
        </w:rPr>
        <w:t>合要求的偏离或保留而使其响应文件成为实质性响应的文件。</w:t>
      </w:r>
    </w:p>
    <w:p w14:paraId="0A17E42F">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5</w:t>
      </w:r>
      <w:r>
        <w:rPr>
          <w:rFonts w:hint="eastAsia" w:ascii="宋体" w:hAnsi="宋体" w:cs="宋体"/>
          <w:bCs/>
          <w:color w:val="auto"/>
          <w:sz w:val="28"/>
          <w:szCs w:val="28"/>
          <w:highlight w:val="none"/>
        </w:rPr>
        <w:t>磋商小组将对确定为实质性响应的文件进行进一步审核，看其是否有计算上或累加上的算术错误，修正错误的原则如下：</w:t>
      </w:r>
    </w:p>
    <w:p w14:paraId="3D77D13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（1）响应文件中</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内容与响应文件中</w:t>
      </w:r>
      <w:r>
        <w:rPr>
          <w:rFonts w:hint="eastAsia" w:ascii="宋体" w:hAnsi="宋体" w:cs="宋体"/>
          <w:bCs/>
          <w:color w:val="auto"/>
          <w:sz w:val="28"/>
          <w:szCs w:val="28"/>
          <w:highlight w:val="none"/>
          <w:lang w:eastAsia="zh-CN"/>
        </w:rPr>
        <w:t>响应</w:t>
      </w:r>
      <w:r>
        <w:rPr>
          <w:rFonts w:hint="eastAsia" w:ascii="宋体" w:hAnsi="宋体" w:cs="宋体"/>
          <w:bCs/>
          <w:color w:val="auto"/>
          <w:sz w:val="28"/>
          <w:szCs w:val="28"/>
          <w:highlight w:val="none"/>
        </w:rPr>
        <w:t>内容不一致的，以</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为准。</w:t>
      </w:r>
    </w:p>
    <w:p w14:paraId="78801776">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（2）大写金额和小写金额不一致的，以大写金额为准。</w:t>
      </w:r>
    </w:p>
    <w:p w14:paraId="30A906B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（3）单价金额小数点或者百分比有明显错位的，以</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的总价为准，并修改单价。</w:t>
      </w:r>
    </w:p>
    <w:p w14:paraId="3146CAB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（4）总价金额与按单价汇总金额不一致的，以单价金额计算结果为准。</w:t>
      </w:r>
    </w:p>
    <w:p w14:paraId="2BEB0D9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同时出现两种以上错误的，按照前款规定的顺序修正。</w:t>
      </w:r>
    </w:p>
    <w:p w14:paraId="21ACFD8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5</w:t>
      </w:r>
      <w:r>
        <w:rPr>
          <w:rFonts w:hint="eastAsia" w:ascii="宋体" w:hAnsi="宋体" w:cs="宋体"/>
          <w:bCs/>
          <w:color w:val="auto"/>
          <w:sz w:val="28"/>
          <w:szCs w:val="28"/>
          <w:highlight w:val="none"/>
        </w:rPr>
        <w:t>.</w:t>
      </w:r>
      <w:r>
        <w:rPr>
          <w:rFonts w:hint="eastAsia" w:ascii="宋体" w:hAnsi="宋体" w:cs="宋体"/>
          <w:bCs/>
          <w:color w:val="auto"/>
          <w:sz w:val="28"/>
          <w:szCs w:val="28"/>
          <w:highlight w:val="none"/>
          <w:lang w:val="en-US" w:eastAsia="zh-CN"/>
        </w:rPr>
        <w:t>6</w:t>
      </w:r>
      <w:r>
        <w:rPr>
          <w:rFonts w:hint="eastAsia" w:ascii="宋体" w:hAnsi="宋体" w:cs="宋体"/>
          <w:bCs/>
          <w:color w:val="auto"/>
          <w:sz w:val="28"/>
          <w:szCs w:val="28"/>
          <w:highlight w:val="none"/>
        </w:rPr>
        <w:t>磋商小组将按上述修正错误的方法调整响应文件中的报价，并告知供应商，调整后的价格应对供应商具有约束力。如果供应商不接受修正后的价格，则其磋商活动将被拒绝。</w:t>
      </w:r>
    </w:p>
    <w:p w14:paraId="3B18FFF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7</w:t>
      </w:r>
      <w:r>
        <w:rPr>
          <w:rFonts w:hint="eastAsia" w:ascii="宋体" w:hAnsi="宋体" w:cs="宋体"/>
          <w:bCs/>
          <w:color w:val="auto"/>
          <w:sz w:val="28"/>
          <w:szCs w:val="28"/>
          <w:highlight w:val="none"/>
        </w:rPr>
        <w:t>磋商小组将允许修正响应文件中不构成重大偏离的、微小的、非正规的、不一致的或不规则的地方，但这些修改不能影响任何供应商相应的名次排列。</w:t>
      </w:r>
    </w:p>
    <w:p w14:paraId="2FDF33D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8</w:t>
      </w:r>
      <w:r>
        <w:rPr>
          <w:rFonts w:hint="eastAsia" w:ascii="宋体" w:hAnsi="宋体" w:cs="宋体"/>
          <w:color w:val="auto"/>
          <w:sz w:val="28"/>
          <w:szCs w:val="28"/>
          <w:highlight w:val="none"/>
        </w:rPr>
        <w:t>供应商在评审全过程中应保持通讯畅通，并安排专人与采购代理机构及磋商小组联系（适用于不见面磋商模式）。</w:t>
      </w:r>
    </w:p>
    <w:p w14:paraId="13DE5F6E">
      <w:pPr>
        <w:tabs>
          <w:tab w:val="left" w:pos="6555"/>
          <w:tab w:val="right" w:pos="8306"/>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6.被认定为未实质性响应磋商文件的响应文件的情形。</w:t>
      </w:r>
    </w:p>
    <w:p w14:paraId="4D7979B6">
      <w:pPr>
        <w:tabs>
          <w:tab w:val="left" w:pos="6555"/>
          <w:tab w:val="right" w:pos="8306"/>
        </w:tabs>
        <w:adjustRightInd w:val="0"/>
        <w:snapToGrid w:val="0"/>
        <w:spacing w:line="460" w:lineRule="exact"/>
        <w:ind w:firstLine="560" w:firstLineChars="200"/>
        <w:rPr>
          <w:rFonts w:ascii="宋体" w:hAnsi="宋体" w:cs="宋体"/>
          <w:b/>
          <w:color w:val="auto"/>
          <w:sz w:val="28"/>
          <w:szCs w:val="28"/>
          <w:highlight w:val="none"/>
        </w:rPr>
      </w:pPr>
      <w:r>
        <w:rPr>
          <w:rFonts w:hint="eastAsia" w:ascii="宋体" w:hAnsi="宋体" w:cs="宋体"/>
          <w:bCs/>
          <w:color w:val="auto"/>
          <w:sz w:val="28"/>
          <w:szCs w:val="28"/>
          <w:highlight w:val="none"/>
        </w:rPr>
        <w:t>6.1出现下列情形之一的，作无效响应处理。</w:t>
      </w:r>
      <w:r>
        <w:rPr>
          <w:rFonts w:hint="eastAsia" w:ascii="宋体" w:hAnsi="宋体" w:cs="宋体"/>
          <w:bCs/>
          <w:color w:val="auto"/>
          <w:sz w:val="28"/>
          <w:szCs w:val="28"/>
          <w:highlight w:val="none"/>
        </w:rPr>
        <w:tab/>
      </w:r>
      <w:r>
        <w:rPr>
          <w:rFonts w:hint="eastAsia" w:ascii="宋体" w:hAnsi="宋体" w:cs="宋体"/>
          <w:b/>
          <w:color w:val="auto"/>
          <w:sz w:val="28"/>
          <w:szCs w:val="28"/>
          <w:highlight w:val="none"/>
        </w:rPr>
        <w:tab/>
      </w:r>
    </w:p>
    <w:p w14:paraId="032A241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6.1.1供应商在规定的时间内未成功提交磋商响应文件的。</w:t>
      </w:r>
    </w:p>
    <w:p w14:paraId="7293850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6.1.2未完整提交响应文件的。</w:t>
      </w:r>
    </w:p>
    <w:p w14:paraId="028E877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6.1.3同一供应商提交两个（含两个）以上不同的响应报价的。</w:t>
      </w:r>
    </w:p>
    <w:p w14:paraId="59C8EB6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6.1.4不具备磋商文件中规定的资格要求的。 </w:t>
      </w:r>
    </w:p>
    <w:p w14:paraId="07DE169B">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6.1.5响应报价超过了采购预算或最高限价的。 </w:t>
      </w:r>
    </w:p>
    <w:p w14:paraId="31C3E39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6.1.6未通过符合性检查的。</w:t>
      </w:r>
    </w:p>
    <w:p w14:paraId="51F2678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6.1.7不符合法律、法规和磋商文件中规定的其他实质性要求的。</w:t>
      </w:r>
    </w:p>
    <w:p w14:paraId="3F740B2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F7E664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6.1.9 响应文件含有采购人不能接受的附加条件的。</w:t>
      </w:r>
    </w:p>
    <w:p w14:paraId="52C42F9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6.1.10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56BA9F9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w:t>
      </w:r>
      <w:r>
        <w:rPr>
          <w:rFonts w:hint="eastAsia" w:ascii="宋体" w:hAnsi="宋体" w:cs="宋体"/>
          <w:bCs/>
          <w:color w:val="auto"/>
          <w:sz w:val="28"/>
          <w:szCs w:val="28"/>
          <w:highlight w:val="none"/>
          <w:lang w:val="en-US" w:eastAsia="zh-CN"/>
        </w:rPr>
        <w:t>1</w:t>
      </w:r>
      <w:r>
        <w:rPr>
          <w:rFonts w:hint="eastAsia" w:ascii="宋体" w:hAnsi="宋体" w:cs="宋体"/>
          <w:bCs/>
          <w:color w:val="auto"/>
          <w:sz w:val="28"/>
          <w:szCs w:val="28"/>
          <w:highlight w:val="none"/>
        </w:rPr>
        <w:t>响应文件未按照采购文件要求盖章的。</w:t>
      </w:r>
    </w:p>
    <w:p w14:paraId="766C2A1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供应商的商务技术部分得分相差悬殊，评标委员会认为得分畸低者没有实质性响应的</w:t>
      </w:r>
      <w:r>
        <w:rPr>
          <w:rFonts w:hint="eastAsia" w:ascii="宋体" w:hAnsi="宋体" w:eastAsia="宋体" w:cs="宋体"/>
          <w:bCs/>
          <w:color w:val="auto"/>
          <w:sz w:val="28"/>
          <w:szCs w:val="28"/>
          <w:highlight w:val="none"/>
        </w:rPr>
        <w:t>（</w:t>
      </w:r>
      <w:r>
        <w:rPr>
          <w:rFonts w:hint="eastAsia" w:ascii="宋体" w:hAnsi="宋体" w:cs="宋体"/>
          <w:bCs/>
          <w:color w:val="auto"/>
          <w:sz w:val="28"/>
          <w:szCs w:val="28"/>
          <w:highlight w:val="none"/>
          <w:lang w:eastAsia="zh-CN"/>
        </w:rPr>
        <w:t>供应商</w:t>
      </w:r>
      <w:r>
        <w:rPr>
          <w:rFonts w:hint="eastAsia" w:ascii="宋体" w:hAnsi="宋体" w:eastAsia="宋体" w:cs="宋体"/>
          <w:bCs/>
          <w:color w:val="auto"/>
          <w:sz w:val="28"/>
          <w:szCs w:val="28"/>
          <w:highlight w:val="none"/>
        </w:rPr>
        <w:t>商务技术标得分低于招标文件商务技术总分的50%</w:t>
      </w:r>
      <w:r>
        <w:rPr>
          <w:rFonts w:hint="eastAsia" w:ascii="宋体" w:hAnsi="宋体" w:cs="宋体"/>
          <w:bCs/>
          <w:color w:val="auto"/>
          <w:sz w:val="28"/>
          <w:szCs w:val="28"/>
          <w:highlight w:val="none"/>
          <w:lang w:eastAsia="zh-CN"/>
        </w:rPr>
        <w:t>的</w:t>
      </w:r>
      <w:r>
        <w:rPr>
          <w:rFonts w:hint="eastAsia" w:ascii="宋体" w:hAnsi="宋体" w:eastAsia="宋体" w:cs="宋体"/>
          <w:bCs/>
          <w:color w:val="auto"/>
          <w:sz w:val="28"/>
          <w:szCs w:val="28"/>
          <w:highlight w:val="none"/>
        </w:rPr>
        <w:t>。）</w:t>
      </w:r>
      <w:r>
        <w:rPr>
          <w:rFonts w:hint="eastAsia" w:ascii="宋体" w:hAnsi="宋体" w:cs="宋体"/>
          <w:bCs/>
          <w:color w:val="auto"/>
          <w:sz w:val="28"/>
          <w:szCs w:val="28"/>
          <w:highlight w:val="none"/>
        </w:rPr>
        <w:t>。</w:t>
      </w:r>
    </w:p>
    <w:p w14:paraId="06BD4527">
      <w:pPr>
        <w:adjustRightInd w:val="0"/>
        <w:snapToGrid w:val="0"/>
        <w:spacing w:line="460" w:lineRule="exact"/>
        <w:ind w:firstLine="560" w:firstLineChars="200"/>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6.1.13启动异常低价响应审查后，供应商不提供书面说明、证明材料，或者提供的书面说明、证明材料不能证明其报价合理性的。</w:t>
      </w:r>
    </w:p>
    <w:p w14:paraId="7F736D82">
      <w:pPr>
        <w:adjustRightInd w:val="0"/>
        <w:snapToGrid w:val="0"/>
        <w:spacing w:line="460" w:lineRule="exact"/>
        <w:ind w:firstLine="560" w:firstLineChars="200"/>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6.1.14</w:t>
      </w:r>
      <w:r>
        <w:rPr>
          <w:rFonts w:hint="eastAsia" w:ascii="宋体" w:hAnsi="宋体" w:cs="宋体"/>
          <w:b/>
          <w:bCs/>
          <w:color w:val="auto"/>
          <w:sz w:val="28"/>
          <w:szCs w:val="28"/>
          <w:highlight w:val="none"/>
        </w:rPr>
        <w:t>本项目</w:t>
      </w:r>
      <w:r>
        <w:rPr>
          <w:rFonts w:hint="eastAsia" w:ascii="宋体" w:hAnsi="宋体" w:cs="宋体"/>
          <w:b/>
          <w:bCs/>
          <w:color w:val="auto"/>
          <w:sz w:val="28"/>
          <w:szCs w:val="28"/>
          <w:highlight w:val="none"/>
          <w:lang w:val="en-US" w:eastAsia="zh-CN"/>
        </w:rPr>
        <w:t>供应商</w:t>
      </w:r>
      <w:r>
        <w:rPr>
          <w:rFonts w:hint="eastAsia" w:ascii="宋体" w:hAnsi="宋体" w:cs="宋体"/>
          <w:b/>
          <w:bCs/>
          <w:color w:val="auto"/>
          <w:sz w:val="28"/>
          <w:szCs w:val="28"/>
          <w:highlight w:val="none"/>
        </w:rPr>
        <w:t>之间被通过“天眼查或企查查”查询确认有关联性的。</w:t>
      </w:r>
    </w:p>
    <w:p w14:paraId="2F5A63B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w:t>
      </w:r>
      <w:r>
        <w:rPr>
          <w:rFonts w:hint="eastAsia" w:ascii="宋体" w:hAnsi="宋体" w:cs="宋体"/>
          <w:bCs/>
          <w:color w:val="auto"/>
          <w:sz w:val="28"/>
          <w:szCs w:val="28"/>
          <w:highlight w:val="none"/>
          <w:lang w:val="en-US" w:eastAsia="zh-CN"/>
        </w:rPr>
        <w:t>5</w:t>
      </w:r>
      <w:r>
        <w:rPr>
          <w:rFonts w:hint="eastAsia" w:ascii="宋体" w:hAnsi="宋体" w:cs="宋体"/>
          <w:bCs/>
          <w:color w:val="auto"/>
          <w:sz w:val="28"/>
          <w:szCs w:val="28"/>
          <w:highlight w:val="none"/>
        </w:rPr>
        <w:t>其他法律、法规及本磋商文件规定的属无效响应的情形。</w:t>
      </w:r>
    </w:p>
    <w:p w14:paraId="531F9C1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6.2出现下列情形之一的，磋商失败。</w:t>
      </w:r>
    </w:p>
    <w:p w14:paraId="5FC5CE5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6.2.1符合条件的供应商或者对磋商文件作实质响应的供应商不足3家的（市场竞争不充分的科研项目，以及需要扶持的科技成果转化项目可以是2家）；</w:t>
      </w:r>
    </w:p>
    <w:p w14:paraId="0471E17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6.2.2出现影响采购公正的违法违规行为的；</w:t>
      </w:r>
    </w:p>
    <w:p w14:paraId="257BFC5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6.2.3因重大变故，采购任务取消的。</w:t>
      </w:r>
    </w:p>
    <w:p w14:paraId="3BBAD79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6.2.4磋商小组认定磋商文件存在歧义、重大缺陷导致评审工作无法进行。</w:t>
      </w:r>
    </w:p>
    <w:p w14:paraId="6F401CC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6.2.5 因系统故障原因造成磋商无法继续进行的</w:t>
      </w:r>
      <w:r>
        <w:rPr>
          <w:rFonts w:hint="eastAsia" w:ascii="宋体" w:hAnsi="宋体" w:cs="宋体"/>
          <w:color w:val="auto"/>
          <w:sz w:val="28"/>
          <w:szCs w:val="28"/>
          <w:highlight w:val="none"/>
        </w:rPr>
        <w:t>（适用于不见面磋商模式）</w:t>
      </w:r>
      <w:r>
        <w:rPr>
          <w:rFonts w:hint="eastAsia" w:ascii="宋体" w:hAnsi="宋体" w:cs="宋体"/>
          <w:bCs/>
          <w:color w:val="auto"/>
          <w:sz w:val="28"/>
          <w:szCs w:val="28"/>
          <w:highlight w:val="none"/>
        </w:rPr>
        <w:t>。</w:t>
      </w:r>
    </w:p>
    <w:p w14:paraId="2866AF2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6.3 响应</w:t>
      </w:r>
      <w:r>
        <w:rPr>
          <w:rFonts w:hint="eastAsia" w:ascii="宋体" w:hAnsi="宋体" w:cs="宋体"/>
          <w:color w:val="auto"/>
          <w:sz w:val="28"/>
          <w:szCs w:val="28"/>
          <w:highlight w:val="none"/>
        </w:rPr>
        <w:t>文件提交</w:t>
      </w:r>
      <w:r>
        <w:rPr>
          <w:rFonts w:hint="eastAsia" w:ascii="宋体" w:hAnsi="宋体" w:cs="宋体"/>
          <w:bCs/>
          <w:color w:val="auto"/>
          <w:sz w:val="28"/>
          <w:szCs w:val="28"/>
          <w:highlight w:val="none"/>
        </w:rPr>
        <w:t>截止时间结束后参加磋商的供应商不足三家的处理：</w:t>
      </w:r>
    </w:p>
    <w:p w14:paraId="14A4DE86">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6.3.1如出现响应</w:t>
      </w:r>
      <w:r>
        <w:rPr>
          <w:rFonts w:hint="eastAsia" w:ascii="宋体" w:hAnsi="宋体" w:cs="宋体"/>
          <w:color w:val="auto"/>
          <w:sz w:val="28"/>
          <w:szCs w:val="28"/>
          <w:highlight w:val="none"/>
        </w:rPr>
        <w:t>文件提交</w:t>
      </w:r>
      <w:r>
        <w:rPr>
          <w:rFonts w:hint="eastAsia" w:ascii="宋体" w:hAnsi="宋体" w:cs="宋体"/>
          <w:bCs/>
          <w:color w:val="auto"/>
          <w:sz w:val="28"/>
          <w:szCs w:val="28"/>
          <w:highlight w:val="none"/>
        </w:rPr>
        <w:t>截止时间结束后参加磋商的供应商或者在评审期间对磋商文件做出实质响应的供应商不足三家情况，除采购任务取消情形外，按照以下方式处理：</w:t>
      </w:r>
    </w:p>
    <w:p w14:paraId="2BC93E3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1.采购文件存在不合理条款或者</w:t>
      </w:r>
      <w:r>
        <w:rPr>
          <w:rFonts w:hint="eastAsia" w:ascii="宋体" w:hAnsi="宋体" w:cs="宋体"/>
          <w:bCs/>
          <w:color w:val="auto"/>
          <w:sz w:val="28"/>
          <w:szCs w:val="28"/>
          <w:highlight w:val="none"/>
          <w:lang w:val="en-US" w:eastAsia="zh-CN"/>
        </w:rPr>
        <w:t>采购</w:t>
      </w:r>
      <w:r>
        <w:rPr>
          <w:rFonts w:hint="eastAsia" w:ascii="宋体" w:hAnsi="宋体" w:cs="宋体"/>
          <w:bCs/>
          <w:color w:val="auto"/>
          <w:sz w:val="28"/>
          <w:szCs w:val="28"/>
          <w:highlight w:val="none"/>
        </w:rPr>
        <w:t>程序不符合规定的，采购人、采购代理机构改正后依法重新采购；</w:t>
      </w:r>
    </w:p>
    <w:p w14:paraId="52D2EE7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2采购文件没有不合理条款、采购程序符合规定，需要采用其他采购</w:t>
      </w:r>
      <w:r>
        <w:rPr>
          <w:rFonts w:hint="eastAsia" w:ascii="宋体" w:hAnsi="宋体" w:cs="宋体"/>
          <w:bCs/>
          <w:color w:val="auto"/>
          <w:sz w:val="28"/>
          <w:szCs w:val="28"/>
          <w:highlight w:val="none"/>
          <w:lang w:eastAsia="zh-CN"/>
        </w:rPr>
        <w:t>人方</w:t>
      </w:r>
      <w:r>
        <w:rPr>
          <w:rFonts w:hint="eastAsia" w:ascii="宋体" w:hAnsi="宋体" w:cs="宋体"/>
          <w:bCs/>
          <w:color w:val="auto"/>
          <w:sz w:val="28"/>
          <w:szCs w:val="28"/>
          <w:highlight w:val="none"/>
        </w:rPr>
        <w:t>式采购的，采购人应当依法报采购监管部门批准。</w:t>
      </w:r>
    </w:p>
    <w:bookmarkEnd w:id="71"/>
    <w:bookmarkEnd w:id="72"/>
    <w:bookmarkEnd w:id="73"/>
    <w:p w14:paraId="63468069">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74" w:name="_Toc120614219"/>
      <w:r>
        <w:rPr>
          <w:rFonts w:hint="eastAsia" w:ascii="宋体" w:hAnsi="宋体" w:cs="宋体"/>
          <w:b/>
          <w:bCs/>
          <w:color w:val="auto"/>
          <w:kern w:val="0"/>
          <w:sz w:val="28"/>
          <w:szCs w:val="28"/>
          <w:highlight w:val="none"/>
        </w:rPr>
        <w:t>六</w:t>
      </w:r>
      <w:bookmarkEnd w:id="74"/>
      <w:r>
        <w:rPr>
          <w:rFonts w:hint="eastAsia" w:ascii="宋体" w:hAnsi="宋体" w:cs="宋体"/>
          <w:b/>
          <w:bCs/>
          <w:color w:val="auto"/>
          <w:kern w:val="0"/>
          <w:sz w:val="28"/>
          <w:szCs w:val="28"/>
          <w:highlight w:val="none"/>
        </w:rPr>
        <w:t>、成交</w:t>
      </w:r>
    </w:p>
    <w:p w14:paraId="5A7A1AAE">
      <w:pPr>
        <w:keepNext/>
        <w:adjustRightInd w:val="0"/>
        <w:snapToGrid w:val="0"/>
        <w:spacing w:line="460" w:lineRule="exact"/>
        <w:ind w:firstLine="560" w:firstLineChars="200"/>
        <w:rPr>
          <w:rFonts w:ascii="宋体" w:hAnsi="宋体" w:cs="宋体"/>
          <w:b/>
          <w:color w:val="auto"/>
          <w:kern w:val="0"/>
          <w:sz w:val="28"/>
          <w:szCs w:val="28"/>
          <w:highlight w:val="none"/>
        </w:rPr>
      </w:pPr>
      <w:bookmarkStart w:id="75" w:name="_Toc20823310"/>
      <w:bookmarkStart w:id="76" w:name="_Toc16938554"/>
      <w:r>
        <w:rPr>
          <w:rFonts w:hint="eastAsia" w:ascii="宋体" w:hAnsi="宋体" w:cs="宋体"/>
          <w:color w:val="auto"/>
          <w:kern w:val="0"/>
          <w:sz w:val="28"/>
          <w:szCs w:val="28"/>
          <w:highlight w:val="none"/>
        </w:rPr>
        <w:t>1.确定</w:t>
      </w:r>
      <w:bookmarkEnd w:id="75"/>
      <w:bookmarkEnd w:id="76"/>
      <w:r>
        <w:rPr>
          <w:rFonts w:hint="eastAsia" w:ascii="宋体" w:hAnsi="宋体" w:cs="宋体"/>
          <w:color w:val="auto"/>
          <w:kern w:val="0"/>
          <w:sz w:val="28"/>
          <w:szCs w:val="28"/>
          <w:highlight w:val="none"/>
        </w:rPr>
        <w:t>成交单位</w:t>
      </w:r>
    </w:p>
    <w:p w14:paraId="55D4A577">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1.1成交候选供应商的选取原则和数量见磋商文件第四部分规定。 </w:t>
      </w:r>
    </w:p>
    <w:p w14:paraId="6DF8BD8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1.2 采购人授权磋商小组在成交候选供应商中直接确定成交供应商。</w:t>
      </w:r>
    </w:p>
    <w:p w14:paraId="7DC3C13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 xml:space="preserve">1.3 </w:t>
      </w:r>
      <w:r>
        <w:rPr>
          <w:rFonts w:hint="eastAsia" w:ascii="宋体" w:hAnsi="宋体" w:cs="宋体"/>
          <w:color w:val="auto"/>
          <w:sz w:val="28"/>
          <w:szCs w:val="28"/>
          <w:highlight w:val="none"/>
        </w:rPr>
        <w:t>采购代理机构将在“</w:t>
      </w:r>
      <w:r>
        <w:rPr>
          <w:rFonts w:hint="eastAsia" w:ascii="宋体" w:hAnsi="宋体" w:cs="宋体"/>
          <w:color w:val="auto"/>
          <w:sz w:val="28"/>
          <w:szCs w:val="28"/>
          <w:highlight w:val="none"/>
          <w:lang w:eastAsia="zh-CN"/>
        </w:rPr>
        <w:t>南通职业大学网站</w:t>
      </w:r>
      <w:r>
        <w:rPr>
          <w:rFonts w:hint="eastAsia" w:ascii="宋体" w:hAnsi="宋体" w:cs="宋体"/>
          <w:color w:val="auto"/>
          <w:sz w:val="28"/>
          <w:szCs w:val="28"/>
          <w:highlight w:val="none"/>
        </w:rPr>
        <w:t>”发布成交结果公告，公告期限为1个工作日。</w:t>
      </w:r>
    </w:p>
    <w:p w14:paraId="1F71D2D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1.4若有充分证据证明，成交供应商出现下列情况之一的，一经查实，将被取消成交资格：</w:t>
      </w:r>
    </w:p>
    <w:p w14:paraId="2B26C27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1.4.1提供虚假材料谋取成交的。</w:t>
      </w:r>
    </w:p>
    <w:p w14:paraId="36F669F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1.4.2向采购人、采购代理机构行贿或者评审专家提供其他不正当利益的。</w:t>
      </w:r>
    </w:p>
    <w:p w14:paraId="482B68C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1.4.3恶意竞争，最终总报价明显低于其自身合理成本且又无法提供证明的。</w:t>
      </w:r>
    </w:p>
    <w:p w14:paraId="280582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1.4.4属于本文件规定的无效条件，但在评审过程中又未被磋商小组发现的。</w:t>
      </w:r>
    </w:p>
    <w:p w14:paraId="6F58BD8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1.4.5与采购人或者其他供应商恶意串通的。</w:t>
      </w:r>
    </w:p>
    <w:p w14:paraId="280A18F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1.4.6采取不正当手段诋毁、排挤其他供应商的。</w:t>
      </w:r>
    </w:p>
    <w:p w14:paraId="70C9E17D">
      <w:pPr>
        <w:adjustRightInd w:val="0"/>
        <w:snapToGrid w:val="0"/>
        <w:spacing w:line="460" w:lineRule="exact"/>
        <w:ind w:firstLine="560" w:firstLineChars="200"/>
        <w:rPr>
          <w:rFonts w:ascii="宋体" w:hAnsi="宋体" w:cs="宋体"/>
          <w:color w:val="auto"/>
          <w:sz w:val="28"/>
          <w:szCs w:val="28"/>
          <w:highlight w:val="none"/>
        </w:rPr>
      </w:pPr>
      <w:bookmarkStart w:id="77" w:name="_Toc200451960"/>
      <w:r>
        <w:rPr>
          <w:rFonts w:hint="eastAsia" w:ascii="宋体" w:hAnsi="宋体" w:cs="宋体"/>
          <w:color w:val="auto"/>
          <w:sz w:val="28"/>
          <w:szCs w:val="28"/>
          <w:highlight w:val="none"/>
        </w:rPr>
        <w:t>1.5.</w:t>
      </w:r>
      <w:r>
        <w:rPr>
          <w:rFonts w:hint="eastAsia" w:ascii="宋体" w:hAnsi="宋体" w:cs="宋体"/>
          <w:color w:val="auto"/>
          <w:kern w:val="0"/>
          <w:sz w:val="28"/>
          <w:szCs w:val="28"/>
          <w:highlight w:val="none"/>
        </w:rPr>
        <w:t>有下列情形之一的，视为供应商串通参与磋商，响应无效：</w:t>
      </w:r>
    </w:p>
    <w:p w14:paraId="698544F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1.5.1不同供应商的响应文件由同一单位或者个人编制；</w:t>
      </w:r>
    </w:p>
    <w:p w14:paraId="5B0A13B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1.5.2不同供应商委托同一单位或者个人办理磋商事宜；</w:t>
      </w:r>
    </w:p>
    <w:p w14:paraId="3682BD3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1.5.3不同供应商的响应文件载明的项目管理成员或者联系人员为同一人；</w:t>
      </w:r>
    </w:p>
    <w:p w14:paraId="54B2E01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1.5.4不同供应商的响应文件异常一致或者响应报价呈规律性差异。</w:t>
      </w:r>
    </w:p>
    <w:bookmarkEnd w:id="77"/>
    <w:p w14:paraId="644E96EA">
      <w:pPr>
        <w:keepNext/>
        <w:adjustRightInd w:val="0"/>
        <w:snapToGrid w:val="0"/>
        <w:spacing w:line="460" w:lineRule="exact"/>
        <w:ind w:firstLine="560" w:firstLineChars="200"/>
        <w:rPr>
          <w:rFonts w:ascii="宋体" w:hAnsi="宋体" w:cs="宋体"/>
          <w:b/>
          <w:color w:val="auto"/>
          <w:kern w:val="0"/>
          <w:sz w:val="28"/>
          <w:szCs w:val="28"/>
          <w:highlight w:val="none"/>
        </w:rPr>
      </w:pPr>
      <w:r>
        <w:rPr>
          <w:rFonts w:hint="eastAsia" w:ascii="宋体" w:hAnsi="宋体" w:cs="宋体"/>
          <w:color w:val="auto"/>
          <w:kern w:val="0"/>
          <w:sz w:val="28"/>
          <w:szCs w:val="28"/>
          <w:highlight w:val="none"/>
          <w:lang w:val="en-US" w:eastAsia="zh-CN"/>
        </w:rPr>
        <w:t>2</w:t>
      </w:r>
      <w:r>
        <w:rPr>
          <w:rFonts w:hint="eastAsia" w:ascii="宋体" w:hAnsi="宋体" w:cs="宋体"/>
          <w:color w:val="auto"/>
          <w:kern w:val="0"/>
          <w:sz w:val="28"/>
          <w:szCs w:val="28"/>
          <w:highlight w:val="none"/>
        </w:rPr>
        <w:t>．成交通知书</w:t>
      </w:r>
    </w:p>
    <w:p w14:paraId="618B2A7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.l</w:t>
      </w:r>
      <w:r>
        <w:rPr>
          <w:rFonts w:hint="eastAsia" w:ascii="宋体" w:hAnsi="宋体" w:cs="宋体"/>
          <w:b/>
          <w:color w:val="auto"/>
          <w:sz w:val="28"/>
          <w:szCs w:val="28"/>
          <w:highlight w:val="none"/>
        </w:rPr>
        <w:t xml:space="preserve"> </w:t>
      </w:r>
      <w:r>
        <w:rPr>
          <w:rFonts w:hint="eastAsia" w:ascii="宋体" w:hAnsi="宋体" w:cs="宋体"/>
          <w:color w:val="auto"/>
          <w:sz w:val="28"/>
          <w:szCs w:val="28"/>
          <w:highlight w:val="none"/>
        </w:rPr>
        <w:t>成交结果确定后，采购人将向成交供应商发出成交通知书。成交供应商应在成交结果公告期满后5个日内到采购代理机构办理领取成交通知书手续，否则，由此产生的后果供应商自负。</w:t>
      </w:r>
    </w:p>
    <w:p w14:paraId="204716B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.2成交通知书将是合同的一个组成部分，对采购人和成交供应商均具有法律效力。成交通知书发出后，采购人改变成交结果的，或者成交供应商放弃磋商项目的，应当依法承担法律责任。</w:t>
      </w:r>
    </w:p>
    <w:p w14:paraId="6B2D0D3B">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78" w:name="_Toc120614220"/>
      <w:bookmarkStart w:id="79" w:name="_Toc16938552"/>
      <w:bookmarkStart w:id="80" w:name="_Toc20823308"/>
      <w:bookmarkStart w:id="81" w:name="_Toc513029236"/>
      <w:r>
        <w:rPr>
          <w:rFonts w:hint="eastAsia" w:ascii="宋体" w:hAnsi="宋体" w:cs="宋体"/>
          <w:b/>
          <w:bCs/>
          <w:color w:val="auto"/>
          <w:kern w:val="0"/>
          <w:sz w:val="28"/>
          <w:szCs w:val="28"/>
          <w:highlight w:val="none"/>
        </w:rPr>
        <w:t>七、授予合同</w:t>
      </w:r>
      <w:bookmarkEnd w:id="78"/>
    </w:p>
    <w:bookmarkEnd w:id="79"/>
    <w:bookmarkEnd w:id="80"/>
    <w:bookmarkEnd w:id="81"/>
    <w:p w14:paraId="57D92E3B">
      <w:pPr>
        <w:keepNext/>
        <w:adjustRightInd w:val="0"/>
        <w:snapToGrid w:val="0"/>
        <w:spacing w:line="460" w:lineRule="exact"/>
        <w:ind w:firstLine="560" w:firstLineChars="200"/>
        <w:rPr>
          <w:rFonts w:ascii="宋体" w:hAnsi="宋体" w:cs="宋体"/>
          <w:b/>
          <w:color w:val="auto"/>
          <w:kern w:val="0"/>
          <w:sz w:val="28"/>
          <w:szCs w:val="28"/>
          <w:highlight w:val="none"/>
        </w:rPr>
      </w:pPr>
      <w:bookmarkStart w:id="82" w:name="_Toc513029237"/>
      <w:bookmarkStart w:id="83" w:name="_Toc20823309"/>
      <w:bookmarkStart w:id="84" w:name="_Toc16938553"/>
      <w:r>
        <w:rPr>
          <w:rFonts w:hint="eastAsia" w:ascii="宋体" w:hAnsi="宋体" w:cs="宋体"/>
          <w:color w:val="auto"/>
          <w:kern w:val="0"/>
          <w:sz w:val="28"/>
          <w:szCs w:val="28"/>
          <w:highlight w:val="none"/>
        </w:rPr>
        <w:t>1.签订合同</w:t>
      </w:r>
    </w:p>
    <w:p w14:paraId="5D5B39E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w:t>
      </w:r>
      <w:r>
        <w:rPr>
          <w:rFonts w:hint="eastAsia" w:ascii="宋体" w:hAnsi="宋体" w:cs="宋体"/>
          <w:color w:val="auto"/>
          <w:sz w:val="28"/>
          <w:szCs w:val="28"/>
          <w:highlight w:val="none"/>
        </w:rPr>
        <w:t>.l成交供应商应当在成交后7日内按照磋商文件确定的事项与采购人签订采购合同。</w:t>
      </w:r>
    </w:p>
    <w:p w14:paraId="7B35B3C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1.2磋商文件、成交供应商的响应文件及磋商过程中有关澄清、承诺文件均应作为合同附件。</w:t>
      </w:r>
    </w:p>
    <w:p w14:paraId="47D3B33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1.3签订合同后，成交供应商不得将服务进行转包。未经采购人同意，成交供应商也不得采用分包的形式履行合同，否则采购人有权终止合同。采购合同分包履行的，成交供应商就采购项目和分包项目向采购人负责，分包供应商就分包项目承担责任。转包或分包造成采购人损失的，成交供应商应承担相应赔偿责任。</w:t>
      </w:r>
    </w:p>
    <w:p w14:paraId="3770606F">
      <w:pPr>
        <w:keepNext/>
        <w:adjustRightInd w:val="0"/>
        <w:snapToGrid w:val="0"/>
        <w:spacing w:line="460" w:lineRule="exact"/>
        <w:ind w:firstLine="560" w:firstLineChars="200"/>
        <w:rPr>
          <w:rFonts w:ascii="宋体" w:hAnsi="宋体" w:cs="宋体"/>
          <w:b/>
          <w:color w:val="auto"/>
          <w:kern w:val="0"/>
          <w:sz w:val="28"/>
          <w:szCs w:val="28"/>
          <w:highlight w:val="none"/>
        </w:rPr>
      </w:pPr>
      <w:r>
        <w:rPr>
          <w:rFonts w:hint="eastAsia" w:ascii="宋体" w:hAnsi="宋体" w:cs="宋体"/>
          <w:color w:val="auto"/>
          <w:kern w:val="0"/>
          <w:sz w:val="28"/>
          <w:szCs w:val="28"/>
          <w:highlight w:val="none"/>
        </w:rPr>
        <w:t>2.服务的追加、减少和添购。</w:t>
      </w:r>
    </w:p>
    <w:p w14:paraId="1E22A29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2.1合同履行中，采购人需追加与合同标的相同的服务的，在不改变合同其他条款的前提下，可以与成交供应商协商签订补充合同，但所有补充合同的采购金额不超过原合同金额10%。</w:t>
      </w:r>
    </w:p>
    <w:p w14:paraId="6464D735">
      <w:pPr>
        <w:keepNext/>
        <w:adjustRightInd w:val="0"/>
        <w:snapToGrid w:val="0"/>
        <w:spacing w:line="460" w:lineRule="exact"/>
        <w:ind w:firstLine="560" w:firstLineChars="200"/>
        <w:rPr>
          <w:rFonts w:ascii="宋体" w:hAnsi="宋体" w:cs="宋体"/>
          <w:bCs/>
          <w:color w:val="auto"/>
          <w:sz w:val="36"/>
          <w:szCs w:val="36"/>
          <w:highlight w:val="none"/>
        </w:rPr>
      </w:pPr>
      <w:r>
        <w:rPr>
          <w:rFonts w:hint="eastAsia" w:ascii="宋体" w:hAnsi="宋体" w:cs="宋体"/>
          <w:color w:val="auto"/>
          <w:sz w:val="28"/>
          <w:szCs w:val="28"/>
          <w:highlight w:val="none"/>
        </w:rPr>
        <w:t>2.2采购结束后，采购人若由于各种客观原因，必须对采购项目所牵涉的服务进行适当的减少时，在双方协商一致的前提下，可以按照采购时的价格水平做相应的调减，并据此签订补充合同。</w:t>
      </w:r>
      <w:bookmarkEnd w:id="82"/>
      <w:bookmarkEnd w:id="83"/>
      <w:bookmarkEnd w:id="84"/>
    </w:p>
    <w:p w14:paraId="3231AFB1">
      <w:pPr>
        <w:adjustRightInd w:val="0"/>
        <w:snapToGrid w:val="0"/>
        <w:spacing w:line="360" w:lineRule="auto"/>
        <w:jc w:val="center"/>
        <w:outlineLvl w:val="0"/>
        <w:rPr>
          <w:rFonts w:ascii="宋体" w:hAnsi="宋体" w:cs="宋体"/>
          <w:color w:val="auto"/>
          <w:sz w:val="28"/>
          <w:szCs w:val="28"/>
          <w:highlight w:val="none"/>
        </w:rPr>
      </w:pPr>
      <w:r>
        <w:rPr>
          <w:rFonts w:hint="eastAsia" w:ascii="宋体" w:hAnsi="宋体" w:cs="宋体"/>
          <w:bCs/>
          <w:color w:val="auto"/>
          <w:sz w:val="36"/>
          <w:szCs w:val="36"/>
          <w:highlight w:val="none"/>
        </w:rPr>
        <w:br w:type="page"/>
      </w:r>
      <w:r>
        <w:rPr>
          <w:rFonts w:hint="eastAsia" w:ascii="宋体" w:hAnsi="宋体" w:cs="宋体"/>
          <w:bCs/>
          <w:color w:val="auto"/>
          <w:sz w:val="36"/>
          <w:szCs w:val="36"/>
          <w:highlight w:val="none"/>
        </w:rPr>
        <w:t>第三部分 项目需求</w:t>
      </w:r>
    </w:p>
    <w:p w14:paraId="2DDBEA71">
      <w:pPr>
        <w:keepNext w:val="0"/>
        <w:keepLines w:val="0"/>
        <w:pageBreakBefore w:val="0"/>
        <w:bidi w:val="0"/>
        <w:adjustRightInd w:val="0"/>
        <w:snapToGrid w:val="0"/>
        <w:spacing w:line="460" w:lineRule="exact"/>
        <w:ind w:firstLine="560" w:firstLineChars="200"/>
        <w:textAlignment w:val="auto"/>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0F8D4C91">
      <w:pPr>
        <w:spacing w:line="520" w:lineRule="exact"/>
        <w:ind w:firstLine="562" w:firstLineChars="20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一、需实现的功能或者目标，以及为落实政府采购政策需满足的要求</w:t>
      </w:r>
    </w:p>
    <w:p w14:paraId="109EACAD">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根据南通职业大学校区搬迁工作实施方案，需对原位于青年路校区的办公家具搬运（部分大件家具含拆装）至钟秀校区指定位置（部分家具青年路校区校内搬运或钟秀校区校内搬运）。</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说明 1：办公桌、会议桌的尺寸、款式、材质不尽相同；橱柜有款式（分体式、一体式等，推拉式、开门式等）、材质（木质、金属、玻璃等）不尽相同；沙发（单人、多人、皮质、布艺、实木、金属等）、茶几 / 茶水柜、边柜 / 方桌等家具的尺寸、款式、材质也不尽相同。</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说明 2：不宜归九类的其他物品，详见全校家具搬运清单。</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说明 3：搬迁涉及多学院、多职能处室，家具现存地点分散在青年路校区不同楼栋、不同楼层，家具目的地分散在钟秀校区的不同楼栋、不同楼层。</w:t>
      </w:r>
    </w:p>
    <w:p w14:paraId="28B1102E">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招标单位（南通职业大学）各二级学院、职能处室建立家具办公用品搬迁工作小组，各组内部细化拆解搬运全流程工作任务，明确物资清点、现场对接、到货验收、问题反馈等各环节专属校内责任人，同步设置固定校内联络人 1 名，全程与</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项目负责人对接协调搬迁事宜。</w:t>
      </w:r>
    </w:p>
    <w:p w14:paraId="10E60CC6">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搬迁实施前 3 个工作日，校方统一汇总各学院工作小组联络人、现场责任人清单并提交</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；搬迁期间，</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须主动对接对应学院联络人，每日同步当日搬运计划、实时反馈搬运进度、同步处置搬运现场各类问题。</w:t>
      </w:r>
    </w:p>
    <w:p w14:paraId="0BFD9A6D">
      <w:pPr>
        <w:spacing w:line="520" w:lineRule="exact"/>
        <w:ind w:firstLine="562" w:firstLineChars="20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二、需执行的国家相关标准、行业标准、地方标准或者其他标准、规范</w:t>
      </w:r>
    </w:p>
    <w:p w14:paraId="68F46D8A">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1.服务流程和人员操作规范，应严格执行 GB/T30351-2013《搬家服务规范》及江苏省 DB32/T3550-2019《物品搬运服务规范》的相关规定。</w:t>
      </w:r>
    </w:p>
    <w:p w14:paraId="0A3D6C6E">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2.家具拆装及搬运后的复原质量，应达到 GB/T3324-2024《木家具通用技术条件》和 GB/T3325-2024《金属家具通用技术条件》中关于外观质量、结构安全性和力学性能的要求。</w:t>
      </w:r>
    </w:p>
    <w:p w14:paraId="78A32B7A">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3.搬运过程中产生的包装废弃物处理及环保要求，应符合国家及南通市相关环保法规，包装材料建议符合 GB/T35607-2024 的绿色评价导向。</w:t>
      </w:r>
    </w:p>
    <w:p w14:paraId="736282A9">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4.若搬运过程中涉及家具维修或补漆，所用材料必须符合 GB18584-2024《家具中有害物质限量》的强制性标准。</w:t>
      </w:r>
    </w:p>
    <w:p w14:paraId="179056A9">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5.搬运方使用的包装材料（纸箱、气泡膜、缠绕膜）和包装方式应能经受住运输途中的震动和冲击，符合 GB/T4857 系列《包装、运输包装件基本试验》标准中的抗振动、抗冲击要求。</w:t>
      </w:r>
    </w:p>
    <w:p w14:paraId="6CEC97C8">
      <w:pPr>
        <w:spacing w:line="520" w:lineRule="exact"/>
        <w:ind w:firstLine="562" w:firstLineChars="200"/>
        <w:rPr>
          <w:rFonts w:hint="eastAsia" w:ascii="宋体" w:hAnsi="宋体" w:eastAsia="宋体" w:cs="宋体"/>
          <w:b/>
          <w:bCs/>
          <w:color w:val="auto"/>
          <w:kern w:val="2"/>
          <w:sz w:val="28"/>
          <w:szCs w:val="28"/>
          <w:highlight w:val="none"/>
          <w:lang w:val="en-US" w:eastAsia="zh-CN" w:bidi="ar-SA"/>
        </w:rPr>
      </w:pPr>
      <w:bookmarkStart w:id="85" w:name="heading_3"/>
      <w:r>
        <w:rPr>
          <w:rFonts w:hint="eastAsia" w:ascii="宋体" w:hAnsi="宋体" w:eastAsia="宋体" w:cs="宋体"/>
          <w:b/>
          <w:bCs/>
          <w:color w:val="auto"/>
          <w:kern w:val="2"/>
          <w:sz w:val="28"/>
          <w:szCs w:val="28"/>
          <w:highlight w:val="none"/>
          <w:lang w:val="en-US" w:eastAsia="zh-CN" w:bidi="ar-SA"/>
        </w:rPr>
        <w:t>三、需满足的质量、安全、技术规格、物理特性等要求</w:t>
      </w:r>
      <w:bookmarkEnd w:id="85"/>
    </w:p>
    <w:p w14:paraId="3EC3A94A">
      <w:pPr>
        <w:spacing w:line="520" w:lineRule="exact"/>
        <w:ind w:firstLine="560" w:firstLineChars="200"/>
        <w:rPr>
          <w:rFonts w:hint="eastAsia" w:ascii="宋体" w:hAnsi="宋体" w:eastAsia="宋体" w:cs="宋体"/>
          <w:color w:val="auto"/>
          <w:kern w:val="2"/>
          <w:sz w:val="28"/>
          <w:szCs w:val="28"/>
          <w:highlight w:val="none"/>
          <w:lang w:val="en-US" w:eastAsia="zh-CN" w:bidi="ar-SA"/>
        </w:rPr>
      </w:pPr>
      <w:bookmarkStart w:id="86" w:name="heading_4"/>
      <w:r>
        <w:rPr>
          <w:rFonts w:hint="eastAsia" w:ascii="宋体" w:hAnsi="宋体" w:eastAsia="宋体" w:cs="宋体"/>
          <w:color w:val="auto"/>
          <w:kern w:val="2"/>
          <w:sz w:val="28"/>
          <w:szCs w:val="28"/>
          <w:highlight w:val="none"/>
          <w:lang w:val="en-US" w:eastAsia="zh-CN" w:bidi="ar-SA"/>
        </w:rPr>
        <w:t>1.搬运质量总体要求</w:t>
      </w:r>
      <w:bookmarkEnd w:id="86"/>
    </w:p>
    <w:p w14:paraId="5C17A58E">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将指定家具从现在地搬运到目的地，确保搬运后家具可正常使用，搬运物品完好率 100%。需要拆卸的家具，复原后家具必须稳固，连接件无缺失，且不得破坏家具原有结构强度。</w:t>
      </w:r>
    </w:p>
    <w:p w14:paraId="42081420">
      <w:pPr>
        <w:spacing w:line="520" w:lineRule="exact"/>
        <w:ind w:firstLine="560" w:firstLineChars="200"/>
        <w:rPr>
          <w:rFonts w:hint="eastAsia" w:ascii="宋体" w:hAnsi="宋体" w:eastAsia="宋体" w:cs="宋体"/>
          <w:color w:val="auto"/>
          <w:kern w:val="2"/>
          <w:sz w:val="28"/>
          <w:szCs w:val="28"/>
          <w:highlight w:val="none"/>
          <w:lang w:val="en-US" w:eastAsia="zh-CN" w:bidi="ar-SA"/>
        </w:rPr>
      </w:pPr>
      <w:bookmarkStart w:id="87" w:name="heading_5"/>
      <w:r>
        <w:rPr>
          <w:rFonts w:hint="eastAsia" w:ascii="宋体" w:hAnsi="宋体" w:eastAsia="宋体" w:cs="宋体"/>
          <w:color w:val="auto"/>
          <w:kern w:val="2"/>
          <w:sz w:val="28"/>
          <w:szCs w:val="28"/>
          <w:highlight w:val="none"/>
          <w:lang w:val="en-US" w:eastAsia="zh-CN" w:bidi="ar-SA"/>
        </w:rPr>
        <w:t>2.安全管理专项要求</w:t>
      </w:r>
      <w:bookmarkEnd w:id="87"/>
    </w:p>
    <w:p w14:paraId="7E0E80B8">
      <w:pPr>
        <w:spacing w:line="520" w:lineRule="exact"/>
        <w:ind w:firstLine="560" w:firstLineChars="200"/>
        <w:rPr>
          <w:rFonts w:hint="eastAsia" w:ascii="宋体" w:hAnsi="宋体" w:eastAsia="宋体" w:cs="宋体"/>
          <w:color w:val="auto"/>
          <w:kern w:val="2"/>
          <w:sz w:val="28"/>
          <w:szCs w:val="28"/>
          <w:highlight w:val="none"/>
          <w:lang w:val="en-US" w:eastAsia="zh-CN" w:bidi="ar-SA"/>
        </w:rPr>
      </w:pPr>
      <w:bookmarkStart w:id="88" w:name="heading_6"/>
      <w:r>
        <w:rPr>
          <w:rFonts w:hint="eastAsia" w:ascii="宋体" w:hAnsi="宋体" w:eastAsia="宋体" w:cs="宋体"/>
          <w:color w:val="auto"/>
          <w:kern w:val="2"/>
          <w:sz w:val="28"/>
          <w:szCs w:val="28"/>
          <w:highlight w:val="none"/>
          <w:lang w:val="en-US" w:eastAsia="zh-CN" w:bidi="ar-SA"/>
        </w:rPr>
        <w:t>（1）人员安全教育管理（责任主体：</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w:t>
      </w:r>
      <w:bookmarkEnd w:id="88"/>
    </w:p>
    <w:p w14:paraId="07AC8C3D">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 xml:space="preserve">① </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为本项目所有进场搬运、驾驶、现场管理、拆装作业人员安全第一责任主体，全面负责全员安全教育、岗前安全培训、日常安全交底，建立完整安全教育培训台账，培训记录、签到表留存备查。</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② 每日开工前组织班前安全交底，明确当日搬运风险点、校园通行规范、电梯使用安全、重物搬运防护规范；高空、吊装、重型家具拆装特种作业人员必须单独开展专项安全培训，无培训记录不得上岗。</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③ 所有作业人员统一工装、佩戴工牌，严禁无培训、无保险人员进场作业；作业期间严禁追逐打闹、违规推拉重物、占用消防通道、违规攀爬、堵塞楼道。</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④ 搬迁全过程发生作业人员人身伤害、磕碰摔伤、第三方师生人身损伤等全部安全事故，全部经济赔偿、法律责任均由</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独立承担，校方不承担任何连带责任。</w:t>
      </w:r>
    </w:p>
    <w:p w14:paraId="5DF71238">
      <w:pPr>
        <w:spacing w:line="520" w:lineRule="exact"/>
        <w:ind w:firstLine="560" w:firstLineChars="200"/>
        <w:rPr>
          <w:rFonts w:hint="eastAsia" w:ascii="宋体" w:hAnsi="宋体" w:eastAsia="宋体" w:cs="宋体"/>
          <w:color w:val="auto"/>
          <w:kern w:val="2"/>
          <w:sz w:val="28"/>
          <w:szCs w:val="28"/>
          <w:highlight w:val="none"/>
          <w:lang w:val="en-US" w:eastAsia="zh-CN" w:bidi="ar-SA"/>
        </w:rPr>
      </w:pPr>
      <w:bookmarkStart w:id="89" w:name="heading_7"/>
      <w:r>
        <w:rPr>
          <w:rFonts w:hint="eastAsia" w:ascii="宋体" w:hAnsi="宋体" w:eastAsia="宋体" w:cs="宋体"/>
          <w:color w:val="auto"/>
          <w:kern w:val="2"/>
          <w:sz w:val="28"/>
          <w:szCs w:val="28"/>
          <w:highlight w:val="none"/>
          <w:lang w:val="en-US" w:eastAsia="zh-CN" w:bidi="ar-SA"/>
        </w:rPr>
        <w:t>（2）材料、设备安全运行管理（责任主体：</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w:t>
      </w:r>
      <w:bookmarkEnd w:id="89"/>
    </w:p>
    <w:p w14:paraId="6DFEE8EC">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 xml:space="preserve">① </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自有</w:t>
      </w:r>
      <w:r>
        <w:rPr>
          <w:rFonts w:hint="eastAsia" w:ascii="宋体" w:hAnsi="宋体" w:cs="宋体"/>
          <w:color w:val="auto"/>
          <w:kern w:val="2"/>
          <w:sz w:val="28"/>
          <w:szCs w:val="28"/>
          <w:highlight w:val="none"/>
          <w:lang w:val="en-US" w:eastAsia="zh-CN" w:bidi="ar-SA"/>
        </w:rPr>
        <w:t>/</w:t>
      </w:r>
      <w:r>
        <w:rPr>
          <w:rFonts w:hint="eastAsia" w:ascii="宋体" w:hAnsi="宋体" w:eastAsia="宋体" w:cs="宋体"/>
          <w:color w:val="auto"/>
          <w:kern w:val="2"/>
          <w:sz w:val="28"/>
          <w:szCs w:val="28"/>
          <w:highlight w:val="none"/>
          <w:lang w:val="en-US" w:eastAsia="zh-CN" w:bidi="ar-SA"/>
        </w:rPr>
        <w:t>投入本项目全部运输车辆、叉车、液压车、吊装设备、拆装工具、周转箱、防护包装材料均由</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负责日常检修、维护、安全检测，开工前完成全部设备安全检查并留存检查记录，故障、带病设备严禁投入使用。</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② 包装耗材（气泡膜、缠绕膜、护角、绑带、纸箱）足量配备，存放规范，杜绝堆放堵塞消防通道、存在火灾隐患；化学品、油漆、维修辅料单独密闭存放。</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③ 运输车辆每日出车前检查刹车、固定绑带、车厢防护、防雨设施，运输途中定时检查货物固定情况；叉车、液压车仅限指定区域低速行驶，严禁载人、超载。</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④ 因</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设备老化、维护缺失、耗材存放不当引发火灾、设备损毁、物品砸损、校园设施损坏等一切损失，由</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全额赔偿。</w:t>
      </w:r>
    </w:p>
    <w:p w14:paraId="79A158BD">
      <w:pPr>
        <w:spacing w:line="520" w:lineRule="exact"/>
        <w:ind w:firstLine="560" w:firstLineChars="200"/>
        <w:rPr>
          <w:rFonts w:hint="eastAsia" w:ascii="宋体" w:hAnsi="宋体" w:eastAsia="宋体" w:cs="宋体"/>
          <w:color w:val="auto"/>
          <w:kern w:val="2"/>
          <w:sz w:val="28"/>
          <w:szCs w:val="28"/>
          <w:highlight w:val="none"/>
          <w:lang w:val="en-US" w:eastAsia="zh-CN" w:bidi="ar-SA"/>
        </w:rPr>
      </w:pPr>
      <w:bookmarkStart w:id="90" w:name="heading_8"/>
      <w:r>
        <w:rPr>
          <w:rFonts w:hint="eastAsia" w:ascii="宋体" w:hAnsi="宋体" w:eastAsia="宋体" w:cs="宋体"/>
          <w:color w:val="auto"/>
          <w:kern w:val="2"/>
          <w:sz w:val="28"/>
          <w:szCs w:val="28"/>
          <w:highlight w:val="none"/>
          <w:lang w:val="en-US" w:eastAsia="zh-CN" w:bidi="ar-SA"/>
        </w:rPr>
        <w:t>（3）全程运输途中保护防范管理</w:t>
      </w:r>
      <w:bookmarkEnd w:id="90"/>
    </w:p>
    <w:p w14:paraId="0929B478">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① 所有家具、办公用品完成打包编号后，必须采用气泡膜、护角、缠绕膜全方位包裹防护，尖锐边角加装硬质护角；精密办公设备、玻璃家具、板材家具单独加厚防护，车厢内部铺设防滑缓冲垫。</w:t>
      </w:r>
    </w:p>
    <w:p w14:paraId="64340E05">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② 厢式货车内部配备拉紧绑带、固定卡扣，每件货物独立绑定，杜绝运输颠簸、急刹导致家具滑动、碰撞、挤压损坏；雨天运输全程封闭车厢，额外加盖防雨膜双层防护。</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③ 运输途中</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每车次安排专人随车看管货物，全程监控车厢货物状态，严禁货物裸露、松散堆放；运输路线严格遵循校方指定校园通行路线，低速通行，避开师生人流高峰。</w:t>
      </w:r>
    </w:p>
    <w:p w14:paraId="5E5B5335">
      <w:pPr>
        <w:spacing w:line="520" w:lineRule="exact"/>
        <w:ind w:firstLine="560" w:firstLineChars="200"/>
        <w:rPr>
          <w:rFonts w:hint="eastAsia" w:ascii="宋体" w:hAnsi="宋体" w:eastAsia="宋体" w:cs="宋体"/>
          <w:color w:val="auto"/>
          <w:kern w:val="2"/>
          <w:sz w:val="28"/>
          <w:szCs w:val="28"/>
          <w:highlight w:val="none"/>
          <w:lang w:val="en-US" w:eastAsia="zh-CN" w:bidi="ar-SA"/>
        </w:rPr>
      </w:pPr>
      <w:bookmarkStart w:id="91" w:name="heading_9"/>
      <w:r>
        <w:rPr>
          <w:rFonts w:hint="eastAsia" w:ascii="宋体" w:hAnsi="宋体" w:eastAsia="宋体" w:cs="宋体"/>
          <w:color w:val="auto"/>
          <w:kern w:val="2"/>
          <w:sz w:val="28"/>
          <w:szCs w:val="28"/>
          <w:highlight w:val="none"/>
          <w:lang w:val="en-US" w:eastAsia="zh-CN" w:bidi="ar-SA"/>
        </w:rPr>
        <w:t>（4）电梯使用专项保护要求</w:t>
      </w:r>
      <w:bookmarkEnd w:id="91"/>
    </w:p>
    <w:p w14:paraId="12AAA1B4">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①须</w:t>
      </w:r>
      <w:r>
        <w:rPr>
          <w:rFonts w:hint="eastAsia" w:ascii="宋体" w:hAnsi="宋体" w:eastAsia="宋体" w:cs="宋体"/>
          <w:color w:val="auto"/>
          <w:kern w:val="2"/>
          <w:sz w:val="28"/>
          <w:szCs w:val="28"/>
          <w:highlight w:val="none"/>
          <w:lang w:val="en-US" w:eastAsia="zh-CN" w:bidi="ar-SA"/>
        </w:rPr>
        <w:t>经对应学院搬迁工作小组、校内联络人书面确认后，</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方可使用校方指定客梯、货梯开展搬运作业，未经许可严禁私自使用其他楼栋电梯。</w:t>
      </w:r>
    </w:p>
    <w:p w14:paraId="577F45F5">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②成交供应商</w:t>
      </w:r>
      <w:r>
        <w:rPr>
          <w:rFonts w:hint="eastAsia" w:ascii="宋体" w:hAnsi="宋体" w:eastAsia="宋体" w:cs="宋体"/>
          <w:color w:val="auto"/>
          <w:kern w:val="2"/>
          <w:sz w:val="28"/>
          <w:szCs w:val="28"/>
          <w:highlight w:val="none"/>
          <w:lang w:val="en-US" w:eastAsia="zh-CN" w:bidi="ar-SA"/>
        </w:rPr>
        <w:t>承担电梯全部防护工作：搬运前对电梯轿厢内壁、地面、轿门、楼层门框铺设加厚防护纸板、防撞保护膜、防滑垫板，电梯边角加装硬质防撞条；搬运过程中安排专人值守电梯，避免家具剐蹭、撞击电梯内壁、门框。</w:t>
      </w:r>
    </w:p>
    <w:p w14:paraId="4D8C4EAA">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③</w:t>
      </w:r>
      <w:r>
        <w:rPr>
          <w:rFonts w:hint="eastAsia" w:ascii="宋体" w:hAnsi="宋体" w:eastAsia="宋体" w:cs="宋体"/>
          <w:color w:val="auto"/>
          <w:kern w:val="2"/>
          <w:sz w:val="28"/>
          <w:szCs w:val="28"/>
          <w:highlight w:val="none"/>
          <w:lang w:val="en-US" w:eastAsia="zh-CN" w:bidi="ar-SA"/>
        </w:rPr>
        <w:t>单批次搬运全部结束后，</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须当日拆除全部电梯防护材料，清理电梯内碎屑、胶带、灰尘，恢复电梯原始整洁状态，不得残留胶带胶痕、划痕、破损；若搬运造成电梯漆面划伤、内饰损坏，由</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承担全部维修、更换费用。</w:t>
      </w:r>
    </w:p>
    <w:p w14:paraId="17BA94C5">
      <w:pPr>
        <w:spacing w:line="520" w:lineRule="exact"/>
        <w:ind w:firstLine="560" w:firstLineChars="200"/>
        <w:rPr>
          <w:rFonts w:hint="eastAsia" w:ascii="宋体" w:hAnsi="宋体" w:eastAsia="宋体" w:cs="宋体"/>
          <w:color w:val="auto"/>
          <w:kern w:val="2"/>
          <w:sz w:val="28"/>
          <w:szCs w:val="28"/>
          <w:highlight w:val="none"/>
          <w:lang w:val="en-US" w:eastAsia="zh-CN" w:bidi="ar-SA"/>
        </w:rPr>
      </w:pPr>
      <w:bookmarkStart w:id="92" w:name="heading_10"/>
      <w:r>
        <w:rPr>
          <w:rFonts w:hint="eastAsia" w:ascii="宋体" w:hAnsi="宋体" w:eastAsia="宋体" w:cs="宋体"/>
          <w:color w:val="auto"/>
          <w:kern w:val="2"/>
          <w:sz w:val="28"/>
          <w:szCs w:val="28"/>
          <w:highlight w:val="none"/>
          <w:lang w:val="en-US" w:eastAsia="zh-CN" w:bidi="ar-SA"/>
        </w:rPr>
        <w:t>（5）特种作业与保险要求</w:t>
      </w:r>
      <w:bookmarkEnd w:id="92"/>
    </w:p>
    <w:p w14:paraId="3C3D2475">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涉及特种作业（如吊装设备、高空）的人员，必须持有《特种作业操作证》《高空作业证》等有效证件。</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必须为所有作业人员购买工伤保险或人身意外伤害险。同时，需足额购买全程货物运输保险，覆盖搬迁全流程装卸、运输、存放、拆装全环节。</w:t>
      </w:r>
    </w:p>
    <w:p w14:paraId="42F2ACC7">
      <w:pPr>
        <w:spacing w:line="520" w:lineRule="exact"/>
        <w:ind w:firstLine="560" w:firstLineChars="200"/>
        <w:rPr>
          <w:rFonts w:hint="eastAsia" w:ascii="宋体" w:hAnsi="宋体" w:eastAsia="宋体" w:cs="宋体"/>
          <w:color w:val="auto"/>
          <w:kern w:val="2"/>
          <w:sz w:val="28"/>
          <w:szCs w:val="28"/>
          <w:highlight w:val="none"/>
          <w:lang w:val="en-US" w:eastAsia="zh-CN" w:bidi="ar-SA"/>
        </w:rPr>
      </w:pPr>
      <w:bookmarkStart w:id="93" w:name="heading_11"/>
      <w:r>
        <w:rPr>
          <w:rFonts w:hint="eastAsia" w:ascii="宋体" w:hAnsi="宋体" w:eastAsia="宋体" w:cs="宋体"/>
          <w:color w:val="auto"/>
          <w:kern w:val="2"/>
          <w:sz w:val="28"/>
          <w:szCs w:val="28"/>
          <w:highlight w:val="none"/>
          <w:lang w:val="en-US" w:eastAsia="zh-CN" w:bidi="ar-SA"/>
        </w:rPr>
        <w:t>（6）现场安全总体责任</w:t>
      </w:r>
      <w:bookmarkEnd w:id="93"/>
    </w:p>
    <w:p w14:paraId="16230E8D">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现场安全管理须严格遵守《装吊工安全操作规程》等规范。运输车辆必须车况良好，车厢内需配备紧固装置（绑带、收紧器），防止急刹车导致家具倾倒碰撞。运输车辆年检合格，且需符合南通市区的货车通行规定。</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cs="宋体"/>
          <w:color w:val="auto"/>
          <w:kern w:val="2"/>
          <w:sz w:val="28"/>
          <w:szCs w:val="28"/>
          <w:highlight w:val="none"/>
          <w:lang w:val="en-US" w:eastAsia="zh-CN" w:bidi="ar-SA"/>
        </w:rPr>
        <w:t xml:space="preserve">    </w:t>
      </w:r>
      <w:r>
        <w:rPr>
          <w:rFonts w:hint="eastAsia" w:ascii="宋体" w:hAnsi="宋体" w:eastAsia="宋体" w:cs="宋体"/>
          <w:color w:val="auto"/>
          <w:kern w:val="2"/>
          <w:sz w:val="28"/>
          <w:szCs w:val="28"/>
          <w:highlight w:val="none"/>
          <w:lang w:val="en-US" w:eastAsia="zh-CN" w:bidi="ar-SA"/>
        </w:rPr>
        <w:t>搬迁过程中发生的一切人身伤亡、车辆事故、资产损毁、校园设施损坏，均由</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承担全部法律责任和经济赔偿，采购方不承担任何连带责任。</w:t>
      </w:r>
    </w:p>
    <w:p w14:paraId="69C1C78D">
      <w:pPr>
        <w:spacing w:line="520" w:lineRule="exact"/>
        <w:ind w:firstLine="560" w:firstLineChars="200"/>
        <w:rPr>
          <w:rFonts w:hint="eastAsia" w:ascii="宋体" w:hAnsi="宋体" w:eastAsia="宋体" w:cs="宋体"/>
          <w:color w:val="auto"/>
          <w:kern w:val="2"/>
          <w:sz w:val="28"/>
          <w:szCs w:val="28"/>
          <w:highlight w:val="none"/>
          <w:lang w:val="en-US" w:eastAsia="zh-CN" w:bidi="ar-SA"/>
        </w:rPr>
      </w:pPr>
      <w:bookmarkStart w:id="94" w:name="heading_12"/>
      <w:r>
        <w:rPr>
          <w:rFonts w:hint="eastAsia" w:ascii="宋体" w:hAnsi="宋体" w:eastAsia="宋体" w:cs="宋体"/>
          <w:color w:val="auto"/>
          <w:kern w:val="2"/>
          <w:sz w:val="28"/>
          <w:szCs w:val="28"/>
          <w:highlight w:val="none"/>
          <w:lang w:val="en-US" w:eastAsia="zh-CN" w:bidi="ar-SA"/>
        </w:rPr>
        <w:t>3.全流程清点、签字确认管控流程</w:t>
      </w:r>
      <w:bookmarkEnd w:id="94"/>
    </w:p>
    <w:p w14:paraId="48C4D5AB">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实行“起运清点 — 在途管护 — 到货清点 — 就位验收” 四级双方签字确认制度，全部单据由</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统一印制留存，校方各学院工作小组存档备查：</w:t>
      </w:r>
    </w:p>
    <w:p w14:paraId="32525D59">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①</w:t>
      </w:r>
      <w:r>
        <w:rPr>
          <w:rFonts w:hint="eastAsia" w:ascii="宋体" w:hAnsi="宋体" w:eastAsia="宋体" w:cs="宋体"/>
          <w:color w:val="auto"/>
          <w:kern w:val="2"/>
          <w:sz w:val="28"/>
          <w:szCs w:val="28"/>
          <w:highlight w:val="none"/>
          <w:lang w:val="en-US" w:eastAsia="zh-CN" w:bidi="ar-SA"/>
        </w:rPr>
        <w:t>装车清点确认：在青年路校区各楼层装车前，</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现场管理员与对应学院联络人对照搬迁清单逐件核对家具、办公用品名称、数量、编号，核对无误后双方在《搬运装车确认单》共同签字；缺失、破损物品当场标注，协商处置后方可装车。</w:t>
      </w:r>
    </w:p>
    <w:p w14:paraId="6695C227">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②</w:t>
      </w:r>
      <w:r>
        <w:rPr>
          <w:rFonts w:hint="eastAsia" w:ascii="宋体" w:hAnsi="宋体" w:eastAsia="宋体" w:cs="宋体"/>
          <w:color w:val="auto"/>
          <w:kern w:val="2"/>
          <w:sz w:val="28"/>
          <w:szCs w:val="28"/>
          <w:highlight w:val="none"/>
          <w:lang w:val="en-US" w:eastAsia="zh-CN" w:bidi="ar-SA"/>
        </w:rPr>
        <w:t>运输途中管护：装车完毕关闭车厢，随车人员全程看管货物，中途不得私自开箱、调换物品；抵达钟秀校区前不得拆除外层防护。</w:t>
      </w:r>
    </w:p>
    <w:p w14:paraId="350CD88F">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③</w:t>
      </w:r>
      <w:r>
        <w:rPr>
          <w:rFonts w:hint="eastAsia" w:ascii="宋体" w:hAnsi="宋体" w:eastAsia="宋体" w:cs="宋体"/>
          <w:color w:val="auto"/>
          <w:kern w:val="2"/>
          <w:sz w:val="28"/>
          <w:szCs w:val="28"/>
          <w:highlight w:val="none"/>
          <w:lang w:val="en-US" w:eastAsia="zh-CN" w:bidi="ar-SA"/>
        </w:rPr>
        <w:t>下车清点确认：车辆抵达钟秀校区指定楼栋下车点位后，</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卸货前，与学院指定联络人共同开箱逐件清点，核查物品外观、完整性，确认无磕碰、缺失、破损，双方在《到货清点确认单》签字；如出现损毁、丢失，当场登记，由</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按原价赔偿。</w:t>
      </w:r>
    </w:p>
    <w:p w14:paraId="6B47B3C2">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④</w:t>
      </w:r>
      <w:r>
        <w:rPr>
          <w:rFonts w:hint="eastAsia" w:ascii="宋体" w:hAnsi="宋体" w:eastAsia="宋体" w:cs="宋体"/>
          <w:color w:val="auto"/>
          <w:kern w:val="2"/>
          <w:sz w:val="28"/>
          <w:szCs w:val="28"/>
          <w:highlight w:val="none"/>
          <w:lang w:val="en-US" w:eastAsia="zh-CN" w:bidi="ar-SA"/>
        </w:rPr>
        <w:t>就位安装验收确认：家具搬运至清单标注办公室、工位指定位置，完成拆解、组装、摆放到位后，学院现场责任人全面检查家具完好度、安装稳固性，全部符合要求后在《搬运就位验收单》签字，该批次搬运任务视为完成。</w:t>
      </w:r>
    </w:p>
    <w:p w14:paraId="312B1728">
      <w:pPr>
        <w:spacing w:line="520" w:lineRule="exact"/>
        <w:ind w:firstLine="560" w:firstLineChars="200"/>
        <w:rPr>
          <w:rFonts w:hint="eastAsia" w:ascii="宋体" w:hAnsi="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无完整签字确认单据的批次，校方有权暂缓结算对应批次搬运费用，由此产生工期延误责任由</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承担。</w:t>
      </w:r>
    </w:p>
    <w:p w14:paraId="6611DAD0">
      <w:pPr>
        <w:spacing w:line="520" w:lineRule="exact"/>
        <w:ind w:firstLine="560" w:firstLineChars="200"/>
        <w:rPr>
          <w:rFonts w:hint="eastAsia" w:ascii="宋体" w:hAnsi="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4.保险约定</w:t>
      </w:r>
    </w:p>
    <w:p w14:paraId="1D74DA60">
      <w:pPr>
        <w:spacing w:line="520" w:lineRule="exact"/>
        <w:ind w:firstLine="560" w:firstLineChars="200"/>
        <w:rPr>
          <w:rFonts w:hint="eastAsia" w:ascii="宋体" w:hAnsi="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成交供应商须为本项目全部进场作业人员购买工伤保险及人身意外伤害险，同时足额投保搬迁全程货物运输综合保险，保险相关要求如下：</w:t>
      </w:r>
    </w:p>
    <w:p w14:paraId="664F00E4">
      <w:pPr>
        <w:spacing w:line="520" w:lineRule="exact"/>
        <w:ind w:firstLine="560" w:firstLineChars="200"/>
        <w:rPr>
          <w:rFonts w:hint="eastAsia" w:ascii="宋体" w:hAnsi="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（1）投保保额最低标准</w:t>
      </w:r>
    </w:p>
    <w:p w14:paraId="4F4A31D8">
      <w:pPr>
        <w:spacing w:line="520" w:lineRule="exact"/>
        <w:ind w:firstLine="560" w:firstLineChars="200"/>
        <w:rPr>
          <w:rFonts w:hint="eastAsia" w:ascii="宋体" w:hAnsi="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人身意外伤害险：每位作业人员单人投保保额不低于 100 万元；货物综合保险：保险总保额不得低于本项目最高限价 20.7 万元，足额覆盖全部搬迁家具、办公物品损毁、丢失赔付需求。</w:t>
      </w:r>
    </w:p>
    <w:p w14:paraId="1A5F7C66">
      <w:pPr>
        <w:spacing w:line="520" w:lineRule="exact"/>
        <w:ind w:firstLine="560" w:firstLineChars="200"/>
        <w:rPr>
          <w:rFonts w:hint="eastAsia" w:ascii="宋体" w:hAnsi="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 xml:space="preserve">(2）保险有效周期 </w:t>
      </w:r>
    </w:p>
    <w:p w14:paraId="1D8AE633">
      <w:pPr>
        <w:spacing w:line="520" w:lineRule="exact"/>
        <w:ind w:firstLine="560" w:firstLineChars="200"/>
        <w:rPr>
          <w:rFonts w:hint="eastAsia" w:ascii="宋体" w:hAnsi="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保险生效起始时间为首批人员、设备进场作业当日，保险终止时间为全部家具搬运就位、全批次《搬运就位验收单》签署完毕、现场包装废弃物清理完成之日，完整覆盖拆装、场内转运、电梯搬运、公路运输、临时存放全搬迁周期，不得出现保险断保、脱保情形。</w:t>
      </w:r>
    </w:p>
    <w:p w14:paraId="1D3E63F3">
      <w:pPr>
        <w:spacing w:line="520" w:lineRule="exact"/>
        <w:ind w:firstLine="560" w:firstLineChars="200"/>
        <w:rPr>
          <w:rFonts w:hint="eastAsia" w:ascii="宋体" w:hAnsi="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 xml:space="preserve">（3）保单提交时限 </w:t>
      </w:r>
    </w:p>
    <w:p w14:paraId="3640F7C6">
      <w:pPr>
        <w:spacing w:line="520" w:lineRule="exact"/>
        <w:ind w:firstLine="560" w:firstLineChars="200"/>
        <w:rPr>
          <w:rFonts w:hint="eastAsia" w:ascii="宋体" w:hAnsi="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成交供应商签订采购合同后 3 个工作日内，将完整有效保险单复印件（加盖单位公章）提交采购人备案，保险单原件留存备查；未按要求提交合格保单前，采购人有权禁止成交供应商进场开展任何搬迁作业。</w:t>
      </w:r>
    </w:p>
    <w:p w14:paraId="772C0FAF">
      <w:pPr>
        <w:spacing w:line="520" w:lineRule="exact"/>
        <w:ind w:firstLine="560" w:firstLineChars="200"/>
        <w:rPr>
          <w:rFonts w:hint="eastAsia" w:ascii="宋体" w:hAnsi="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 xml:space="preserve">（4）保单核验及违约处置 </w:t>
      </w:r>
    </w:p>
    <w:p w14:paraId="01ED004D">
      <w:pPr>
        <w:spacing w:line="520" w:lineRule="exact"/>
        <w:ind w:firstLine="560" w:firstLineChars="200"/>
        <w:rPr>
          <w:rFonts w:hint="eastAsia" w:ascii="宋体" w:hAnsi="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采购人有权对保险单承保范围、保额、有效期限、保单真伪进行现场核验。若出现投保保额不足、保险有效期未覆盖全部工期、承保范围缺失、保单虚假等情形，采购人给予成交供应商 3 个工作日整改期限；逾期未完成整改的，采购人有权扣除相应履约保证金，直至单方面解除采购合同，由此造成的一切损失由成交供应商全额承担。</w:t>
      </w:r>
    </w:p>
    <w:p w14:paraId="0ED9448F">
      <w:pPr>
        <w:spacing w:line="520" w:lineRule="exact"/>
        <w:ind w:firstLine="560" w:firstLineChars="200"/>
        <w:rPr>
          <w:rFonts w:hint="eastAsia" w:ascii="宋体" w:hAnsi="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 xml:space="preserve">（5）保险承保范围硬性要求 </w:t>
      </w:r>
    </w:p>
    <w:p w14:paraId="54EBC078">
      <w:pPr>
        <w:spacing w:line="520" w:lineRule="exact"/>
        <w:ind w:firstLine="560" w:firstLineChars="200"/>
        <w:rPr>
          <w:rFonts w:hint="eastAsia" w:ascii="宋体" w:hAnsi="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货物保险承保范围须包含家具拆装损坏、楼层搬运磕碰、校内短途转运、电梯作业损毁、室外运输、临时存放丢失破损等全部场景，仅承保公路干线运输的普通货运险不予认可。搬迁全过程发生人员伤害、财物损毁产生的所有赔付缺口、经济赔偿、法律责任均由成交供应商自行承担，采购人不承担任何连带责任。</w:t>
      </w:r>
    </w:p>
    <w:p w14:paraId="2A7952AE">
      <w:pPr>
        <w:spacing w:line="520" w:lineRule="exact"/>
        <w:ind w:firstLine="562" w:firstLineChars="200"/>
        <w:rPr>
          <w:rFonts w:hint="eastAsia" w:ascii="宋体" w:hAnsi="宋体" w:eastAsia="宋体" w:cs="宋体"/>
          <w:b/>
          <w:bCs/>
          <w:color w:val="auto"/>
          <w:kern w:val="2"/>
          <w:sz w:val="28"/>
          <w:szCs w:val="28"/>
          <w:highlight w:val="none"/>
          <w:lang w:val="en-US" w:eastAsia="zh-CN" w:bidi="ar-SA"/>
        </w:rPr>
      </w:pPr>
      <w:bookmarkStart w:id="95" w:name="heading_13"/>
      <w:r>
        <w:rPr>
          <w:rFonts w:hint="eastAsia" w:ascii="宋体" w:hAnsi="宋体" w:eastAsia="宋体" w:cs="宋体"/>
          <w:b/>
          <w:bCs/>
          <w:color w:val="auto"/>
          <w:kern w:val="2"/>
          <w:sz w:val="28"/>
          <w:szCs w:val="28"/>
          <w:highlight w:val="none"/>
          <w:lang w:val="en-US" w:eastAsia="zh-CN" w:bidi="ar-SA"/>
        </w:rPr>
        <w:t>四、项目内容、数量、实施的时间和地点</w:t>
      </w:r>
      <w:bookmarkEnd w:id="95"/>
    </w:p>
    <w:p w14:paraId="4C3C0AAD">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1.初步统计需搬运的办公家具总数约 8200 余件（套），另有 “不宜归九类” 其他类 400 余件，家具具体数量、现在地、目的地等，详见附件搬运家具清单。</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cs="宋体"/>
          <w:color w:val="auto"/>
          <w:kern w:val="2"/>
          <w:sz w:val="28"/>
          <w:szCs w:val="28"/>
          <w:highlight w:val="none"/>
          <w:lang w:val="en-US" w:eastAsia="zh-CN" w:bidi="ar-SA"/>
        </w:rPr>
        <w:t xml:space="preserve">    </w:t>
      </w:r>
      <w:r>
        <w:rPr>
          <w:rFonts w:hint="eastAsia" w:ascii="宋体" w:hAnsi="宋体" w:eastAsia="宋体" w:cs="宋体"/>
          <w:color w:val="auto"/>
          <w:kern w:val="2"/>
          <w:sz w:val="28"/>
          <w:szCs w:val="28"/>
          <w:highlight w:val="none"/>
          <w:lang w:val="en-US" w:eastAsia="zh-CN" w:bidi="ar-SA"/>
        </w:rPr>
        <w:t>如临时增加少量（不超过总数的 2%）家具搬运需求，</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需在 2 小时内响应并安排人员完成搬运，不得推诿，费用含在报价内，</w:t>
      </w:r>
      <w:r>
        <w:rPr>
          <w:rFonts w:hint="eastAsia" w:ascii="宋体" w:hAnsi="宋体" w:cs="宋体"/>
          <w:color w:val="auto"/>
          <w:kern w:val="2"/>
          <w:sz w:val="28"/>
          <w:szCs w:val="28"/>
          <w:highlight w:val="none"/>
          <w:lang w:val="en-US" w:eastAsia="zh-CN" w:bidi="ar-SA"/>
        </w:rPr>
        <w:t>采购人</w:t>
      </w:r>
      <w:r>
        <w:rPr>
          <w:rFonts w:hint="eastAsia" w:ascii="宋体" w:hAnsi="宋体" w:eastAsia="宋体" w:cs="宋体"/>
          <w:color w:val="auto"/>
          <w:kern w:val="2"/>
          <w:sz w:val="28"/>
          <w:szCs w:val="28"/>
          <w:highlight w:val="none"/>
          <w:lang w:val="en-US" w:eastAsia="zh-CN" w:bidi="ar-SA"/>
        </w:rPr>
        <w:t>不再另外支付费用。如实际工作内容或数量发生变化超过总量的 2%，可结合</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的报价为依据，据实结算。</w:t>
      </w:r>
    </w:p>
    <w:p w14:paraId="39CBDBBF">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2.根据统一安排完成搬运。搬运开始时间另行通知，</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需服从</w:t>
      </w:r>
      <w:r>
        <w:rPr>
          <w:rFonts w:hint="eastAsia" w:ascii="宋体" w:hAnsi="宋体" w:cs="宋体"/>
          <w:color w:val="auto"/>
          <w:kern w:val="2"/>
          <w:sz w:val="28"/>
          <w:szCs w:val="28"/>
          <w:highlight w:val="none"/>
          <w:lang w:val="en-US" w:eastAsia="zh-CN" w:bidi="ar-SA"/>
        </w:rPr>
        <w:t>采购人</w:t>
      </w:r>
      <w:r>
        <w:rPr>
          <w:rFonts w:hint="eastAsia" w:ascii="宋体" w:hAnsi="宋体" w:eastAsia="宋体" w:cs="宋体"/>
          <w:color w:val="auto"/>
          <w:kern w:val="2"/>
          <w:sz w:val="28"/>
          <w:szCs w:val="28"/>
          <w:highlight w:val="none"/>
          <w:lang w:val="en-US" w:eastAsia="zh-CN" w:bidi="ar-SA"/>
        </w:rPr>
        <w:t>的搬运时间安排，同步对接各学院搬迁工作小组制定分楼栋、分批次每日搬运计划表，提前 1 个工作日报送各学院联络人确认。</w:t>
      </w:r>
    </w:p>
    <w:p w14:paraId="2B0196EC">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3.鉴于以上情况，建议</w:t>
      </w:r>
      <w:r>
        <w:rPr>
          <w:rFonts w:hint="eastAsia" w:ascii="宋体" w:hAnsi="宋体" w:cs="宋体"/>
          <w:color w:val="auto"/>
          <w:kern w:val="2"/>
          <w:sz w:val="28"/>
          <w:szCs w:val="28"/>
          <w:highlight w:val="none"/>
          <w:lang w:val="en-US" w:eastAsia="zh-CN" w:bidi="ar-SA"/>
        </w:rPr>
        <w:t>供应商</w:t>
      </w:r>
      <w:r>
        <w:rPr>
          <w:rFonts w:hint="eastAsia" w:ascii="宋体" w:hAnsi="宋体" w:eastAsia="宋体" w:cs="宋体"/>
          <w:color w:val="auto"/>
          <w:kern w:val="2"/>
          <w:sz w:val="28"/>
          <w:szCs w:val="28"/>
          <w:highlight w:val="none"/>
          <w:lang w:val="en-US" w:eastAsia="zh-CN" w:bidi="ar-SA"/>
        </w:rPr>
        <w:t>事前现场踏勘，充分了解楼栋电梯、通道、运输路线、作业环境等实际情况后制定搬运方案。在现场勘察时，熟悉安装现场、现场周围交通道路等情况，以获得一切可能影响其响应的直接资料。</w:t>
      </w:r>
      <w:r>
        <w:rPr>
          <w:rFonts w:hint="eastAsia" w:ascii="宋体" w:hAnsi="宋体" w:cs="宋体"/>
          <w:color w:val="auto"/>
          <w:kern w:val="2"/>
          <w:sz w:val="28"/>
          <w:szCs w:val="28"/>
          <w:highlight w:val="none"/>
          <w:lang w:val="en-US" w:eastAsia="zh-CN" w:bidi="ar-SA"/>
        </w:rPr>
        <w:t>供应商成交</w:t>
      </w:r>
      <w:r>
        <w:rPr>
          <w:rFonts w:hint="eastAsia" w:ascii="宋体" w:hAnsi="宋体" w:eastAsia="宋体" w:cs="宋体"/>
          <w:color w:val="auto"/>
          <w:kern w:val="2"/>
          <w:sz w:val="28"/>
          <w:szCs w:val="28"/>
          <w:highlight w:val="none"/>
          <w:lang w:val="en-US" w:eastAsia="zh-CN" w:bidi="ar-SA"/>
        </w:rPr>
        <w:t>后，不得以不完全了解现场情况为理由而向</w:t>
      </w:r>
      <w:r>
        <w:rPr>
          <w:rFonts w:hint="eastAsia" w:ascii="宋体" w:hAnsi="宋体" w:cs="宋体"/>
          <w:color w:val="auto"/>
          <w:kern w:val="2"/>
          <w:sz w:val="28"/>
          <w:szCs w:val="28"/>
          <w:highlight w:val="none"/>
          <w:lang w:val="en-US" w:eastAsia="zh-CN" w:bidi="ar-SA"/>
        </w:rPr>
        <w:t>采购人</w:t>
      </w:r>
      <w:r>
        <w:rPr>
          <w:rFonts w:hint="eastAsia" w:ascii="宋体" w:hAnsi="宋体" w:eastAsia="宋体" w:cs="宋体"/>
          <w:color w:val="auto"/>
          <w:kern w:val="2"/>
          <w:sz w:val="28"/>
          <w:szCs w:val="28"/>
          <w:highlight w:val="none"/>
          <w:lang w:val="en-US" w:eastAsia="zh-CN" w:bidi="ar-SA"/>
        </w:rPr>
        <w:t>提出任何索赔的要求，对此</w:t>
      </w:r>
      <w:r>
        <w:rPr>
          <w:rFonts w:hint="eastAsia" w:ascii="宋体" w:hAnsi="宋体" w:cs="宋体"/>
          <w:color w:val="auto"/>
          <w:kern w:val="2"/>
          <w:sz w:val="28"/>
          <w:szCs w:val="28"/>
          <w:highlight w:val="none"/>
          <w:lang w:val="en-US" w:eastAsia="zh-CN" w:bidi="ar-SA"/>
        </w:rPr>
        <w:t>采购人</w:t>
      </w:r>
      <w:r>
        <w:rPr>
          <w:rFonts w:hint="eastAsia" w:ascii="宋体" w:hAnsi="宋体" w:eastAsia="宋体" w:cs="宋体"/>
          <w:color w:val="auto"/>
          <w:kern w:val="2"/>
          <w:sz w:val="28"/>
          <w:szCs w:val="28"/>
          <w:highlight w:val="none"/>
          <w:lang w:val="en-US" w:eastAsia="zh-CN" w:bidi="ar-SA"/>
        </w:rPr>
        <w:t>不承担任何责任并将不作任何答复与考虑。</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集中现场踏勘时间为 2026 年</w:t>
      </w:r>
      <w:r>
        <w:rPr>
          <w:rFonts w:hint="eastAsia" w:ascii="宋体" w:hAnsi="宋体" w:cs="宋体"/>
          <w:color w:val="auto"/>
          <w:kern w:val="2"/>
          <w:sz w:val="28"/>
          <w:szCs w:val="28"/>
          <w:highlight w:val="none"/>
          <w:lang w:val="en-US" w:eastAsia="zh-CN" w:bidi="ar-SA"/>
        </w:rPr>
        <w:t>7</w:t>
      </w:r>
      <w:r>
        <w:rPr>
          <w:rFonts w:hint="eastAsia" w:ascii="宋体" w:hAnsi="宋体" w:eastAsia="宋体" w:cs="宋体"/>
          <w:color w:val="auto"/>
          <w:kern w:val="2"/>
          <w:sz w:val="28"/>
          <w:szCs w:val="28"/>
          <w:highlight w:val="none"/>
          <w:lang w:val="en-US" w:eastAsia="zh-CN" w:bidi="ar-SA"/>
        </w:rPr>
        <w:t>月</w:t>
      </w:r>
      <w:r>
        <w:rPr>
          <w:rFonts w:hint="eastAsia" w:ascii="宋体" w:hAnsi="宋体" w:cs="宋体"/>
          <w:color w:val="auto"/>
          <w:kern w:val="2"/>
          <w:sz w:val="28"/>
          <w:szCs w:val="28"/>
          <w:highlight w:val="none"/>
          <w:lang w:val="en-US" w:eastAsia="zh-CN" w:bidi="ar-SA"/>
        </w:rPr>
        <w:t>6</w:t>
      </w:r>
      <w:r>
        <w:rPr>
          <w:rFonts w:hint="eastAsia" w:ascii="宋体" w:hAnsi="宋体" w:eastAsia="宋体" w:cs="宋体"/>
          <w:color w:val="auto"/>
          <w:kern w:val="2"/>
          <w:sz w:val="28"/>
          <w:szCs w:val="28"/>
          <w:highlight w:val="none"/>
          <w:lang w:val="en-US" w:eastAsia="zh-CN" w:bidi="ar-SA"/>
        </w:rPr>
        <w:t>日</w:t>
      </w:r>
      <w:r>
        <w:rPr>
          <w:rFonts w:hint="eastAsia" w:ascii="宋体" w:hAnsi="宋体" w:cs="宋体"/>
          <w:color w:val="auto"/>
          <w:kern w:val="2"/>
          <w:sz w:val="28"/>
          <w:szCs w:val="28"/>
          <w:highlight w:val="none"/>
          <w:lang w:val="en-US" w:eastAsia="zh-CN" w:bidi="ar-SA"/>
        </w:rPr>
        <w:t>--7</w:t>
      </w:r>
      <w:r>
        <w:rPr>
          <w:rFonts w:hint="eastAsia" w:ascii="宋体" w:hAnsi="宋体" w:eastAsia="宋体" w:cs="宋体"/>
          <w:color w:val="auto"/>
          <w:kern w:val="2"/>
          <w:sz w:val="28"/>
          <w:szCs w:val="28"/>
          <w:highlight w:val="none"/>
          <w:lang w:val="en-US" w:eastAsia="zh-CN" w:bidi="ar-SA"/>
        </w:rPr>
        <w:t>月</w:t>
      </w:r>
      <w:r>
        <w:rPr>
          <w:rFonts w:hint="eastAsia" w:ascii="宋体" w:hAnsi="宋体" w:cs="宋体"/>
          <w:color w:val="auto"/>
          <w:kern w:val="2"/>
          <w:sz w:val="28"/>
          <w:szCs w:val="28"/>
          <w:highlight w:val="none"/>
          <w:lang w:val="en-US" w:eastAsia="zh-CN" w:bidi="ar-SA"/>
        </w:rPr>
        <w:t>10</w:t>
      </w:r>
      <w:r>
        <w:rPr>
          <w:rFonts w:hint="eastAsia" w:ascii="宋体" w:hAnsi="宋体" w:eastAsia="宋体" w:cs="宋体"/>
          <w:color w:val="auto"/>
          <w:kern w:val="2"/>
          <w:sz w:val="28"/>
          <w:szCs w:val="28"/>
          <w:highlight w:val="none"/>
          <w:lang w:val="en-US" w:eastAsia="zh-CN" w:bidi="ar-SA"/>
        </w:rPr>
        <w:t>日（</w:t>
      </w:r>
      <w:r>
        <w:rPr>
          <w:rFonts w:hint="eastAsia" w:ascii="宋体" w:hAnsi="宋体" w:cs="宋体"/>
          <w:color w:val="auto"/>
          <w:kern w:val="2"/>
          <w:sz w:val="28"/>
          <w:szCs w:val="28"/>
          <w:highlight w:val="none"/>
          <w:lang w:val="en-US" w:eastAsia="zh-CN" w:bidi="ar-SA"/>
        </w:rPr>
        <w:t>9</w:t>
      </w:r>
      <w:r>
        <w:rPr>
          <w:rFonts w:hint="eastAsia" w:ascii="宋体" w:hAnsi="宋体" w:eastAsia="宋体" w:cs="宋体"/>
          <w:color w:val="auto"/>
          <w:kern w:val="2"/>
          <w:sz w:val="28"/>
          <w:szCs w:val="28"/>
          <w:highlight w:val="none"/>
          <w:lang w:val="en-US" w:eastAsia="zh-CN" w:bidi="ar-SA"/>
        </w:rPr>
        <w:t>：00-11:00，14：00-17:00），联系人徐老师 13962980630（提前预约）。</w:t>
      </w:r>
    </w:p>
    <w:p w14:paraId="198A86BE">
      <w:pPr>
        <w:spacing w:line="520" w:lineRule="exact"/>
        <w:ind w:firstLine="562" w:firstLineChars="200"/>
        <w:rPr>
          <w:rFonts w:hint="eastAsia" w:ascii="宋体" w:hAnsi="宋体" w:eastAsia="宋体" w:cs="宋体"/>
          <w:b/>
          <w:bCs/>
          <w:color w:val="auto"/>
          <w:kern w:val="2"/>
          <w:sz w:val="28"/>
          <w:szCs w:val="28"/>
          <w:highlight w:val="none"/>
          <w:lang w:val="en-US" w:eastAsia="zh-CN" w:bidi="ar-SA"/>
        </w:rPr>
      </w:pPr>
      <w:bookmarkStart w:id="96" w:name="heading_14"/>
      <w:r>
        <w:rPr>
          <w:rFonts w:hint="eastAsia" w:ascii="宋体" w:hAnsi="宋体" w:eastAsia="宋体" w:cs="宋体"/>
          <w:b/>
          <w:bCs/>
          <w:color w:val="auto"/>
          <w:kern w:val="2"/>
          <w:sz w:val="28"/>
          <w:szCs w:val="28"/>
          <w:highlight w:val="none"/>
          <w:lang w:val="en-US" w:eastAsia="zh-CN" w:bidi="ar-SA"/>
        </w:rPr>
        <w:t>五、需满足的服务标准、期限、效率等要求</w:t>
      </w:r>
      <w:bookmarkEnd w:id="96"/>
    </w:p>
    <w:p w14:paraId="4AB36CD6">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1.搬迁产生的所有包装废弃物（纸箱、泡沫、胶带）属于固体废弃物，</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需负责 “日产日清”，运至校方指定垃圾处理点，不得堆积在楼道、电梯口、校园道路内，每日搬迁结束后同步清理当日全部废料。</w:t>
      </w:r>
    </w:p>
    <w:p w14:paraId="56F7A892">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2.搬迁方须具备雨天作业能力，搬运时如遇雨，必须使用全封闭厢式货车，严禁使用敞篷车，以防止梅雨季节或夏季突发降雨导致家具受潮、淋湿。配备足够的防雨布、雨棚，确保 “小雨不停工，大雨有防护”，不因天气原因延误工期，雨天额外增加多层防水防护措施。</w:t>
      </w:r>
    </w:p>
    <w:p w14:paraId="263391A9">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3.</w:t>
      </w:r>
      <w:r>
        <w:rPr>
          <w:rFonts w:hint="eastAsia" w:ascii="宋体" w:hAnsi="宋体" w:cs="宋体"/>
          <w:color w:val="auto"/>
          <w:kern w:val="2"/>
          <w:sz w:val="28"/>
          <w:szCs w:val="28"/>
          <w:highlight w:val="none"/>
          <w:lang w:val="en-US" w:eastAsia="zh-CN" w:bidi="ar-SA"/>
        </w:rPr>
        <w:t>成交</w:t>
      </w:r>
      <w:r>
        <w:rPr>
          <w:rFonts w:hint="eastAsia" w:ascii="宋体" w:hAnsi="宋体" w:eastAsia="宋体" w:cs="宋体"/>
          <w:color w:val="auto"/>
          <w:kern w:val="2"/>
          <w:sz w:val="28"/>
          <w:szCs w:val="28"/>
          <w:highlight w:val="none"/>
          <w:lang w:val="en-US" w:eastAsia="zh-CN" w:bidi="ar-SA"/>
        </w:rPr>
        <w:t>后7日内签订合同，自通知搬运开始之日起分批次完成（各批次搬迁时间由校方、各学院搬迁工作小组共同通知），</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严格按照双方确认的每日搬运计划表执行，不得擅自调整搬运顺序、减少人员车辆投入。</w:t>
      </w:r>
    </w:p>
    <w:p w14:paraId="4FCF08A0">
      <w:pPr>
        <w:spacing w:line="520" w:lineRule="exact"/>
        <w:ind w:firstLine="562" w:firstLineChars="200"/>
        <w:rPr>
          <w:rFonts w:hint="eastAsia" w:ascii="宋体" w:hAnsi="宋体" w:eastAsia="宋体" w:cs="宋体"/>
          <w:b/>
          <w:bCs/>
          <w:color w:val="auto"/>
          <w:kern w:val="2"/>
          <w:sz w:val="28"/>
          <w:szCs w:val="28"/>
          <w:highlight w:val="none"/>
          <w:lang w:val="en-US" w:eastAsia="zh-CN" w:bidi="ar-SA"/>
        </w:rPr>
      </w:pPr>
      <w:bookmarkStart w:id="97" w:name="heading_15"/>
      <w:r>
        <w:rPr>
          <w:rFonts w:hint="eastAsia" w:ascii="宋体" w:hAnsi="宋体" w:eastAsia="宋体" w:cs="宋体"/>
          <w:b/>
          <w:bCs/>
          <w:color w:val="auto"/>
          <w:kern w:val="2"/>
          <w:sz w:val="28"/>
          <w:szCs w:val="28"/>
          <w:highlight w:val="none"/>
          <w:lang w:val="en-US" w:eastAsia="zh-CN" w:bidi="ar-SA"/>
        </w:rPr>
        <w:t>六、项目验收标准</w:t>
      </w:r>
      <w:bookmarkEnd w:id="97"/>
    </w:p>
    <w:p w14:paraId="662E7C2F">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1.完好率。文明搬运、科学拆解、无损复原，搬运物品完好率 100%，不影响正常使用。完好率每低 1%，扣减合同总价款的 1%。完好率由涉及相关搬迁二级单位党政领导、搬迁工作小组共同核对全部《就位验收单》确认后，取全校平均值。</w:t>
      </w:r>
    </w:p>
    <w:p w14:paraId="6AEF9344">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2.清点手续规范。所有批次搬运必须完整留存装车、到货、就位三方签字单据，缺少任一环节签字记录，对应批次不计入有效完工工作量；未规范清点签字造成物品丢失、损毁，全部损失由</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承担。</w:t>
      </w:r>
    </w:p>
    <w:p w14:paraId="7CC86395">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3.电梯复原标准。每批次搬运结束后电梯防护拆除、清理到位，经学院联络人现场检查确认，未恢复原样、残留胶痕、造成电梯损坏的，单次扣款 1000 元，维修费用由</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另行支付。</w:t>
      </w:r>
    </w:p>
    <w:p w14:paraId="582C963D">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4.满意度。涉及相关搬迁二级单位对家具搬运满意度不得低于 85%，满意度每低 1%，扣减合同总价款的 1%。满意度由涉及相关搬迁二级单位党政领导、搬迁工作小组共同确认，取全校平均值。</w:t>
      </w:r>
    </w:p>
    <w:p w14:paraId="5765873D">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5.安全作业。不发生校园内超速、违停或其他影响师生安全的情况，每发生一起扣款 500 元；不发生校内交通事故、人员安全事故、财产损毁事故，否则每发生一起扣减合同总价款的 1%，同时</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承担全部赔偿。</w:t>
      </w:r>
    </w:p>
    <w:p w14:paraId="71D638B5">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6.相关时限。</w:t>
      </w:r>
      <w:r>
        <w:rPr>
          <w:rFonts w:hint="eastAsia" w:ascii="宋体" w:hAnsi="宋体" w:cs="宋体"/>
          <w:color w:val="auto"/>
          <w:kern w:val="2"/>
          <w:sz w:val="28"/>
          <w:szCs w:val="28"/>
          <w:highlight w:val="none"/>
          <w:lang w:val="en-US" w:eastAsia="zh-CN" w:bidi="ar-SA"/>
        </w:rPr>
        <w:t>成交</w:t>
      </w:r>
      <w:r>
        <w:rPr>
          <w:rFonts w:hint="eastAsia" w:ascii="宋体" w:hAnsi="宋体" w:eastAsia="宋体" w:cs="宋体"/>
          <w:color w:val="auto"/>
          <w:kern w:val="2"/>
          <w:sz w:val="28"/>
          <w:szCs w:val="28"/>
          <w:highlight w:val="none"/>
          <w:lang w:val="en-US" w:eastAsia="zh-CN" w:bidi="ar-SA"/>
        </w:rPr>
        <w:t>后及时签订合同，否则每拖延 1 天，结算时扣减合同总价款的 10%。按规定时间完成相关搬运任务，每拖延 1 天，扣减合同总价款的 10%。因校方原因或不可抗力的因素影响除外。</w:t>
      </w:r>
    </w:p>
    <w:p w14:paraId="2E3CAA24">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7.临时任务。不满足（四）1. 约定的 “临时增加少量家具搬运需求” 的处理方式，每发生一起扣减合同总价款的 1%。</w:t>
      </w:r>
    </w:p>
    <w:p w14:paraId="05F20DAB">
      <w:pPr>
        <w:spacing w:line="520" w:lineRule="exact"/>
        <w:ind w:firstLine="562" w:firstLineChars="200"/>
        <w:rPr>
          <w:rFonts w:hint="eastAsia" w:ascii="宋体" w:hAnsi="宋体" w:eastAsia="宋体" w:cs="宋体"/>
          <w:b/>
          <w:bCs/>
          <w:color w:val="auto"/>
          <w:kern w:val="2"/>
          <w:sz w:val="28"/>
          <w:szCs w:val="28"/>
          <w:highlight w:val="none"/>
          <w:lang w:val="en-US" w:eastAsia="zh-CN" w:bidi="ar-SA"/>
        </w:rPr>
      </w:pPr>
      <w:bookmarkStart w:id="98" w:name="heading_16"/>
      <w:r>
        <w:rPr>
          <w:rFonts w:hint="eastAsia" w:ascii="宋体" w:hAnsi="宋体" w:eastAsia="宋体" w:cs="宋体"/>
          <w:b/>
          <w:bCs/>
          <w:color w:val="auto"/>
          <w:kern w:val="2"/>
          <w:sz w:val="28"/>
          <w:szCs w:val="28"/>
          <w:highlight w:val="none"/>
          <w:lang w:val="en-US" w:eastAsia="zh-CN" w:bidi="ar-SA"/>
        </w:rPr>
        <w:t>七、项目其他技术、服务等要求</w:t>
      </w:r>
      <w:bookmarkEnd w:id="98"/>
    </w:p>
    <w:p w14:paraId="2BE26334">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1.本项目实施过程中，</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配备的人员与设备由</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全权负责安全管控、日常管理、教育培训。项目实施前完成全员安全培训、设备安全检修，并编制专项安全管理方案、全流程物品防护方案、电梯防护操作细则；实施过程中，如出现人员安全、设备安全、物品损毁、校园设施损坏等各类隐患及事故，全部由</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自行处理解决并承担全部经济、法律责任，</w:t>
      </w:r>
      <w:r>
        <w:rPr>
          <w:rFonts w:hint="eastAsia" w:ascii="宋体" w:hAnsi="宋体" w:cs="宋体"/>
          <w:color w:val="auto"/>
          <w:kern w:val="2"/>
          <w:sz w:val="28"/>
          <w:szCs w:val="28"/>
          <w:highlight w:val="none"/>
          <w:lang w:val="en-US" w:eastAsia="zh-CN" w:bidi="ar-SA"/>
        </w:rPr>
        <w:t>采购人</w:t>
      </w:r>
      <w:r>
        <w:rPr>
          <w:rFonts w:hint="eastAsia" w:ascii="宋体" w:hAnsi="宋体" w:eastAsia="宋体" w:cs="宋体"/>
          <w:color w:val="auto"/>
          <w:kern w:val="2"/>
          <w:sz w:val="28"/>
          <w:szCs w:val="28"/>
          <w:highlight w:val="none"/>
          <w:lang w:val="en-US" w:eastAsia="zh-CN" w:bidi="ar-SA"/>
        </w:rPr>
        <w:t>不承担任何与安全相关的责任和风险。</w:t>
      </w:r>
    </w:p>
    <w:p w14:paraId="6A9A4795">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2.本项目</w:t>
      </w:r>
      <w:r>
        <w:rPr>
          <w:rFonts w:hint="eastAsia" w:ascii="宋体" w:hAnsi="宋体" w:cs="宋体"/>
          <w:color w:val="auto"/>
          <w:kern w:val="2"/>
          <w:sz w:val="28"/>
          <w:szCs w:val="28"/>
          <w:highlight w:val="none"/>
          <w:lang w:val="en-US" w:eastAsia="zh-CN" w:bidi="ar-SA"/>
        </w:rPr>
        <w:t>成交</w:t>
      </w:r>
      <w:r>
        <w:rPr>
          <w:rFonts w:hint="eastAsia" w:ascii="宋体" w:hAnsi="宋体" w:eastAsia="宋体" w:cs="宋体"/>
          <w:color w:val="auto"/>
          <w:kern w:val="2"/>
          <w:sz w:val="28"/>
          <w:szCs w:val="28"/>
          <w:highlight w:val="none"/>
          <w:lang w:val="en-US" w:eastAsia="zh-CN" w:bidi="ar-SA"/>
        </w:rPr>
        <w:t>后的履约保证金为项目</w:t>
      </w:r>
      <w:r>
        <w:rPr>
          <w:rFonts w:hint="eastAsia" w:ascii="宋体" w:hAnsi="宋体" w:cs="宋体"/>
          <w:color w:val="auto"/>
          <w:kern w:val="2"/>
          <w:sz w:val="28"/>
          <w:szCs w:val="28"/>
          <w:highlight w:val="none"/>
          <w:lang w:val="en-US" w:eastAsia="zh-CN" w:bidi="ar-SA"/>
        </w:rPr>
        <w:t>成交</w:t>
      </w:r>
      <w:r>
        <w:rPr>
          <w:rFonts w:hint="eastAsia" w:ascii="宋体" w:hAnsi="宋体" w:eastAsia="宋体" w:cs="宋体"/>
          <w:color w:val="auto"/>
          <w:kern w:val="2"/>
          <w:sz w:val="28"/>
          <w:szCs w:val="28"/>
          <w:highlight w:val="none"/>
          <w:lang w:val="en-US" w:eastAsia="zh-CN" w:bidi="ar-SA"/>
        </w:rPr>
        <w:t>价的 10%，</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的履约保证金须在</w:t>
      </w:r>
      <w:r>
        <w:rPr>
          <w:rFonts w:hint="eastAsia" w:ascii="宋体" w:hAnsi="宋体" w:cs="宋体"/>
          <w:color w:val="auto"/>
          <w:kern w:val="2"/>
          <w:sz w:val="28"/>
          <w:szCs w:val="28"/>
          <w:highlight w:val="none"/>
          <w:lang w:val="en-US" w:eastAsia="zh-CN" w:bidi="ar-SA"/>
        </w:rPr>
        <w:t>成交通知书</w:t>
      </w:r>
      <w:r>
        <w:rPr>
          <w:rFonts w:hint="eastAsia" w:ascii="宋体" w:hAnsi="宋体" w:eastAsia="宋体" w:cs="宋体"/>
          <w:color w:val="auto"/>
          <w:kern w:val="2"/>
          <w:sz w:val="28"/>
          <w:szCs w:val="28"/>
          <w:highlight w:val="none"/>
          <w:lang w:val="en-US" w:eastAsia="zh-CN" w:bidi="ar-SA"/>
        </w:rPr>
        <w:t>发出之日起至合同签订前汇入</w:t>
      </w:r>
      <w:r>
        <w:rPr>
          <w:rFonts w:hint="eastAsia" w:ascii="宋体" w:hAnsi="宋体" w:cs="宋体"/>
          <w:color w:val="auto"/>
          <w:kern w:val="2"/>
          <w:sz w:val="28"/>
          <w:szCs w:val="28"/>
          <w:highlight w:val="none"/>
          <w:lang w:val="en-US" w:eastAsia="zh-CN" w:bidi="ar-SA"/>
        </w:rPr>
        <w:t>采购人</w:t>
      </w:r>
      <w:r>
        <w:rPr>
          <w:rFonts w:hint="eastAsia" w:ascii="宋体" w:hAnsi="宋体" w:eastAsia="宋体" w:cs="宋体"/>
          <w:color w:val="auto"/>
          <w:kern w:val="2"/>
          <w:sz w:val="28"/>
          <w:szCs w:val="28"/>
          <w:highlight w:val="none"/>
          <w:lang w:val="en-US" w:eastAsia="zh-CN" w:bidi="ar-SA"/>
        </w:rPr>
        <w:t>指定账户。</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户名：南通市财政局</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收入账号：513902006610906</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开户行：招商银行南通分行</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备注（务必填写）：南通职业大学 XX 费用</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服务验收合格后，不计利息全额返还</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发生以下情况的，履约保证金不予退还或部分退还：</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a. 签订合同后，</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不履行合同义务的，</w:t>
      </w:r>
      <w:r>
        <w:rPr>
          <w:rFonts w:hint="eastAsia" w:ascii="宋体" w:hAnsi="宋体" w:cs="宋体"/>
          <w:color w:val="auto"/>
          <w:kern w:val="2"/>
          <w:sz w:val="28"/>
          <w:szCs w:val="28"/>
          <w:highlight w:val="none"/>
          <w:lang w:val="en-US" w:eastAsia="zh-CN" w:bidi="ar-SA"/>
        </w:rPr>
        <w:t>采购人</w:t>
      </w:r>
      <w:r>
        <w:rPr>
          <w:rFonts w:hint="eastAsia" w:ascii="宋体" w:hAnsi="宋体" w:eastAsia="宋体" w:cs="宋体"/>
          <w:color w:val="auto"/>
          <w:kern w:val="2"/>
          <w:sz w:val="28"/>
          <w:szCs w:val="28"/>
          <w:highlight w:val="none"/>
          <w:lang w:val="en-US" w:eastAsia="zh-CN" w:bidi="ar-SA"/>
        </w:rPr>
        <w:t>有权全额扣除履约保证金，全额不予退还，同时</w:t>
      </w:r>
      <w:r>
        <w:rPr>
          <w:rFonts w:hint="eastAsia" w:ascii="宋体" w:hAnsi="宋体" w:cs="宋体"/>
          <w:color w:val="auto"/>
          <w:kern w:val="2"/>
          <w:sz w:val="28"/>
          <w:szCs w:val="28"/>
          <w:highlight w:val="none"/>
          <w:lang w:val="en-US" w:eastAsia="zh-CN" w:bidi="ar-SA"/>
        </w:rPr>
        <w:t>采购人</w:t>
      </w:r>
      <w:r>
        <w:rPr>
          <w:rFonts w:hint="eastAsia" w:ascii="宋体" w:hAnsi="宋体" w:eastAsia="宋体" w:cs="宋体"/>
          <w:color w:val="auto"/>
          <w:kern w:val="2"/>
          <w:sz w:val="28"/>
          <w:szCs w:val="28"/>
          <w:highlight w:val="none"/>
          <w:lang w:val="en-US" w:eastAsia="zh-CN" w:bidi="ar-SA"/>
        </w:rPr>
        <w:t>亦有权终止合同，</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还须承担相应的法律赔偿责任。</w:t>
      </w:r>
      <w:r>
        <w:rPr>
          <w:rFonts w:hint="eastAsia" w:ascii="宋体" w:hAnsi="宋体" w:eastAsia="宋体" w:cs="宋体"/>
          <w:color w:val="auto"/>
          <w:kern w:val="2"/>
          <w:sz w:val="28"/>
          <w:szCs w:val="28"/>
          <w:highlight w:val="none"/>
          <w:lang w:val="en-US" w:eastAsia="zh-CN" w:bidi="ar-SA"/>
        </w:rPr>
        <w:br w:type="textWrapping"/>
      </w:r>
      <w:r>
        <w:rPr>
          <w:rFonts w:hint="eastAsia" w:ascii="宋体" w:hAnsi="宋体" w:eastAsia="宋体" w:cs="宋体"/>
          <w:color w:val="auto"/>
          <w:kern w:val="2"/>
          <w:sz w:val="28"/>
          <w:szCs w:val="28"/>
          <w:highlight w:val="none"/>
          <w:lang w:val="en-US" w:eastAsia="zh-CN" w:bidi="ar-SA"/>
        </w:rPr>
        <w:t xml:space="preserve">    b. </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在履约过程中发生违约行为，给</w:t>
      </w:r>
      <w:r>
        <w:rPr>
          <w:rFonts w:hint="eastAsia" w:ascii="宋体" w:hAnsi="宋体" w:cs="宋体"/>
          <w:color w:val="auto"/>
          <w:kern w:val="2"/>
          <w:sz w:val="28"/>
          <w:szCs w:val="28"/>
          <w:highlight w:val="none"/>
          <w:lang w:val="en-US" w:eastAsia="zh-CN" w:bidi="ar-SA"/>
        </w:rPr>
        <w:t>采购人</w:t>
      </w:r>
      <w:r>
        <w:rPr>
          <w:rFonts w:hint="eastAsia" w:ascii="宋体" w:hAnsi="宋体" w:eastAsia="宋体" w:cs="宋体"/>
          <w:color w:val="auto"/>
          <w:kern w:val="2"/>
          <w:sz w:val="28"/>
          <w:szCs w:val="28"/>
          <w:highlight w:val="none"/>
          <w:lang w:val="en-US" w:eastAsia="zh-CN" w:bidi="ar-SA"/>
        </w:rPr>
        <w:t>造成损失的，</w:t>
      </w:r>
      <w:r>
        <w:rPr>
          <w:rFonts w:hint="eastAsia" w:ascii="宋体" w:hAnsi="宋体" w:cs="宋体"/>
          <w:color w:val="auto"/>
          <w:kern w:val="2"/>
          <w:sz w:val="28"/>
          <w:szCs w:val="28"/>
          <w:highlight w:val="none"/>
          <w:lang w:val="en-US" w:eastAsia="zh-CN" w:bidi="ar-SA"/>
        </w:rPr>
        <w:t>采购人</w:t>
      </w:r>
      <w:r>
        <w:rPr>
          <w:rFonts w:hint="eastAsia" w:ascii="宋体" w:hAnsi="宋体" w:eastAsia="宋体" w:cs="宋体"/>
          <w:color w:val="auto"/>
          <w:kern w:val="2"/>
          <w:sz w:val="28"/>
          <w:szCs w:val="28"/>
          <w:highlight w:val="none"/>
          <w:lang w:val="en-US" w:eastAsia="zh-CN" w:bidi="ar-SA"/>
        </w:rPr>
        <w:t>有权在</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缴纳的履约保证金中予以扣款，以弥补</w:t>
      </w:r>
      <w:r>
        <w:rPr>
          <w:rFonts w:hint="eastAsia" w:ascii="宋体" w:hAnsi="宋体" w:cs="宋体"/>
          <w:color w:val="auto"/>
          <w:kern w:val="2"/>
          <w:sz w:val="28"/>
          <w:szCs w:val="28"/>
          <w:highlight w:val="none"/>
          <w:lang w:val="en-US" w:eastAsia="zh-CN" w:bidi="ar-SA"/>
        </w:rPr>
        <w:t>采购人</w:t>
      </w:r>
      <w:r>
        <w:rPr>
          <w:rFonts w:hint="eastAsia" w:ascii="宋体" w:hAnsi="宋体" w:eastAsia="宋体" w:cs="宋体"/>
          <w:color w:val="auto"/>
          <w:kern w:val="2"/>
          <w:sz w:val="28"/>
          <w:szCs w:val="28"/>
          <w:highlight w:val="none"/>
          <w:lang w:val="en-US" w:eastAsia="zh-CN" w:bidi="ar-SA"/>
        </w:rPr>
        <w:t>经济损失，不足的部分</w:t>
      </w: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另外补齐。</w:t>
      </w:r>
    </w:p>
    <w:p w14:paraId="3C7C7956">
      <w:pPr>
        <w:spacing w:line="520" w:lineRule="exact"/>
        <w:ind w:left="559" w:leftChars="266" w:firstLine="0" w:firstLineChars="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3.付款方式：</w:t>
      </w:r>
    </w:p>
    <w:p w14:paraId="1EC92CB4">
      <w:pPr>
        <w:spacing w:line="520" w:lineRule="exact"/>
        <w:ind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成交供应商</w:t>
      </w:r>
      <w:r>
        <w:rPr>
          <w:rFonts w:hint="eastAsia" w:ascii="宋体" w:hAnsi="宋体" w:eastAsia="宋体" w:cs="宋体"/>
          <w:color w:val="auto"/>
          <w:kern w:val="2"/>
          <w:sz w:val="28"/>
          <w:szCs w:val="28"/>
          <w:highlight w:val="none"/>
          <w:lang w:val="en-US" w:eastAsia="zh-CN" w:bidi="ar-SA"/>
        </w:rPr>
        <w:t>按合同要求搬运完所有货物，全部批次《搬运就位验收单》签字齐全、经校方各学院搬迁工作小组统一验收认可后，一次性付清全款并退还履约保证金。</w:t>
      </w:r>
    </w:p>
    <w:p w14:paraId="0ED63EE4">
      <w:pPr>
        <w:spacing w:line="500" w:lineRule="exact"/>
        <w:contextualSpacing/>
        <w:jc w:val="center"/>
        <w:rPr>
          <w:rFonts w:hint="eastAsia" w:ascii="宋体" w:hAnsi="宋体" w:cs="宋体"/>
          <w:b/>
          <w:color w:val="auto"/>
          <w:sz w:val="36"/>
          <w:szCs w:val="36"/>
          <w:highlight w:val="none"/>
        </w:rPr>
        <w:sectPr>
          <w:headerReference r:id="rId5" w:type="first"/>
          <w:headerReference r:id="rId3" w:type="default"/>
          <w:footerReference r:id="rId6" w:type="default"/>
          <w:headerReference r:id="rId4" w:type="even"/>
          <w:pgSz w:w="11906" w:h="16838"/>
          <w:pgMar w:top="1440" w:right="1797" w:bottom="1440" w:left="1797" w:header="851" w:footer="992" w:gutter="0"/>
          <w:cols w:space="720" w:num="1"/>
          <w:docGrid w:type="lines" w:linePitch="312" w:charSpace="0"/>
        </w:sectPr>
      </w:pPr>
    </w:p>
    <w:p w14:paraId="77ECA9CB">
      <w:pPr>
        <w:pStyle w:val="93"/>
        <w:rPr>
          <w:rFonts w:ascii="宋体" w:hAnsi="宋体" w:cs="宋体"/>
          <w:b/>
          <w:color w:val="auto"/>
          <w:sz w:val="32"/>
          <w:szCs w:val="32"/>
          <w:highlight w:val="none"/>
        </w:rPr>
      </w:pPr>
      <w:r>
        <w:rPr>
          <w:rFonts w:hint="eastAsia" w:ascii="宋体" w:hAnsi="宋体"/>
          <w:b/>
          <w:bCs/>
          <w:color w:val="auto"/>
          <w:sz w:val="30"/>
          <w:szCs w:val="30"/>
          <w:highlight w:val="none"/>
          <w:lang w:val="en-US" w:eastAsia="zh-CN"/>
        </w:rPr>
        <w:t xml:space="preserve">  </w:t>
      </w:r>
      <w:r>
        <w:rPr>
          <w:rFonts w:hint="eastAsia"/>
          <w:b/>
          <w:bCs/>
          <w:color w:val="auto"/>
          <w:sz w:val="30"/>
          <w:szCs w:val="30"/>
          <w:highlight w:val="none"/>
          <w:lang w:val="en-US" w:eastAsia="zh-CN"/>
        </w:rPr>
        <w:t xml:space="preserve">          </w:t>
      </w:r>
      <w:r>
        <w:rPr>
          <w:rFonts w:hint="eastAsia" w:ascii="宋体" w:hAnsi="宋体" w:cs="宋体"/>
          <w:bCs/>
          <w:color w:val="auto"/>
          <w:sz w:val="36"/>
          <w:szCs w:val="36"/>
          <w:highlight w:val="none"/>
        </w:rPr>
        <w:t>第四部分 评审方法和评审标准</w:t>
      </w:r>
    </w:p>
    <w:p w14:paraId="0C016570">
      <w:pPr>
        <w:adjustRightInd w:val="0"/>
        <w:snapToGrid w:val="0"/>
        <w:spacing w:line="460" w:lineRule="exact"/>
        <w:ind w:firstLine="562" w:firstLineChars="200"/>
        <w:jc w:val="left"/>
        <w:textAlignment w:val="baseline"/>
        <w:outlineLvl w:val="1"/>
        <w:rPr>
          <w:rFonts w:ascii="宋体" w:hAnsi="宋体" w:cs="宋体"/>
          <w:b/>
          <w:color w:val="auto"/>
          <w:sz w:val="28"/>
          <w:szCs w:val="28"/>
          <w:highlight w:val="none"/>
        </w:rPr>
      </w:pPr>
      <w:r>
        <w:rPr>
          <w:rFonts w:hint="eastAsia" w:ascii="宋体" w:hAnsi="宋体" w:cs="宋体"/>
          <w:b/>
          <w:color w:val="auto"/>
          <w:sz w:val="28"/>
          <w:szCs w:val="28"/>
          <w:highlight w:val="none"/>
        </w:rPr>
        <w:t>一、</w:t>
      </w:r>
      <w:r>
        <w:rPr>
          <w:rFonts w:hint="eastAsia" w:ascii="宋体" w:hAnsi="宋体" w:cs="宋体"/>
          <w:bCs/>
          <w:color w:val="auto"/>
          <w:sz w:val="28"/>
          <w:szCs w:val="28"/>
          <w:highlight w:val="none"/>
        </w:rPr>
        <w:t>磋商方式</w:t>
      </w:r>
    </w:p>
    <w:p w14:paraId="2B6ECE4F">
      <w:pPr>
        <w:tabs>
          <w:tab w:val="left" w:pos="3585"/>
        </w:tabs>
        <w:adjustRightInd w:val="0"/>
        <w:snapToGrid w:val="0"/>
        <w:spacing w:line="460" w:lineRule="exact"/>
        <w:ind w:firstLine="537" w:firstLineChars="192"/>
        <w:rPr>
          <w:rFonts w:ascii="宋体" w:hAnsi="宋体" w:cs="宋体"/>
          <w:color w:val="auto"/>
          <w:sz w:val="28"/>
          <w:szCs w:val="28"/>
          <w:highlight w:val="none"/>
        </w:rPr>
      </w:pPr>
      <w:r>
        <w:rPr>
          <w:rFonts w:hint="eastAsia" w:ascii="宋体" w:hAnsi="宋体" w:cs="宋体"/>
          <w:color w:val="auto"/>
          <w:sz w:val="28"/>
          <w:szCs w:val="28"/>
          <w:highlight w:val="none"/>
        </w:rPr>
        <w:t>见面磋商模式：供应商在采购文件规定的时间和地点参加磋商活动。</w:t>
      </w:r>
    </w:p>
    <w:p w14:paraId="498E2259">
      <w:pPr>
        <w:adjustRightInd w:val="0"/>
        <w:snapToGrid w:val="0"/>
        <w:spacing w:line="460" w:lineRule="exact"/>
        <w:ind w:firstLine="562" w:firstLineChars="200"/>
        <w:jc w:val="left"/>
        <w:textAlignment w:val="baseline"/>
        <w:outlineLvl w:val="1"/>
        <w:rPr>
          <w:rFonts w:ascii="宋体" w:hAnsi="宋体" w:cs="宋体"/>
          <w:color w:val="auto"/>
          <w:sz w:val="28"/>
          <w:szCs w:val="28"/>
          <w:highlight w:val="none"/>
        </w:rPr>
      </w:pPr>
      <w:r>
        <w:rPr>
          <w:rFonts w:hint="eastAsia" w:ascii="宋体" w:hAnsi="宋体" w:cs="宋体"/>
          <w:b/>
          <w:color w:val="auto"/>
          <w:sz w:val="28"/>
          <w:szCs w:val="28"/>
          <w:highlight w:val="none"/>
        </w:rPr>
        <w:t>二、</w:t>
      </w:r>
      <w:r>
        <w:rPr>
          <w:rFonts w:hint="eastAsia" w:ascii="宋体" w:hAnsi="宋体" w:cs="宋体"/>
          <w:color w:val="auto"/>
          <w:sz w:val="28"/>
          <w:szCs w:val="28"/>
          <w:highlight w:val="none"/>
        </w:rPr>
        <w:t>磋商程序及评审方法和标准</w:t>
      </w:r>
    </w:p>
    <w:p w14:paraId="3E8B0BBB">
      <w:pPr>
        <w:adjustRightInd w:val="0"/>
        <w:snapToGrid w:val="0"/>
        <w:spacing w:line="460" w:lineRule="exact"/>
        <w:ind w:firstLine="691" w:firstLineChars="247"/>
        <w:rPr>
          <w:rFonts w:ascii="宋体" w:hAnsi="宋体" w:cs="宋体"/>
          <w:bCs/>
          <w:color w:val="auto"/>
          <w:sz w:val="28"/>
          <w:szCs w:val="28"/>
          <w:highlight w:val="none"/>
        </w:rPr>
      </w:pPr>
      <w:r>
        <w:rPr>
          <w:rFonts w:hint="eastAsia" w:ascii="宋体" w:hAnsi="宋体" w:cs="宋体"/>
          <w:bCs/>
          <w:color w:val="auto"/>
          <w:sz w:val="28"/>
          <w:szCs w:val="28"/>
          <w:highlight w:val="none"/>
        </w:rPr>
        <w:t>1.评审方法：综合评分法，经磋商确定最终采购需求和提交最后报价的供应商后，由磋商小组采用综合评分法对提交最后报价的供应商的响应文件和最后报价进行综合评分。</w:t>
      </w:r>
    </w:p>
    <w:p w14:paraId="0B9E34D9">
      <w:pPr>
        <w:adjustRightInd w:val="0"/>
        <w:snapToGrid w:val="0"/>
        <w:spacing w:line="460" w:lineRule="exact"/>
        <w:ind w:firstLine="700" w:firstLineChars="25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p>
    <w:p w14:paraId="344068C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商务技术部分评审结束后进入最后报价环节，最后报价将作为评审价。代理机构发送最后报价填报通知后，所有的响应供应商须在15分钟内填写并提交最后报价，未在规定时间内提交最后报价的，视作无效响应处理。</w:t>
      </w:r>
    </w:p>
    <w:p w14:paraId="62C1E97F">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供应商商务、技术部分和价格部分的合计分值，为该供应商的评审总得分。</w:t>
      </w:r>
    </w:p>
    <w:p w14:paraId="625C8327">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p>
    <w:p w14:paraId="2C64E924">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评委在认真审阅响应文件的基础上，根据各响应文件的响应程度独立评判，不得统一打分。</w:t>
      </w:r>
    </w:p>
    <w:p w14:paraId="1EB01176">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技术商务部分评审结束后，再开启最后报价计算分值。总分值为100分，加分和减分因素除外。</w:t>
      </w:r>
    </w:p>
    <w:p w14:paraId="7D00124D">
      <w:pPr>
        <w:adjustRightInd w:val="0"/>
        <w:snapToGrid w:val="0"/>
        <w:spacing w:line="460" w:lineRule="exact"/>
        <w:ind w:firstLine="579" w:firstLineChars="206"/>
        <w:outlineLvl w:val="2"/>
        <w:rPr>
          <w:rFonts w:ascii="宋体" w:hAnsi="宋体" w:cs="宋体"/>
          <w:b/>
          <w:color w:val="auto"/>
          <w:sz w:val="28"/>
          <w:szCs w:val="28"/>
          <w:highlight w:val="none"/>
        </w:rPr>
      </w:pPr>
      <w:r>
        <w:rPr>
          <w:rFonts w:hint="eastAsia" w:ascii="宋体" w:hAnsi="宋体" w:cs="宋体"/>
          <w:b/>
          <w:color w:val="auto"/>
          <w:sz w:val="28"/>
          <w:szCs w:val="28"/>
          <w:highlight w:val="none"/>
        </w:rPr>
        <w:t>（一）采购人（代表）对供应商资格进行审查。</w:t>
      </w:r>
    </w:p>
    <w:p w14:paraId="57B87CD8">
      <w:pPr>
        <w:adjustRightInd w:val="0"/>
        <w:snapToGrid w:val="0"/>
        <w:spacing w:line="460" w:lineRule="exact"/>
        <w:ind w:firstLine="576" w:firstLineChars="206"/>
        <w:rPr>
          <w:rFonts w:ascii="宋体" w:hAnsi="宋体" w:cs="宋体"/>
          <w:color w:val="auto"/>
          <w:kern w:val="0"/>
          <w:sz w:val="28"/>
          <w:szCs w:val="28"/>
          <w:highlight w:val="none"/>
        </w:rPr>
      </w:pPr>
      <w:r>
        <w:rPr>
          <w:rFonts w:hint="eastAsia" w:ascii="宋体" w:hAnsi="宋体" w:cs="宋体"/>
          <w:color w:val="auto"/>
          <w:kern w:val="0"/>
          <w:sz w:val="28"/>
          <w:szCs w:val="28"/>
          <w:highlight w:val="none"/>
        </w:rPr>
        <w:t>供应商资格不合格的，其响应文件判定为无效响应文件。</w:t>
      </w:r>
    </w:p>
    <w:p w14:paraId="20780BEE">
      <w:pPr>
        <w:adjustRightInd w:val="0"/>
        <w:snapToGrid w:val="0"/>
        <w:spacing w:line="460" w:lineRule="exact"/>
        <w:ind w:firstLine="579" w:firstLineChars="206"/>
        <w:outlineLvl w:val="2"/>
        <w:rPr>
          <w:rFonts w:ascii="宋体" w:hAnsi="宋体" w:cs="宋体"/>
          <w:b/>
          <w:color w:val="auto"/>
          <w:sz w:val="28"/>
          <w:szCs w:val="28"/>
          <w:highlight w:val="none"/>
        </w:rPr>
      </w:pPr>
      <w:r>
        <w:rPr>
          <w:rFonts w:hint="eastAsia" w:ascii="宋体" w:hAnsi="宋体" w:cs="宋体"/>
          <w:b/>
          <w:color w:val="auto"/>
          <w:sz w:val="28"/>
          <w:szCs w:val="28"/>
          <w:highlight w:val="none"/>
        </w:rPr>
        <w:t>（二）磋商小组对符合资格供应商的响应文件进行符合性审查。</w:t>
      </w:r>
    </w:p>
    <w:p w14:paraId="3DA4E77B">
      <w:pPr>
        <w:adjustRightInd w:val="0"/>
        <w:snapToGrid w:val="0"/>
        <w:spacing w:line="460" w:lineRule="exact"/>
        <w:ind w:firstLine="576" w:firstLineChars="206"/>
        <w:rPr>
          <w:rFonts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未通过符合性审查的响应文件，将被判为不满足磋商文件实质性要求。 </w:t>
      </w:r>
    </w:p>
    <w:p w14:paraId="331960B1">
      <w:pPr>
        <w:adjustRightInd w:val="0"/>
        <w:snapToGrid w:val="0"/>
        <w:spacing w:line="460" w:lineRule="exact"/>
        <w:ind w:firstLine="560" w:firstLineChars="200"/>
        <w:jc w:val="left"/>
        <w:outlineLvl w:val="2"/>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（三）商务技术分：</w:t>
      </w:r>
      <w:r>
        <w:rPr>
          <w:rFonts w:hint="eastAsia" w:ascii="宋体" w:hAnsi="宋体" w:cs="宋体"/>
          <w:color w:val="auto"/>
          <w:sz w:val="28"/>
          <w:szCs w:val="28"/>
          <w:highlight w:val="none"/>
          <w:lang w:val="en-US" w:eastAsia="zh-CN"/>
        </w:rPr>
        <w:t>70</w:t>
      </w:r>
      <w:r>
        <w:rPr>
          <w:rFonts w:hint="eastAsia" w:ascii="宋体" w:hAnsi="宋体" w:cs="宋体"/>
          <w:color w:val="auto"/>
          <w:sz w:val="28"/>
          <w:szCs w:val="28"/>
          <w:highlight w:val="none"/>
          <w:lang w:val="zh-CN"/>
        </w:rPr>
        <w:t>分</w:t>
      </w:r>
    </w:p>
    <w:p w14:paraId="11261083">
      <w:pPr>
        <w:adjustRightInd w:val="0"/>
        <w:snapToGrid w:val="0"/>
        <w:spacing w:line="460" w:lineRule="exact"/>
        <w:ind w:firstLine="700" w:firstLineChars="25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各供应商得分为磋商小组成员评分的算术平均分，分值保留小数点后两位。</w:t>
      </w:r>
    </w:p>
    <w:tbl>
      <w:tblPr>
        <w:tblStyle w:val="29"/>
        <w:tblpPr w:leftFromText="180" w:rightFromText="180" w:vertAnchor="text" w:horzAnchor="page" w:tblpXSpec="center" w:tblpY="71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0"/>
        <w:gridCol w:w="716"/>
        <w:gridCol w:w="7054"/>
      </w:tblGrid>
      <w:tr w14:paraId="370A1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230" w:type="dxa"/>
            <w:tcBorders>
              <w:top w:val="single" w:color="auto" w:sz="4" w:space="0"/>
              <w:left w:val="single" w:color="auto" w:sz="4" w:space="0"/>
              <w:bottom w:val="single" w:color="auto" w:sz="4" w:space="0"/>
              <w:right w:val="single" w:color="auto" w:sz="4" w:space="0"/>
            </w:tcBorders>
            <w:vAlign w:val="center"/>
          </w:tcPr>
          <w:p w14:paraId="2CFEE741">
            <w:pPr>
              <w:spacing w:line="320" w:lineRule="exact"/>
              <w:rPr>
                <w:rFonts w:ascii="宋体" w:hAnsi="宋体" w:cs="宋体"/>
                <w:b/>
                <w:color w:val="auto"/>
                <w:sz w:val="24"/>
                <w:highlight w:val="none"/>
              </w:rPr>
            </w:pPr>
            <w:r>
              <w:rPr>
                <w:rFonts w:hint="eastAsia" w:ascii="宋体" w:hAnsi="宋体" w:cs="宋体"/>
                <w:b/>
                <w:color w:val="auto"/>
                <w:sz w:val="24"/>
                <w:highlight w:val="none"/>
              </w:rPr>
              <w:t>评审因素</w:t>
            </w:r>
          </w:p>
        </w:tc>
        <w:tc>
          <w:tcPr>
            <w:tcW w:w="716" w:type="dxa"/>
            <w:tcBorders>
              <w:top w:val="single" w:color="auto" w:sz="4" w:space="0"/>
              <w:left w:val="single" w:color="auto" w:sz="4" w:space="0"/>
              <w:bottom w:val="single" w:color="auto" w:sz="4" w:space="0"/>
              <w:right w:val="single" w:color="auto" w:sz="4" w:space="0"/>
            </w:tcBorders>
            <w:vAlign w:val="center"/>
          </w:tcPr>
          <w:p w14:paraId="53CB7D05">
            <w:pPr>
              <w:spacing w:line="320" w:lineRule="exact"/>
              <w:rPr>
                <w:rFonts w:ascii="宋体" w:hAnsi="宋体" w:cs="宋体"/>
                <w:b/>
                <w:color w:val="auto"/>
                <w:sz w:val="24"/>
                <w:highlight w:val="none"/>
              </w:rPr>
            </w:pPr>
            <w:r>
              <w:rPr>
                <w:rFonts w:hint="eastAsia" w:ascii="宋体" w:hAnsi="宋体" w:cs="宋体"/>
                <w:b/>
                <w:color w:val="auto"/>
                <w:sz w:val="24"/>
                <w:highlight w:val="none"/>
              </w:rPr>
              <w:t>分值</w:t>
            </w:r>
          </w:p>
        </w:tc>
        <w:tc>
          <w:tcPr>
            <w:tcW w:w="7054" w:type="dxa"/>
            <w:tcBorders>
              <w:top w:val="single" w:color="auto" w:sz="4" w:space="0"/>
              <w:left w:val="single" w:color="auto" w:sz="4" w:space="0"/>
              <w:bottom w:val="single" w:color="auto" w:sz="4" w:space="0"/>
              <w:right w:val="single" w:color="auto" w:sz="4" w:space="0"/>
            </w:tcBorders>
            <w:vAlign w:val="center"/>
          </w:tcPr>
          <w:p w14:paraId="2DEF5BBB">
            <w:pPr>
              <w:spacing w:line="320" w:lineRule="exact"/>
              <w:jc w:val="center"/>
              <w:rPr>
                <w:rFonts w:ascii="宋体" w:hAnsi="宋体" w:cs="宋体"/>
                <w:b/>
                <w:color w:val="auto"/>
                <w:sz w:val="24"/>
                <w:highlight w:val="none"/>
              </w:rPr>
            </w:pPr>
            <w:r>
              <w:rPr>
                <w:rFonts w:hint="eastAsia" w:ascii="宋体" w:hAnsi="宋体" w:cs="宋体"/>
                <w:b/>
                <w:color w:val="auto"/>
                <w:sz w:val="24"/>
                <w:highlight w:val="none"/>
              </w:rPr>
              <w:t>评   分   细   则</w:t>
            </w:r>
          </w:p>
        </w:tc>
      </w:tr>
      <w:tr w14:paraId="55833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30" w:type="dxa"/>
            <w:tcBorders>
              <w:top w:val="single" w:color="auto" w:sz="4" w:space="0"/>
              <w:left w:val="single" w:color="auto" w:sz="4" w:space="0"/>
              <w:bottom w:val="single" w:color="auto" w:sz="4" w:space="0"/>
              <w:right w:val="single" w:color="auto" w:sz="4" w:space="0"/>
            </w:tcBorders>
            <w:vAlign w:val="center"/>
          </w:tcPr>
          <w:p w14:paraId="1D9CB819">
            <w:pPr>
              <w:spacing w:line="320" w:lineRule="exact"/>
              <w:jc w:val="left"/>
              <w:rPr>
                <w:rFonts w:hint="eastAsia" w:ascii="宋体" w:hAnsi="宋体" w:cs="宋体"/>
                <w:color w:val="auto"/>
                <w:sz w:val="24"/>
                <w:highlight w:val="none"/>
              </w:rPr>
            </w:pPr>
            <w:r>
              <w:rPr>
                <w:rFonts w:hint="eastAsia" w:ascii="宋体" w:hAnsi="宋体" w:cs="宋体"/>
                <w:color w:val="auto"/>
                <w:sz w:val="24"/>
                <w:highlight w:val="none"/>
              </w:rPr>
              <w:t>体系认证</w:t>
            </w:r>
          </w:p>
        </w:tc>
        <w:tc>
          <w:tcPr>
            <w:tcW w:w="716" w:type="dxa"/>
            <w:tcBorders>
              <w:top w:val="single" w:color="auto" w:sz="4" w:space="0"/>
              <w:left w:val="single" w:color="auto" w:sz="4" w:space="0"/>
              <w:bottom w:val="single" w:color="auto" w:sz="4" w:space="0"/>
              <w:right w:val="single" w:color="auto" w:sz="4" w:space="0"/>
            </w:tcBorders>
            <w:vAlign w:val="center"/>
          </w:tcPr>
          <w:p w14:paraId="05025B79">
            <w:pPr>
              <w:spacing w:line="320" w:lineRule="exact"/>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w:t>
            </w:r>
          </w:p>
        </w:tc>
        <w:tc>
          <w:tcPr>
            <w:tcW w:w="7054" w:type="dxa"/>
            <w:tcBorders>
              <w:top w:val="single" w:color="auto" w:sz="4" w:space="0"/>
              <w:left w:val="single" w:color="auto" w:sz="4" w:space="0"/>
              <w:bottom w:val="single" w:color="auto" w:sz="4" w:space="0"/>
              <w:right w:val="single" w:color="auto" w:sz="4" w:space="0"/>
            </w:tcBorders>
            <w:vAlign w:val="center"/>
          </w:tcPr>
          <w:p w14:paraId="298792AF">
            <w:pPr>
              <w:spacing w:line="320" w:lineRule="exact"/>
              <w:rPr>
                <w:rFonts w:hint="eastAsia" w:ascii="宋体" w:hAnsi="宋体" w:cs="宋体"/>
                <w:color w:val="auto"/>
                <w:sz w:val="24"/>
                <w:highlight w:val="none"/>
                <w:lang w:eastAsia="zh-CN"/>
              </w:rPr>
            </w:pPr>
            <w:r>
              <w:rPr>
                <w:rFonts w:hint="eastAsia" w:ascii="宋体" w:hAnsi="宋体" w:cs="宋体"/>
                <w:color w:val="auto"/>
                <w:sz w:val="24"/>
                <w:highlight w:val="none"/>
              </w:rPr>
              <w:t>供应商具备有效期内质量管理体系、环境管理体系、职业健康安全管理体系认证，每具备1项得1分，最高得3分（需提供有效证书复印件，无有效佐证不得分）</w:t>
            </w:r>
            <w:r>
              <w:rPr>
                <w:rFonts w:hint="eastAsia" w:ascii="宋体" w:hAnsi="宋体" w:cs="宋体"/>
                <w:color w:val="auto"/>
                <w:sz w:val="24"/>
                <w:highlight w:val="none"/>
                <w:lang w:eastAsia="zh-CN"/>
              </w:rPr>
              <w:t>。</w:t>
            </w:r>
          </w:p>
        </w:tc>
      </w:tr>
      <w:tr w14:paraId="3A155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6" w:hRule="atLeast"/>
          <w:jc w:val="center"/>
        </w:trPr>
        <w:tc>
          <w:tcPr>
            <w:tcW w:w="1230" w:type="dxa"/>
            <w:tcBorders>
              <w:top w:val="single" w:color="auto" w:sz="4" w:space="0"/>
              <w:left w:val="single" w:color="auto" w:sz="4" w:space="0"/>
              <w:bottom w:val="single" w:color="auto" w:sz="4" w:space="0"/>
              <w:right w:val="single" w:color="auto" w:sz="4" w:space="0"/>
            </w:tcBorders>
            <w:vAlign w:val="center"/>
          </w:tcPr>
          <w:p w14:paraId="502982A7">
            <w:pPr>
              <w:spacing w:line="32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设备</w:t>
            </w:r>
            <w:r>
              <w:rPr>
                <w:rFonts w:hint="eastAsia" w:ascii="宋体" w:hAnsi="宋体" w:cs="宋体"/>
                <w:color w:val="auto"/>
                <w:sz w:val="24"/>
                <w:highlight w:val="none"/>
                <w:lang w:val="en-US" w:eastAsia="zh-CN"/>
              </w:rPr>
              <w:t>实施</w:t>
            </w:r>
          </w:p>
        </w:tc>
        <w:tc>
          <w:tcPr>
            <w:tcW w:w="716" w:type="dxa"/>
            <w:tcBorders>
              <w:top w:val="single" w:color="auto" w:sz="4" w:space="0"/>
              <w:left w:val="single" w:color="auto" w:sz="4" w:space="0"/>
              <w:bottom w:val="single" w:color="auto" w:sz="4" w:space="0"/>
              <w:right w:val="single" w:color="auto" w:sz="4" w:space="0"/>
            </w:tcBorders>
            <w:vAlign w:val="center"/>
          </w:tcPr>
          <w:p w14:paraId="59ADB477">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12</w:t>
            </w:r>
          </w:p>
        </w:tc>
        <w:tc>
          <w:tcPr>
            <w:tcW w:w="7054" w:type="dxa"/>
            <w:tcBorders>
              <w:top w:val="single" w:color="auto" w:sz="4" w:space="0"/>
              <w:left w:val="single" w:color="auto" w:sz="4" w:space="0"/>
              <w:bottom w:val="single" w:color="auto" w:sz="4" w:space="0"/>
              <w:right w:val="single" w:color="auto" w:sz="4" w:space="0"/>
            </w:tcBorders>
            <w:vAlign w:val="center"/>
          </w:tcPr>
          <w:p w14:paraId="2BC24135">
            <w:pPr>
              <w:spacing w:line="320" w:lineRule="exact"/>
              <w:rPr>
                <w:rFonts w:ascii="宋体" w:hAnsi="宋体" w:cs="宋体"/>
                <w:color w:val="auto"/>
                <w:sz w:val="24"/>
                <w:highlight w:val="none"/>
              </w:rPr>
            </w:pPr>
            <w:r>
              <w:rPr>
                <w:rFonts w:hint="eastAsia" w:ascii="宋体" w:hAnsi="宋体" w:cs="宋体"/>
                <w:color w:val="auto"/>
                <w:sz w:val="24"/>
                <w:highlight w:val="none"/>
              </w:rPr>
              <w:t>1.投标供应商至少自有</w:t>
            </w:r>
            <w:r>
              <w:rPr>
                <w:rFonts w:hint="eastAsia" w:ascii="宋体" w:hAnsi="宋体" w:cs="宋体"/>
                <w:color w:val="auto"/>
                <w:sz w:val="24"/>
                <w:highlight w:val="none"/>
                <w:lang w:val="en-US" w:eastAsia="zh-CN"/>
              </w:rPr>
              <w:t>或租赁</w:t>
            </w:r>
            <w:r>
              <w:rPr>
                <w:rFonts w:hint="eastAsia" w:ascii="宋体" w:hAnsi="宋体" w:cs="宋体"/>
                <w:color w:val="auto"/>
                <w:sz w:val="24"/>
                <w:highlight w:val="none"/>
              </w:rPr>
              <w:t>箱式货车2辆（以机动车行驶证</w:t>
            </w:r>
            <w:r>
              <w:rPr>
                <w:rFonts w:hint="eastAsia" w:ascii="宋体" w:hAnsi="宋体" w:cs="宋体"/>
                <w:color w:val="auto"/>
                <w:sz w:val="24"/>
                <w:highlight w:val="none"/>
                <w:lang w:val="en-US" w:eastAsia="zh-CN"/>
              </w:rPr>
              <w:t>或租赁合同</w:t>
            </w:r>
            <w:r>
              <w:rPr>
                <w:rFonts w:hint="eastAsia" w:ascii="宋体" w:hAnsi="宋体" w:cs="宋体"/>
                <w:color w:val="auto"/>
                <w:sz w:val="24"/>
                <w:highlight w:val="none"/>
              </w:rPr>
              <w:t>为准），在此基础上每增加1辆得1分，最高3分；</w:t>
            </w:r>
          </w:p>
          <w:p w14:paraId="44B7D341">
            <w:pPr>
              <w:spacing w:line="320" w:lineRule="exact"/>
              <w:rPr>
                <w:rFonts w:ascii="宋体" w:hAnsi="宋体" w:cs="宋体"/>
                <w:color w:val="auto"/>
                <w:sz w:val="24"/>
                <w:highlight w:val="none"/>
              </w:rPr>
            </w:pPr>
            <w:r>
              <w:rPr>
                <w:rFonts w:hint="eastAsia" w:ascii="宋体" w:hAnsi="宋体" w:cs="宋体"/>
                <w:color w:val="auto"/>
                <w:sz w:val="24"/>
                <w:highlight w:val="none"/>
              </w:rPr>
              <w:t>2.投标供应商至少自有</w:t>
            </w:r>
            <w:r>
              <w:rPr>
                <w:rFonts w:hint="eastAsia" w:ascii="宋体" w:hAnsi="宋体" w:cs="宋体"/>
                <w:color w:val="auto"/>
                <w:sz w:val="24"/>
                <w:highlight w:val="none"/>
                <w:lang w:val="en-US" w:eastAsia="zh-CN"/>
              </w:rPr>
              <w:t>或租赁</w:t>
            </w:r>
            <w:r>
              <w:rPr>
                <w:rFonts w:hint="eastAsia" w:ascii="宋体" w:hAnsi="宋体" w:cs="宋体"/>
                <w:color w:val="auto"/>
                <w:sz w:val="24"/>
                <w:highlight w:val="none"/>
              </w:rPr>
              <w:t>其他货车3辆（以机动车行驶证</w:t>
            </w:r>
            <w:r>
              <w:rPr>
                <w:rFonts w:hint="eastAsia" w:ascii="宋体" w:hAnsi="宋体" w:cs="宋体"/>
                <w:color w:val="auto"/>
                <w:sz w:val="24"/>
                <w:highlight w:val="none"/>
                <w:lang w:val="en-US" w:eastAsia="zh-CN"/>
              </w:rPr>
              <w:t>或租赁合同</w:t>
            </w:r>
            <w:r>
              <w:rPr>
                <w:rFonts w:hint="eastAsia" w:ascii="宋体" w:hAnsi="宋体" w:cs="宋体"/>
                <w:color w:val="auto"/>
                <w:sz w:val="24"/>
                <w:highlight w:val="none"/>
              </w:rPr>
              <w:t>为准），在此基础上每增加1辆得1分，最高3分；</w:t>
            </w:r>
          </w:p>
          <w:p w14:paraId="73EC5537">
            <w:pPr>
              <w:spacing w:line="320" w:lineRule="exact"/>
              <w:rPr>
                <w:rFonts w:ascii="宋体" w:hAnsi="宋体" w:cs="宋体"/>
                <w:color w:val="auto"/>
                <w:sz w:val="24"/>
                <w:highlight w:val="none"/>
              </w:rPr>
            </w:pPr>
            <w:r>
              <w:rPr>
                <w:rFonts w:hint="eastAsia" w:ascii="宋体" w:hAnsi="宋体" w:cs="宋体"/>
                <w:color w:val="auto"/>
                <w:sz w:val="24"/>
                <w:highlight w:val="none"/>
              </w:rPr>
              <w:t>3.投标供应商至少自有叉车</w:t>
            </w:r>
            <w:r>
              <w:rPr>
                <w:rFonts w:hint="eastAsia" w:ascii="宋体" w:hAnsi="宋体" w:cs="宋体"/>
                <w:color w:val="auto"/>
                <w:sz w:val="24"/>
                <w:highlight w:val="none"/>
                <w:lang w:val="en-US" w:eastAsia="zh-CN"/>
              </w:rPr>
              <w:t>或租赁</w:t>
            </w:r>
            <w:r>
              <w:rPr>
                <w:rFonts w:hint="eastAsia" w:ascii="宋体" w:hAnsi="宋体" w:cs="宋体"/>
                <w:color w:val="auto"/>
                <w:sz w:val="24"/>
                <w:highlight w:val="none"/>
              </w:rPr>
              <w:t>1辆（以机动车行驶证/特种设备登记证</w:t>
            </w:r>
            <w:r>
              <w:rPr>
                <w:rFonts w:hint="eastAsia" w:ascii="宋体" w:hAnsi="宋体" w:cs="宋体"/>
                <w:color w:val="auto"/>
                <w:sz w:val="24"/>
                <w:highlight w:val="none"/>
                <w:lang w:val="en-US" w:eastAsia="zh-CN"/>
              </w:rPr>
              <w:t>或租赁合同</w:t>
            </w:r>
            <w:r>
              <w:rPr>
                <w:rFonts w:hint="eastAsia" w:ascii="宋体" w:hAnsi="宋体" w:cs="宋体"/>
                <w:color w:val="auto"/>
                <w:sz w:val="24"/>
                <w:highlight w:val="none"/>
              </w:rPr>
              <w:t>为准），在此基础上每增加一辆得1分，最高2分。</w:t>
            </w:r>
          </w:p>
          <w:p w14:paraId="6D7EE477">
            <w:pPr>
              <w:spacing w:line="320" w:lineRule="exact"/>
              <w:rPr>
                <w:rFonts w:ascii="宋体" w:hAnsi="宋体" w:cs="宋体"/>
                <w:color w:val="auto"/>
                <w:sz w:val="24"/>
                <w:highlight w:val="none"/>
              </w:rPr>
            </w:pPr>
            <w:r>
              <w:rPr>
                <w:rFonts w:hint="eastAsia" w:ascii="宋体" w:hAnsi="宋体" w:cs="宋体"/>
                <w:color w:val="auto"/>
                <w:sz w:val="24"/>
                <w:highlight w:val="none"/>
              </w:rPr>
              <w:t>4.投标供应商至少自有云梯车</w:t>
            </w:r>
            <w:r>
              <w:rPr>
                <w:rFonts w:hint="eastAsia" w:ascii="宋体" w:hAnsi="宋体" w:cs="宋体"/>
                <w:color w:val="auto"/>
                <w:sz w:val="24"/>
                <w:highlight w:val="none"/>
                <w:lang w:val="en-US" w:eastAsia="zh-CN"/>
              </w:rPr>
              <w:t>或租赁</w:t>
            </w:r>
            <w:r>
              <w:rPr>
                <w:rFonts w:hint="eastAsia" w:ascii="宋体" w:hAnsi="宋体" w:cs="宋体"/>
                <w:color w:val="auto"/>
                <w:sz w:val="24"/>
                <w:highlight w:val="none"/>
              </w:rPr>
              <w:t>1辆（以机动车行驶证/特种设备登记证</w:t>
            </w:r>
            <w:r>
              <w:rPr>
                <w:rFonts w:hint="eastAsia" w:ascii="宋体" w:hAnsi="宋体" w:cs="宋体"/>
                <w:color w:val="auto"/>
                <w:sz w:val="24"/>
                <w:highlight w:val="none"/>
                <w:lang w:val="en-US" w:eastAsia="zh-CN"/>
              </w:rPr>
              <w:t>或租赁合同</w:t>
            </w:r>
            <w:r>
              <w:rPr>
                <w:rFonts w:hint="eastAsia" w:ascii="宋体" w:hAnsi="宋体" w:cs="宋体"/>
                <w:color w:val="auto"/>
                <w:sz w:val="24"/>
                <w:highlight w:val="none"/>
              </w:rPr>
              <w:t>为准），在此基础上每增加一辆得2分，最高4分。</w:t>
            </w:r>
          </w:p>
          <w:p w14:paraId="608F63C8">
            <w:pPr>
              <w:spacing w:line="320" w:lineRule="exact"/>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车辆以购物发票或者其他能证明自有</w:t>
            </w:r>
            <w:r>
              <w:rPr>
                <w:rFonts w:hint="eastAsia" w:ascii="宋体" w:hAnsi="宋体" w:cs="宋体"/>
                <w:color w:val="auto"/>
                <w:sz w:val="24"/>
                <w:highlight w:val="none"/>
                <w:lang w:val="en-US" w:eastAsia="zh-CN"/>
              </w:rPr>
              <w:t>或租赁合同</w:t>
            </w:r>
            <w:r>
              <w:rPr>
                <w:rFonts w:hint="eastAsia" w:ascii="宋体" w:hAnsi="宋体" w:cs="宋体"/>
                <w:color w:val="auto"/>
                <w:sz w:val="24"/>
                <w:highlight w:val="none"/>
              </w:rPr>
              <w:t>的佐证材料为准。</w:t>
            </w:r>
            <w:r>
              <w:rPr>
                <w:rFonts w:hint="eastAsia" w:ascii="宋体" w:hAnsi="宋体" w:cs="宋体"/>
                <w:color w:val="auto"/>
                <w:sz w:val="24"/>
                <w:highlight w:val="none"/>
                <w:lang w:eastAsia="zh-CN"/>
              </w:rPr>
              <w:t>供应商</w:t>
            </w:r>
            <w:r>
              <w:rPr>
                <w:rFonts w:ascii="宋体" w:hAnsi="宋体" w:cs="宋体"/>
                <w:color w:val="auto"/>
                <w:sz w:val="24"/>
                <w:highlight w:val="none"/>
              </w:rPr>
              <w:t>须提供车辆相关证件</w:t>
            </w:r>
            <w:r>
              <w:rPr>
                <w:rFonts w:hint="eastAsia" w:ascii="宋体" w:hAnsi="宋体" w:cs="宋体"/>
                <w:color w:val="auto"/>
                <w:sz w:val="24"/>
                <w:highlight w:val="none"/>
                <w:lang w:val="en-US" w:eastAsia="zh-CN"/>
              </w:rPr>
              <w:t>等材料</w:t>
            </w:r>
            <w:r>
              <w:rPr>
                <w:rFonts w:ascii="宋体" w:hAnsi="宋体" w:cs="宋体"/>
                <w:color w:val="auto"/>
                <w:sz w:val="24"/>
                <w:highlight w:val="none"/>
              </w:rPr>
              <w:t>复印件并加盖单位公章</w:t>
            </w:r>
            <w:r>
              <w:rPr>
                <w:rFonts w:hint="eastAsia" w:ascii="宋体" w:hAnsi="宋体" w:cs="宋体"/>
                <w:color w:val="auto"/>
                <w:sz w:val="24"/>
                <w:highlight w:val="none"/>
              </w:rPr>
              <w:t>。</w:t>
            </w:r>
          </w:p>
        </w:tc>
      </w:tr>
      <w:tr w14:paraId="0A3A1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jc w:val="center"/>
        </w:trPr>
        <w:tc>
          <w:tcPr>
            <w:tcW w:w="1230" w:type="dxa"/>
            <w:tcBorders>
              <w:top w:val="single" w:color="auto" w:sz="4" w:space="0"/>
              <w:left w:val="single" w:color="auto" w:sz="4" w:space="0"/>
              <w:bottom w:val="single" w:color="auto" w:sz="4" w:space="0"/>
              <w:right w:val="single" w:color="auto" w:sz="4" w:space="0"/>
            </w:tcBorders>
            <w:shd w:val="clear" w:color="auto" w:fill="auto"/>
            <w:vAlign w:val="center"/>
          </w:tcPr>
          <w:p w14:paraId="3C93122B">
            <w:pPr>
              <w:spacing w:line="320" w:lineRule="exact"/>
              <w:jc w:val="center"/>
              <w:rPr>
                <w:rFonts w:ascii="宋体" w:hAnsi="宋体" w:cs="宋体"/>
                <w:color w:val="auto"/>
                <w:sz w:val="24"/>
                <w:highlight w:val="none"/>
              </w:rPr>
            </w:pPr>
            <w:r>
              <w:rPr>
                <w:rFonts w:hint="eastAsia" w:ascii="宋体" w:hAnsi="宋体" w:cs="宋体"/>
                <w:color w:val="auto"/>
                <w:sz w:val="24"/>
                <w:highlight w:val="none"/>
                <w:lang w:eastAsia="zh-CN"/>
              </w:rPr>
              <w:t>拟派</w:t>
            </w:r>
            <w:r>
              <w:rPr>
                <w:rFonts w:hint="eastAsia" w:ascii="宋体" w:hAnsi="宋体" w:cs="宋体"/>
                <w:color w:val="auto"/>
                <w:sz w:val="24"/>
                <w:highlight w:val="none"/>
              </w:rPr>
              <w:t>人员</w:t>
            </w:r>
          </w:p>
        </w:tc>
        <w:tc>
          <w:tcPr>
            <w:tcW w:w="716" w:type="dxa"/>
            <w:tcBorders>
              <w:top w:val="single" w:color="auto" w:sz="4" w:space="0"/>
              <w:left w:val="single" w:color="auto" w:sz="4" w:space="0"/>
              <w:bottom w:val="single" w:color="auto" w:sz="4" w:space="0"/>
              <w:right w:val="single" w:color="auto" w:sz="4" w:space="0"/>
            </w:tcBorders>
            <w:shd w:val="clear" w:color="auto" w:fill="auto"/>
            <w:vAlign w:val="center"/>
          </w:tcPr>
          <w:p w14:paraId="6DF0AE21">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8</w:t>
            </w:r>
          </w:p>
        </w:tc>
        <w:tc>
          <w:tcPr>
            <w:tcW w:w="7054" w:type="dxa"/>
            <w:tcBorders>
              <w:top w:val="single" w:color="auto" w:sz="4" w:space="0"/>
              <w:left w:val="single" w:color="auto" w:sz="4" w:space="0"/>
              <w:bottom w:val="single" w:color="auto" w:sz="4" w:space="0"/>
              <w:right w:val="single" w:color="auto" w:sz="4" w:space="0"/>
            </w:tcBorders>
            <w:shd w:val="clear" w:color="auto" w:fill="auto"/>
            <w:vAlign w:val="center"/>
          </w:tcPr>
          <w:p w14:paraId="3E381137">
            <w:pPr>
              <w:spacing w:line="320" w:lineRule="exact"/>
              <w:rPr>
                <w:rFonts w:ascii="宋体" w:hAnsi="宋体" w:cs="宋体"/>
                <w:color w:val="auto"/>
                <w:sz w:val="24"/>
                <w:highlight w:val="none"/>
              </w:rPr>
            </w:pPr>
            <w:r>
              <w:rPr>
                <w:rFonts w:hint="eastAsia" w:ascii="宋体" w:hAnsi="宋体" w:cs="宋体"/>
                <w:color w:val="auto"/>
                <w:sz w:val="24"/>
                <w:highlight w:val="none"/>
                <w:lang w:eastAsia="zh-CN"/>
              </w:rPr>
              <w:t>供应商拟派本项目人员</w:t>
            </w:r>
            <w:r>
              <w:rPr>
                <w:rFonts w:hint="eastAsia" w:ascii="宋体" w:hAnsi="宋体" w:cs="宋体"/>
                <w:color w:val="auto"/>
                <w:sz w:val="24"/>
                <w:highlight w:val="none"/>
              </w:rPr>
              <w:t>至少6名，</w:t>
            </w:r>
            <w:r>
              <w:rPr>
                <w:rFonts w:hint="eastAsia" w:ascii="宋体" w:hAnsi="宋体" w:cs="宋体"/>
                <w:color w:val="auto"/>
                <w:sz w:val="24"/>
                <w:highlight w:val="none"/>
                <w:lang w:eastAsia="zh-CN"/>
              </w:rPr>
              <w:t>在此基础上</w:t>
            </w:r>
            <w:r>
              <w:rPr>
                <w:rFonts w:hint="eastAsia" w:ascii="宋体" w:hAnsi="宋体" w:cs="宋体"/>
                <w:color w:val="auto"/>
                <w:sz w:val="24"/>
                <w:highlight w:val="none"/>
              </w:rPr>
              <w:t>每增加一名得2分，最高得8分</w:t>
            </w:r>
            <w:r>
              <w:rPr>
                <w:rFonts w:hint="eastAsia" w:ascii="宋体" w:hAnsi="宋体" w:cs="宋体"/>
                <w:color w:val="auto"/>
                <w:sz w:val="24"/>
                <w:highlight w:val="none"/>
                <w:lang w:eastAsia="zh-CN"/>
              </w:rPr>
              <w:t>【</w:t>
            </w:r>
            <w:r>
              <w:rPr>
                <w:rFonts w:hint="eastAsia" w:ascii="宋体" w:hAnsi="宋体" w:cs="宋体"/>
                <w:color w:val="auto"/>
                <w:sz w:val="24"/>
                <w:highlight w:val="none"/>
              </w:rPr>
              <w:t>提供</w:t>
            </w:r>
            <w:r>
              <w:rPr>
                <w:rFonts w:hint="eastAsia" w:ascii="宋体" w:hAnsi="宋体" w:cs="宋体"/>
                <w:color w:val="auto"/>
                <w:sz w:val="24"/>
                <w:highlight w:val="none"/>
                <w:lang w:eastAsia="zh-CN"/>
              </w:rPr>
              <w:t>拟派人员清单、供应商与其签订的劳动</w:t>
            </w:r>
            <w:r>
              <w:rPr>
                <w:rFonts w:hint="eastAsia" w:ascii="宋体" w:hAnsi="宋体" w:cs="宋体"/>
                <w:color w:val="auto"/>
                <w:sz w:val="24"/>
                <w:highlight w:val="none"/>
              </w:rPr>
              <w:t>合同</w:t>
            </w:r>
            <w:r>
              <w:rPr>
                <w:rFonts w:hint="eastAsia" w:ascii="宋体" w:hAnsi="宋体" w:cs="宋体"/>
                <w:color w:val="auto"/>
                <w:sz w:val="24"/>
                <w:highlight w:val="none"/>
                <w:lang w:eastAsia="zh-CN"/>
              </w:rPr>
              <w:t>（或劳动协议）</w:t>
            </w:r>
            <w:r>
              <w:rPr>
                <w:rFonts w:hint="eastAsia" w:ascii="宋体" w:hAnsi="宋体" w:cs="宋体"/>
                <w:color w:val="auto"/>
                <w:sz w:val="24"/>
                <w:highlight w:val="none"/>
              </w:rPr>
              <w:t>、</w:t>
            </w:r>
            <w:r>
              <w:rPr>
                <w:rFonts w:hint="eastAsia" w:ascii="宋体" w:hAnsi="宋体" w:cs="宋体"/>
                <w:color w:val="auto"/>
                <w:sz w:val="24"/>
                <w:highlight w:val="none"/>
                <w:lang w:eastAsia="zh-CN"/>
              </w:rPr>
              <w:t>社保机构出具的供应商为其缴纳的</w:t>
            </w:r>
            <w:r>
              <w:rPr>
                <w:rFonts w:hint="eastAsia" w:ascii="宋体" w:hAnsi="宋体" w:cs="宋体"/>
                <w:color w:val="auto"/>
                <w:sz w:val="24"/>
                <w:highlight w:val="none"/>
                <w:lang w:val="en-US" w:eastAsia="zh-CN"/>
              </w:rPr>
              <w:t>2026年度任意一个月社保证明（或2026年度意外伤害险）</w:t>
            </w:r>
            <w:r>
              <w:rPr>
                <w:rFonts w:hint="eastAsia" w:ascii="宋体" w:hAnsi="宋体" w:cs="宋体"/>
                <w:color w:val="auto"/>
                <w:sz w:val="24"/>
                <w:highlight w:val="none"/>
              </w:rPr>
              <w:t>复印件并加盖公章，</w:t>
            </w:r>
            <w:r>
              <w:rPr>
                <w:rFonts w:hint="eastAsia" w:ascii="宋体" w:hAnsi="宋体" w:cs="宋体"/>
                <w:color w:val="auto"/>
                <w:sz w:val="24"/>
                <w:highlight w:val="none"/>
                <w:lang w:eastAsia="zh-CN"/>
              </w:rPr>
              <w:t>不提供或提供不全的均不得分，</w:t>
            </w:r>
            <w:r>
              <w:rPr>
                <w:rFonts w:hint="eastAsia" w:ascii="宋体" w:hAnsi="宋体" w:cs="宋体"/>
                <w:color w:val="auto"/>
                <w:sz w:val="24"/>
                <w:highlight w:val="none"/>
              </w:rPr>
              <w:t>原件备查</w:t>
            </w:r>
            <w:r>
              <w:rPr>
                <w:rFonts w:hint="eastAsia" w:ascii="宋体" w:hAnsi="宋体" w:cs="宋体"/>
                <w:color w:val="auto"/>
                <w:sz w:val="24"/>
                <w:highlight w:val="none"/>
                <w:lang w:eastAsia="zh-CN"/>
              </w:rPr>
              <w:t>】。</w:t>
            </w:r>
          </w:p>
        </w:tc>
      </w:tr>
      <w:tr w14:paraId="233F4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jc w:val="center"/>
        </w:trPr>
        <w:tc>
          <w:tcPr>
            <w:tcW w:w="1230" w:type="dxa"/>
            <w:tcBorders>
              <w:top w:val="single" w:color="auto" w:sz="4" w:space="0"/>
              <w:left w:val="single" w:color="auto" w:sz="4" w:space="0"/>
              <w:bottom w:val="single" w:color="auto" w:sz="4" w:space="0"/>
              <w:right w:val="single" w:color="auto" w:sz="4" w:space="0"/>
            </w:tcBorders>
            <w:vAlign w:val="center"/>
          </w:tcPr>
          <w:p w14:paraId="1AE67841">
            <w:pPr>
              <w:spacing w:line="32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类似</w:t>
            </w:r>
            <w:r>
              <w:rPr>
                <w:rFonts w:hint="eastAsia" w:ascii="宋体" w:hAnsi="宋体" w:cs="宋体"/>
                <w:color w:val="auto"/>
                <w:sz w:val="24"/>
                <w:highlight w:val="none"/>
              </w:rPr>
              <w:t>业绩</w:t>
            </w:r>
          </w:p>
        </w:tc>
        <w:tc>
          <w:tcPr>
            <w:tcW w:w="716" w:type="dxa"/>
            <w:tcBorders>
              <w:top w:val="single" w:color="auto" w:sz="4" w:space="0"/>
              <w:left w:val="single" w:color="auto" w:sz="4" w:space="0"/>
              <w:bottom w:val="single" w:color="auto" w:sz="4" w:space="0"/>
              <w:right w:val="single" w:color="auto" w:sz="4" w:space="0"/>
            </w:tcBorders>
            <w:vAlign w:val="center"/>
          </w:tcPr>
          <w:p w14:paraId="6C0BBF4D">
            <w:pPr>
              <w:spacing w:line="32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7054" w:type="dxa"/>
            <w:vAlign w:val="center"/>
          </w:tcPr>
          <w:p w14:paraId="2F8A1960">
            <w:pPr>
              <w:pStyle w:val="9"/>
              <w:rPr>
                <w:rFonts w:hint="eastAsia" w:ascii="宋体" w:hAnsi="宋体" w:cs="宋体"/>
                <w:color w:val="auto"/>
                <w:sz w:val="24"/>
                <w:highlight w:val="none"/>
              </w:rPr>
            </w:pPr>
            <w:r>
              <w:rPr>
                <w:rFonts w:hint="eastAsia" w:ascii="宋体" w:hAnsi="宋体" w:cs="宋体"/>
                <w:color w:val="auto"/>
                <w:sz w:val="24"/>
                <w:highlight w:val="none"/>
              </w:rPr>
              <w:t>2023年</w:t>
            </w:r>
            <w:r>
              <w:rPr>
                <w:rFonts w:hint="eastAsia" w:ascii="宋体" w:hAnsi="宋体" w:cs="宋体"/>
                <w:color w:val="auto"/>
                <w:sz w:val="24"/>
                <w:highlight w:val="none"/>
                <w:lang w:val="en-US" w:eastAsia="zh-CN"/>
              </w:rPr>
              <w:t>1月1日</w:t>
            </w:r>
            <w:r>
              <w:rPr>
                <w:rFonts w:hint="eastAsia" w:ascii="宋体" w:hAnsi="宋体" w:cs="宋体"/>
                <w:color w:val="auto"/>
                <w:sz w:val="24"/>
                <w:highlight w:val="none"/>
              </w:rPr>
              <w:t>以来（以合同签订时间为准）投标供应商承担过类似（机关企事业单位）办公家具搬运工作，签订有效合同并完成费用支付。一份得1分；最高得8分。</w:t>
            </w:r>
          </w:p>
          <w:p w14:paraId="3CD19028">
            <w:pPr>
              <w:pStyle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以上业绩为</w:t>
            </w:r>
            <w:r>
              <w:rPr>
                <w:rFonts w:hint="eastAsia" w:ascii="宋体" w:hAnsi="宋体" w:eastAsia="宋体" w:cs="宋体"/>
                <w:color w:val="auto"/>
                <w:kern w:val="2"/>
                <w:sz w:val="24"/>
                <w:szCs w:val="24"/>
                <w:highlight w:val="none"/>
                <w:lang w:val="en-US" w:eastAsia="zh-CN" w:bidi="ar-SA"/>
              </w:rPr>
              <w:t>承接高校校区整体搬迁专项业绩的，每份额外加1分，最高加2分。</w:t>
            </w:r>
          </w:p>
          <w:p w14:paraId="4E950857">
            <w:pPr>
              <w:spacing w:line="320" w:lineRule="exact"/>
              <w:rPr>
                <w:rFonts w:ascii="宋体" w:hAnsi="宋体" w:cs="宋体"/>
                <w:color w:val="auto"/>
                <w:sz w:val="24"/>
                <w:highlight w:val="none"/>
              </w:rPr>
            </w:pPr>
            <w:r>
              <w:rPr>
                <w:rFonts w:hint="eastAsia" w:ascii="宋体" w:hAnsi="宋体" w:cs="宋体"/>
                <w:color w:val="auto"/>
                <w:sz w:val="24"/>
                <w:highlight w:val="none"/>
              </w:rPr>
              <w:t>（提供合同、支付发票材料复印件并加盖公章，原件备查）</w:t>
            </w:r>
          </w:p>
        </w:tc>
      </w:tr>
      <w:tr w14:paraId="57266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1230" w:type="dxa"/>
            <w:tcBorders>
              <w:top w:val="single" w:color="auto" w:sz="4" w:space="0"/>
              <w:left w:val="single" w:color="auto" w:sz="4" w:space="0"/>
              <w:bottom w:val="single" w:color="auto" w:sz="4" w:space="0"/>
              <w:right w:val="single" w:color="auto" w:sz="4" w:space="0"/>
            </w:tcBorders>
            <w:vAlign w:val="center"/>
          </w:tcPr>
          <w:p w14:paraId="19FF1CAC">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服务质量</w:t>
            </w:r>
          </w:p>
        </w:tc>
        <w:tc>
          <w:tcPr>
            <w:tcW w:w="716" w:type="dxa"/>
            <w:tcBorders>
              <w:top w:val="single" w:color="auto" w:sz="4" w:space="0"/>
              <w:left w:val="single" w:color="auto" w:sz="4" w:space="0"/>
              <w:bottom w:val="single" w:color="auto" w:sz="4" w:space="0"/>
              <w:right w:val="single" w:color="auto" w:sz="4" w:space="0"/>
            </w:tcBorders>
            <w:vAlign w:val="center"/>
          </w:tcPr>
          <w:p w14:paraId="03284333">
            <w:pPr>
              <w:spacing w:line="32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6</w:t>
            </w:r>
          </w:p>
        </w:tc>
        <w:tc>
          <w:tcPr>
            <w:tcW w:w="7054" w:type="dxa"/>
            <w:vAlign w:val="center"/>
          </w:tcPr>
          <w:p w14:paraId="21CE8D77">
            <w:pPr>
              <w:spacing w:line="320" w:lineRule="exact"/>
              <w:rPr>
                <w:rFonts w:ascii="宋体" w:hAnsi="宋体" w:cs="宋体"/>
                <w:color w:val="auto"/>
                <w:sz w:val="24"/>
                <w:highlight w:val="none"/>
              </w:rPr>
            </w:pPr>
            <w:r>
              <w:rPr>
                <w:rFonts w:hint="eastAsia" w:ascii="宋体" w:hAnsi="宋体" w:cs="宋体"/>
                <w:color w:val="auto"/>
                <w:sz w:val="24"/>
                <w:highlight w:val="none"/>
              </w:rPr>
              <w:t>提供2023年</w:t>
            </w:r>
            <w:r>
              <w:rPr>
                <w:rFonts w:hint="eastAsia" w:ascii="宋体" w:hAnsi="宋体" w:cs="宋体"/>
                <w:color w:val="auto"/>
                <w:sz w:val="24"/>
                <w:highlight w:val="none"/>
                <w:lang w:val="en-US" w:eastAsia="zh-CN"/>
              </w:rPr>
              <w:t>1月1日</w:t>
            </w:r>
            <w:r>
              <w:rPr>
                <w:rFonts w:hint="eastAsia" w:ascii="宋体" w:hAnsi="宋体" w:cs="宋体"/>
                <w:color w:val="auto"/>
                <w:sz w:val="24"/>
                <w:highlight w:val="none"/>
              </w:rPr>
              <w:t>以来以来履行合同单位的服务质量证明（含如期履约、服务质量好等），每提供1份得1分（除</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以外的</w:t>
            </w:r>
            <w:r>
              <w:rPr>
                <w:rFonts w:hint="eastAsia" w:ascii="宋体" w:hAnsi="宋体" w:cs="宋体"/>
                <w:color w:val="auto"/>
                <w:sz w:val="24"/>
                <w:highlight w:val="none"/>
                <w:lang w:val="en-US" w:eastAsia="zh-CN"/>
              </w:rPr>
              <w:t>业主单位</w:t>
            </w:r>
            <w:r>
              <w:rPr>
                <w:rFonts w:hint="eastAsia" w:ascii="宋体" w:hAnsi="宋体" w:cs="宋体"/>
                <w:color w:val="auto"/>
                <w:sz w:val="24"/>
                <w:highlight w:val="none"/>
              </w:rPr>
              <w:t>提供的证明每提供1份得2分），最高得</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w:t>
            </w:r>
          </w:p>
          <w:p w14:paraId="6A06FB3E">
            <w:pPr>
              <w:spacing w:line="320" w:lineRule="exact"/>
              <w:rPr>
                <w:rFonts w:ascii="宋体" w:hAnsi="宋体" w:cs="宋体"/>
                <w:color w:val="auto"/>
                <w:sz w:val="24"/>
                <w:highlight w:val="none"/>
              </w:rPr>
            </w:pPr>
            <w:r>
              <w:rPr>
                <w:rFonts w:hint="eastAsia" w:ascii="宋体" w:hAnsi="宋体" w:cs="宋体"/>
                <w:color w:val="auto"/>
                <w:sz w:val="24"/>
                <w:highlight w:val="none"/>
              </w:rPr>
              <w:t>（提供原件并加盖业主单位公章或业主单位业务主管部门公章）</w:t>
            </w:r>
          </w:p>
        </w:tc>
      </w:tr>
      <w:tr w14:paraId="121A5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jc w:val="center"/>
        </w:trPr>
        <w:tc>
          <w:tcPr>
            <w:tcW w:w="1230" w:type="dxa"/>
            <w:tcBorders>
              <w:top w:val="single" w:color="auto" w:sz="4" w:space="0"/>
              <w:left w:val="single" w:color="auto" w:sz="4" w:space="0"/>
              <w:bottom w:val="single" w:color="auto" w:sz="4" w:space="0"/>
              <w:right w:val="single" w:color="auto" w:sz="4" w:space="0"/>
            </w:tcBorders>
            <w:vAlign w:val="center"/>
          </w:tcPr>
          <w:p w14:paraId="7ED35800">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实施方案</w:t>
            </w:r>
          </w:p>
        </w:tc>
        <w:tc>
          <w:tcPr>
            <w:tcW w:w="716" w:type="dxa"/>
            <w:tcBorders>
              <w:top w:val="single" w:color="auto" w:sz="4" w:space="0"/>
              <w:left w:val="single" w:color="auto" w:sz="4" w:space="0"/>
              <w:bottom w:val="single" w:color="auto" w:sz="4" w:space="0"/>
              <w:right w:val="single" w:color="auto" w:sz="4" w:space="0"/>
            </w:tcBorders>
            <w:vAlign w:val="center"/>
          </w:tcPr>
          <w:p w14:paraId="3DFD4241">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8</w:t>
            </w:r>
          </w:p>
        </w:tc>
        <w:tc>
          <w:tcPr>
            <w:tcW w:w="7054" w:type="dxa"/>
            <w:tcBorders>
              <w:top w:val="single" w:color="auto" w:sz="4" w:space="0"/>
              <w:left w:val="single" w:color="auto" w:sz="4" w:space="0"/>
              <w:bottom w:val="single" w:color="auto" w:sz="4" w:space="0"/>
              <w:right w:val="single" w:color="auto" w:sz="4" w:space="0"/>
            </w:tcBorders>
            <w:vAlign w:val="center"/>
          </w:tcPr>
          <w:p w14:paraId="23667FC4">
            <w:pPr>
              <w:spacing w:line="320" w:lineRule="exact"/>
              <w:rPr>
                <w:rFonts w:ascii="宋体" w:hAnsi="宋体" w:cs="宋体"/>
                <w:color w:val="auto"/>
                <w:sz w:val="24"/>
                <w:highlight w:val="none"/>
              </w:rPr>
            </w:pPr>
            <w:r>
              <w:rPr>
                <w:rFonts w:hint="eastAsia" w:ascii="宋体" w:hAnsi="宋体" w:cs="宋体"/>
                <w:color w:val="auto"/>
                <w:sz w:val="24"/>
                <w:highlight w:val="none"/>
              </w:rPr>
              <w:t>针对本项目，指定详细实施方案，内容至少包含与</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沟通机制、人员设备车辆配置、防雨措施、搬运计划排定、进度管理等五个方面的内容。</w:t>
            </w:r>
          </w:p>
          <w:p w14:paraId="7BF64792">
            <w:pPr>
              <w:spacing w:line="320" w:lineRule="exact"/>
              <w:rPr>
                <w:rFonts w:ascii="宋体" w:hAnsi="宋体" w:cs="宋体"/>
                <w:color w:val="auto"/>
                <w:sz w:val="24"/>
                <w:highlight w:val="none"/>
              </w:rPr>
            </w:pPr>
            <w:r>
              <w:rPr>
                <w:rFonts w:hint="eastAsia" w:ascii="宋体" w:hAnsi="宋体" w:cs="宋体"/>
                <w:color w:val="auto"/>
                <w:sz w:val="24"/>
                <w:highlight w:val="none"/>
              </w:rPr>
              <w:t>1．沟通机制健全，前期摸排全面，对接高效顺畅，搬迁计划细致科学，分区分类安排合理，错峰搬运贴合实际，进度管控严密，节点清晰，方案完整成熟，可操作性极强，得8分；</w:t>
            </w:r>
          </w:p>
          <w:p w14:paraId="27E48318">
            <w:pPr>
              <w:spacing w:line="320" w:lineRule="exact"/>
              <w:rPr>
                <w:rFonts w:ascii="宋体" w:hAnsi="宋体" w:cs="宋体"/>
                <w:color w:val="auto"/>
                <w:sz w:val="24"/>
                <w:highlight w:val="none"/>
              </w:rPr>
            </w:pPr>
            <w:r>
              <w:rPr>
                <w:rFonts w:hint="eastAsia" w:ascii="宋体" w:hAnsi="宋体" w:cs="宋体"/>
                <w:color w:val="auto"/>
                <w:sz w:val="24"/>
                <w:highlight w:val="none"/>
              </w:rPr>
              <w:t>2．沟通对接顺畅，可对接落实基本需求，搬迁计划框架完整，整体排布有序，具备基础进度管控，能按期完成搬迁，方案满足项目正常实施要求，得5分；</w:t>
            </w:r>
          </w:p>
          <w:p w14:paraId="1DEA89FA">
            <w:pPr>
              <w:spacing w:line="320" w:lineRule="exact"/>
              <w:rPr>
                <w:rFonts w:ascii="宋体" w:hAnsi="宋体" w:cs="宋体"/>
                <w:color w:val="auto"/>
                <w:sz w:val="24"/>
                <w:highlight w:val="none"/>
              </w:rPr>
            </w:pPr>
            <w:r>
              <w:rPr>
                <w:rFonts w:hint="eastAsia" w:ascii="宋体" w:hAnsi="宋体" w:cs="宋体"/>
                <w:color w:val="auto"/>
                <w:sz w:val="24"/>
                <w:highlight w:val="none"/>
              </w:rPr>
              <w:t>3．仅被动对接需求，前期统筹不足，搬迁计划简略笼统，分区分工不够清晰，进度管控粗略，无细化节点，仅能满足基础搬迁作业，得2分；</w:t>
            </w:r>
          </w:p>
          <w:p w14:paraId="4AD15527">
            <w:pPr>
              <w:spacing w:line="320" w:lineRule="exact"/>
              <w:rPr>
                <w:rFonts w:ascii="宋体" w:hAnsi="宋体" w:cs="宋体"/>
                <w:color w:val="auto"/>
                <w:sz w:val="24"/>
                <w:highlight w:val="none"/>
              </w:rPr>
            </w:pPr>
            <w:r>
              <w:rPr>
                <w:rFonts w:hint="eastAsia" w:ascii="宋体" w:hAnsi="宋体" w:cs="宋体"/>
                <w:color w:val="auto"/>
                <w:sz w:val="24"/>
                <w:highlight w:val="none"/>
              </w:rPr>
              <w:t>4．无有效沟通对接，未掌握项目实际需求，无系统搬迁实施计划，人员、工期、流程无统筹，无进度管理措施，方案空洞无序，无法保障正常搬迁需求，未提供，得0分。</w:t>
            </w:r>
          </w:p>
        </w:tc>
      </w:tr>
      <w:tr w14:paraId="2322E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5" w:hRule="atLeast"/>
          <w:jc w:val="center"/>
        </w:trPr>
        <w:tc>
          <w:tcPr>
            <w:tcW w:w="1230" w:type="dxa"/>
            <w:tcBorders>
              <w:top w:val="single" w:color="auto" w:sz="4" w:space="0"/>
              <w:left w:val="single" w:color="auto" w:sz="4" w:space="0"/>
              <w:bottom w:val="single" w:color="auto" w:sz="4" w:space="0"/>
              <w:right w:val="single" w:color="auto" w:sz="4" w:space="0"/>
            </w:tcBorders>
            <w:vAlign w:val="center"/>
          </w:tcPr>
          <w:p w14:paraId="6D770F4E">
            <w:pPr>
              <w:spacing w:line="320" w:lineRule="exact"/>
              <w:jc w:val="left"/>
              <w:rPr>
                <w:rFonts w:hint="eastAsia" w:ascii="宋体" w:hAnsi="宋体" w:cs="宋体"/>
                <w:color w:val="auto"/>
                <w:sz w:val="24"/>
                <w:highlight w:val="none"/>
              </w:rPr>
            </w:pPr>
            <w:r>
              <w:rPr>
                <w:rFonts w:hint="eastAsia" w:ascii="宋体" w:hAnsi="宋体" w:cs="宋体"/>
                <w:color w:val="auto"/>
                <w:sz w:val="24"/>
                <w:highlight w:val="none"/>
              </w:rPr>
              <w:t>全流程清点验收及对接服务方案</w:t>
            </w:r>
          </w:p>
        </w:tc>
        <w:tc>
          <w:tcPr>
            <w:tcW w:w="716" w:type="dxa"/>
            <w:tcBorders>
              <w:top w:val="single" w:color="auto" w:sz="4" w:space="0"/>
              <w:left w:val="single" w:color="auto" w:sz="4" w:space="0"/>
              <w:bottom w:val="single" w:color="auto" w:sz="4" w:space="0"/>
              <w:right w:val="single" w:color="auto" w:sz="4" w:space="0"/>
            </w:tcBorders>
            <w:shd w:val="clear" w:color="auto" w:fill="auto"/>
            <w:vAlign w:val="center"/>
          </w:tcPr>
          <w:p w14:paraId="72A4AFDB">
            <w:pPr>
              <w:spacing w:line="320" w:lineRule="exact"/>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5</w:t>
            </w:r>
          </w:p>
        </w:tc>
        <w:tc>
          <w:tcPr>
            <w:tcW w:w="7054" w:type="dxa"/>
            <w:tcBorders>
              <w:top w:val="single" w:color="auto" w:sz="4" w:space="0"/>
              <w:left w:val="single" w:color="auto" w:sz="4" w:space="0"/>
              <w:bottom w:val="single" w:color="auto" w:sz="4" w:space="0"/>
              <w:right w:val="single" w:color="auto" w:sz="4" w:space="0"/>
            </w:tcBorders>
            <w:shd w:val="clear" w:color="auto" w:fill="auto"/>
            <w:vAlign w:val="top"/>
          </w:tcPr>
          <w:p w14:paraId="03A11031">
            <w:pPr>
              <w:spacing w:line="320" w:lineRule="exact"/>
              <w:rPr>
                <w:rFonts w:hint="eastAsia" w:ascii="宋体" w:hAnsi="宋体" w:cs="宋体"/>
                <w:color w:val="auto"/>
                <w:sz w:val="24"/>
                <w:highlight w:val="none"/>
              </w:rPr>
            </w:pPr>
            <w:r>
              <w:rPr>
                <w:rFonts w:hint="eastAsia" w:ascii="宋体" w:hAnsi="宋体" w:cs="宋体"/>
                <w:color w:val="auto"/>
                <w:sz w:val="24"/>
                <w:highlight w:val="none"/>
              </w:rPr>
              <w:t>1.严格响应校方四级清点验收要求，装车、在途、到货、就位全流程签字确认机制完善，单据管理、物品核对、破损处置、台账留存、学院对接流程细化规范，贴合校方管理要求，落地性强，得</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p w14:paraId="6500746E">
            <w:pPr>
              <w:spacing w:line="320" w:lineRule="exact"/>
              <w:rPr>
                <w:rFonts w:hint="eastAsia" w:ascii="宋体" w:hAnsi="宋体" w:cs="宋体"/>
                <w:color w:val="auto"/>
                <w:sz w:val="24"/>
                <w:highlight w:val="none"/>
              </w:rPr>
            </w:pPr>
            <w:r>
              <w:rPr>
                <w:rFonts w:hint="eastAsia" w:ascii="宋体" w:hAnsi="宋体" w:cs="宋体"/>
                <w:color w:val="auto"/>
                <w:sz w:val="24"/>
                <w:highlight w:val="none"/>
              </w:rPr>
              <w:t>2.清点验收流程完整，对接机制清晰，满足项目基础要求，得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p>
          <w:p w14:paraId="69777123">
            <w:pPr>
              <w:spacing w:line="320" w:lineRule="exact"/>
              <w:rPr>
                <w:rFonts w:hint="eastAsia" w:ascii="宋体" w:hAnsi="宋体" w:cs="宋体"/>
                <w:color w:val="auto"/>
                <w:sz w:val="24"/>
                <w:highlight w:val="none"/>
              </w:rPr>
            </w:pPr>
            <w:r>
              <w:rPr>
                <w:rFonts w:hint="eastAsia" w:ascii="宋体" w:hAnsi="宋体" w:cs="宋体"/>
                <w:color w:val="auto"/>
                <w:sz w:val="24"/>
                <w:highlight w:val="none"/>
              </w:rPr>
              <w:t>3.具备基础清点验收流程，细节不完善，对接机制简略，得1分；</w:t>
            </w:r>
          </w:p>
          <w:p w14:paraId="04959EF9">
            <w:pPr>
              <w:spacing w:line="3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rPr>
              <w:t>4.未提供相关方案不得分。</w:t>
            </w:r>
          </w:p>
        </w:tc>
      </w:tr>
      <w:tr w14:paraId="571A5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5" w:hRule="atLeast"/>
          <w:jc w:val="center"/>
        </w:trPr>
        <w:tc>
          <w:tcPr>
            <w:tcW w:w="1230" w:type="dxa"/>
            <w:tcBorders>
              <w:top w:val="single" w:color="auto" w:sz="4" w:space="0"/>
              <w:left w:val="single" w:color="auto" w:sz="4" w:space="0"/>
              <w:bottom w:val="single" w:color="auto" w:sz="4" w:space="0"/>
              <w:right w:val="single" w:color="auto" w:sz="4" w:space="0"/>
            </w:tcBorders>
            <w:vAlign w:val="center"/>
          </w:tcPr>
          <w:p w14:paraId="0A93F7B7">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安全措施</w:t>
            </w:r>
          </w:p>
        </w:tc>
        <w:tc>
          <w:tcPr>
            <w:tcW w:w="716" w:type="dxa"/>
            <w:tcBorders>
              <w:top w:val="single" w:color="auto" w:sz="4" w:space="0"/>
              <w:left w:val="single" w:color="auto" w:sz="4" w:space="0"/>
              <w:bottom w:val="single" w:color="auto" w:sz="4" w:space="0"/>
              <w:right w:val="single" w:color="auto" w:sz="4" w:space="0"/>
            </w:tcBorders>
            <w:vAlign w:val="center"/>
          </w:tcPr>
          <w:p w14:paraId="00096717">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6</w:t>
            </w:r>
          </w:p>
        </w:tc>
        <w:tc>
          <w:tcPr>
            <w:tcW w:w="7054" w:type="dxa"/>
            <w:tcBorders>
              <w:top w:val="single" w:color="auto" w:sz="4" w:space="0"/>
              <w:left w:val="single" w:color="auto" w:sz="4" w:space="0"/>
              <w:bottom w:val="single" w:color="auto" w:sz="4" w:space="0"/>
              <w:right w:val="single" w:color="auto" w:sz="4" w:space="0"/>
            </w:tcBorders>
            <w:vAlign w:val="center"/>
          </w:tcPr>
          <w:p w14:paraId="0EBFD59F">
            <w:pPr>
              <w:spacing w:line="320" w:lineRule="exact"/>
              <w:rPr>
                <w:rFonts w:ascii="宋体" w:hAnsi="宋体" w:cs="宋体"/>
                <w:color w:val="auto"/>
                <w:sz w:val="24"/>
                <w:highlight w:val="none"/>
              </w:rPr>
            </w:pPr>
            <w:r>
              <w:rPr>
                <w:rFonts w:hint="eastAsia" w:ascii="宋体" w:hAnsi="宋体" w:cs="宋体"/>
                <w:color w:val="auto"/>
                <w:sz w:val="24"/>
                <w:highlight w:val="none"/>
              </w:rPr>
              <w:t>至少从物品防护、人员防护、安全管理制度等三方面设计安全措施。</w:t>
            </w:r>
          </w:p>
          <w:p w14:paraId="0FFBBA0B">
            <w:pPr>
              <w:spacing w:line="320" w:lineRule="exact"/>
              <w:rPr>
                <w:rFonts w:ascii="宋体" w:hAnsi="宋体" w:cs="宋体"/>
                <w:color w:val="auto"/>
                <w:sz w:val="24"/>
                <w:highlight w:val="none"/>
              </w:rPr>
            </w:pPr>
            <w:r>
              <w:rPr>
                <w:rFonts w:hint="eastAsia" w:ascii="宋体" w:hAnsi="宋体" w:cs="宋体"/>
                <w:color w:val="auto"/>
                <w:sz w:val="24"/>
                <w:highlight w:val="none"/>
              </w:rPr>
              <w:t>1．安全管理制度齐全，人员防护、现场围挡、物品防护、设备防护、吊装转运、楼层作业等措施全面细致，作业流程安全规范，风险点位全覆盖，防护严谨到位，得6分；</w:t>
            </w:r>
          </w:p>
          <w:p w14:paraId="5AC1E322">
            <w:pPr>
              <w:spacing w:line="320" w:lineRule="exact"/>
              <w:rPr>
                <w:rFonts w:ascii="宋体" w:hAnsi="宋体" w:cs="宋体"/>
                <w:color w:val="auto"/>
                <w:sz w:val="24"/>
                <w:highlight w:val="none"/>
              </w:rPr>
            </w:pPr>
            <w:r>
              <w:rPr>
                <w:rFonts w:hint="eastAsia" w:ascii="宋体" w:hAnsi="宋体" w:cs="宋体"/>
                <w:color w:val="auto"/>
                <w:sz w:val="24"/>
                <w:highlight w:val="none"/>
              </w:rPr>
              <w:t>2.具备完善安全作业措施，基础防护齐全，重点部位防护到位，符合现场搬运安全作业标准，整体安全保障到位，得4分；</w:t>
            </w:r>
          </w:p>
          <w:p w14:paraId="633B1880">
            <w:pPr>
              <w:spacing w:line="320" w:lineRule="exact"/>
              <w:rPr>
                <w:rFonts w:ascii="宋体" w:hAnsi="宋体" w:cs="宋体"/>
                <w:color w:val="auto"/>
                <w:sz w:val="24"/>
                <w:highlight w:val="none"/>
              </w:rPr>
            </w:pPr>
            <w:r>
              <w:rPr>
                <w:rFonts w:hint="eastAsia" w:ascii="宋体" w:hAnsi="宋体" w:cs="宋体"/>
                <w:color w:val="auto"/>
                <w:sz w:val="24"/>
                <w:highlight w:val="none"/>
              </w:rPr>
              <w:t>3.仅有基础安全常识，防护措施简单片面，安全管控不够全面2分。</w:t>
            </w:r>
          </w:p>
          <w:p w14:paraId="12174124">
            <w:pPr>
              <w:spacing w:line="320" w:lineRule="exact"/>
              <w:rPr>
                <w:rFonts w:ascii="宋体" w:hAnsi="宋体" w:cs="宋体"/>
                <w:color w:val="auto"/>
                <w:sz w:val="24"/>
                <w:highlight w:val="none"/>
              </w:rPr>
            </w:pPr>
            <w:r>
              <w:rPr>
                <w:rFonts w:hint="eastAsia" w:ascii="宋体" w:hAnsi="宋体" w:cs="宋体"/>
                <w:color w:val="auto"/>
                <w:sz w:val="24"/>
                <w:highlight w:val="none"/>
              </w:rPr>
              <w:t>4.无可落地安全措施或未提供，不得分。</w:t>
            </w:r>
          </w:p>
        </w:tc>
      </w:tr>
      <w:tr w14:paraId="6B101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12" w:hRule="atLeast"/>
          <w:jc w:val="center"/>
        </w:trPr>
        <w:tc>
          <w:tcPr>
            <w:tcW w:w="1230" w:type="dxa"/>
            <w:tcBorders>
              <w:top w:val="single" w:color="auto" w:sz="4" w:space="0"/>
              <w:left w:val="single" w:color="auto" w:sz="4" w:space="0"/>
              <w:bottom w:val="single" w:color="auto" w:sz="4" w:space="0"/>
              <w:right w:val="single" w:color="auto" w:sz="4" w:space="0"/>
            </w:tcBorders>
            <w:vAlign w:val="center"/>
          </w:tcPr>
          <w:p w14:paraId="0052AE69">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应急预案</w:t>
            </w:r>
          </w:p>
        </w:tc>
        <w:tc>
          <w:tcPr>
            <w:tcW w:w="716" w:type="dxa"/>
            <w:tcBorders>
              <w:top w:val="single" w:color="auto" w:sz="4" w:space="0"/>
              <w:left w:val="single" w:color="auto" w:sz="4" w:space="0"/>
              <w:bottom w:val="single" w:color="auto" w:sz="4" w:space="0"/>
              <w:right w:val="single" w:color="auto" w:sz="4" w:space="0"/>
            </w:tcBorders>
            <w:vAlign w:val="center"/>
          </w:tcPr>
          <w:p w14:paraId="6C8ED600">
            <w:pPr>
              <w:spacing w:line="320" w:lineRule="exact"/>
              <w:jc w:val="center"/>
              <w:rPr>
                <w:rFonts w:ascii="宋体" w:hAnsi="宋体" w:cs="宋体"/>
                <w:b/>
                <w:color w:val="auto"/>
                <w:sz w:val="24"/>
                <w:highlight w:val="none"/>
              </w:rPr>
            </w:pPr>
            <w:r>
              <w:rPr>
                <w:rFonts w:hint="eastAsia" w:ascii="宋体" w:hAnsi="宋体" w:cs="宋体"/>
                <w:color w:val="auto"/>
                <w:sz w:val="24"/>
                <w:highlight w:val="none"/>
              </w:rPr>
              <w:t>5</w:t>
            </w:r>
          </w:p>
        </w:tc>
        <w:tc>
          <w:tcPr>
            <w:tcW w:w="7054" w:type="dxa"/>
            <w:tcBorders>
              <w:top w:val="single" w:color="auto" w:sz="4" w:space="0"/>
              <w:left w:val="single" w:color="auto" w:sz="4" w:space="0"/>
              <w:bottom w:val="single" w:color="auto" w:sz="4" w:space="0"/>
              <w:right w:val="single" w:color="auto" w:sz="4" w:space="0"/>
            </w:tcBorders>
            <w:vAlign w:val="center"/>
          </w:tcPr>
          <w:p w14:paraId="2A6C69C8">
            <w:pPr>
              <w:spacing w:line="320" w:lineRule="exact"/>
              <w:rPr>
                <w:rFonts w:ascii="宋体" w:hAnsi="宋体" w:cs="宋体"/>
                <w:color w:val="auto"/>
                <w:sz w:val="24"/>
                <w:highlight w:val="none"/>
              </w:rPr>
            </w:pPr>
            <w:r>
              <w:rPr>
                <w:rFonts w:hint="eastAsia" w:ascii="宋体" w:hAnsi="宋体" w:cs="宋体"/>
                <w:color w:val="auto"/>
                <w:sz w:val="24"/>
                <w:highlight w:val="none"/>
              </w:rPr>
              <w:t>为本项目制定详细的应急预案，至少涵盖人员受伤、设备损毁、恶劣天气、现场突发状况等内容。</w:t>
            </w:r>
          </w:p>
          <w:p w14:paraId="3FD1A1F2">
            <w:pPr>
              <w:spacing w:line="320" w:lineRule="exact"/>
              <w:rPr>
                <w:rFonts w:ascii="宋体" w:hAnsi="宋体" w:cs="宋体"/>
                <w:color w:val="auto"/>
                <w:sz w:val="24"/>
                <w:highlight w:val="none"/>
              </w:rPr>
            </w:pPr>
            <w:r>
              <w:rPr>
                <w:rFonts w:hint="eastAsia" w:ascii="宋体" w:hAnsi="宋体" w:cs="宋体"/>
                <w:color w:val="auto"/>
                <w:sz w:val="24"/>
                <w:highlight w:val="none"/>
              </w:rPr>
              <w:t>1.应急预案体系完整，处置流程清晰、分工明确、响应迅速、可直接落地执行，得5分；</w:t>
            </w:r>
          </w:p>
          <w:p w14:paraId="3B7E063E">
            <w:pPr>
              <w:spacing w:line="320" w:lineRule="exact"/>
              <w:rPr>
                <w:rFonts w:ascii="宋体" w:hAnsi="宋体" w:cs="宋体"/>
                <w:color w:val="auto"/>
                <w:sz w:val="24"/>
                <w:highlight w:val="none"/>
              </w:rPr>
            </w:pPr>
            <w:r>
              <w:rPr>
                <w:rFonts w:hint="eastAsia" w:ascii="宋体" w:hAnsi="宋体" w:cs="宋体"/>
                <w:color w:val="auto"/>
                <w:sz w:val="24"/>
                <w:highlight w:val="none"/>
              </w:rPr>
              <w:t>2.应急预案齐全，覆盖主要常见突发事件，处置流程规范，可有效处置各类常规突发情况，得3分；</w:t>
            </w:r>
          </w:p>
          <w:p w14:paraId="3B6A9351">
            <w:pPr>
              <w:spacing w:line="320" w:lineRule="exact"/>
              <w:rPr>
                <w:rFonts w:ascii="宋体" w:hAnsi="宋体" w:cs="宋体"/>
                <w:color w:val="auto"/>
                <w:sz w:val="24"/>
                <w:highlight w:val="none"/>
              </w:rPr>
            </w:pPr>
            <w:r>
              <w:rPr>
                <w:rFonts w:hint="eastAsia" w:ascii="宋体" w:hAnsi="宋体" w:cs="宋体"/>
                <w:color w:val="auto"/>
                <w:sz w:val="24"/>
                <w:highlight w:val="none"/>
              </w:rPr>
              <w:t>3.应急预案内容简略，覆盖场景较少，处置流程简单，应急处置能力弱，得1分。</w:t>
            </w:r>
          </w:p>
        </w:tc>
      </w:tr>
      <w:tr w14:paraId="6818E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230" w:type="dxa"/>
            <w:tcBorders>
              <w:top w:val="single" w:color="auto" w:sz="4" w:space="0"/>
              <w:left w:val="single" w:color="auto" w:sz="4" w:space="0"/>
              <w:bottom w:val="single" w:color="auto" w:sz="4" w:space="0"/>
              <w:right w:val="single" w:color="auto" w:sz="4" w:space="0"/>
            </w:tcBorders>
            <w:vAlign w:val="center"/>
          </w:tcPr>
          <w:p w14:paraId="62D6F393">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专项承诺</w:t>
            </w:r>
          </w:p>
        </w:tc>
        <w:tc>
          <w:tcPr>
            <w:tcW w:w="716" w:type="dxa"/>
            <w:tcBorders>
              <w:top w:val="single" w:color="auto" w:sz="4" w:space="0"/>
              <w:left w:val="single" w:color="auto" w:sz="4" w:space="0"/>
              <w:bottom w:val="single" w:color="auto" w:sz="4" w:space="0"/>
              <w:right w:val="single" w:color="auto" w:sz="4" w:space="0"/>
            </w:tcBorders>
            <w:vAlign w:val="center"/>
          </w:tcPr>
          <w:p w14:paraId="551E346E">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7054" w:type="dxa"/>
            <w:tcBorders>
              <w:top w:val="single" w:color="auto" w:sz="4" w:space="0"/>
              <w:left w:val="single" w:color="auto" w:sz="4" w:space="0"/>
              <w:bottom w:val="single" w:color="auto" w:sz="4" w:space="0"/>
              <w:right w:val="single" w:color="auto" w:sz="4" w:space="0"/>
            </w:tcBorders>
            <w:vAlign w:val="center"/>
          </w:tcPr>
          <w:p w14:paraId="089D1140">
            <w:pPr>
              <w:spacing w:line="320" w:lineRule="exact"/>
              <w:rPr>
                <w:rFonts w:ascii="宋体" w:hAnsi="宋体" w:cs="宋体"/>
                <w:color w:val="auto"/>
                <w:sz w:val="24"/>
                <w:highlight w:val="none"/>
              </w:rPr>
            </w:pPr>
            <w:r>
              <w:rPr>
                <w:rFonts w:hint="eastAsia" w:ascii="宋体" w:hAnsi="宋体" w:cs="宋体"/>
                <w:color w:val="auto"/>
                <w:sz w:val="24"/>
                <w:highlight w:val="none"/>
              </w:rPr>
              <w:t>提供对钢琴等贵重、易碎物件搬运时的专项服务承诺。承诺事项至少包含针对性措施、专用工具设备和人员配备情况、损坏赔偿机制等。承诺函格式自拟。</w:t>
            </w:r>
          </w:p>
          <w:p w14:paraId="1F3FC95F">
            <w:pPr>
              <w:spacing w:line="320" w:lineRule="exact"/>
              <w:rPr>
                <w:rFonts w:ascii="宋体" w:hAnsi="宋体" w:cs="宋体"/>
                <w:color w:val="auto"/>
                <w:sz w:val="24"/>
                <w:highlight w:val="none"/>
              </w:rPr>
            </w:pPr>
            <w:r>
              <w:rPr>
                <w:rFonts w:hint="eastAsia" w:ascii="宋体" w:hAnsi="宋体" w:cs="宋体"/>
                <w:color w:val="auto"/>
                <w:sz w:val="24"/>
                <w:highlight w:val="none"/>
              </w:rPr>
              <w:t>评委根据专项承诺的内容全面性、落地可行性等方面打分。</w:t>
            </w:r>
          </w:p>
          <w:p w14:paraId="1F7511E3">
            <w:pPr>
              <w:spacing w:line="320" w:lineRule="exact"/>
              <w:rPr>
                <w:rFonts w:ascii="宋体" w:hAnsi="宋体" w:cs="宋体"/>
                <w:color w:val="auto"/>
                <w:sz w:val="24"/>
                <w:highlight w:val="none"/>
              </w:rPr>
            </w:pPr>
            <w:r>
              <w:rPr>
                <w:rFonts w:hint="eastAsia" w:ascii="宋体" w:hAnsi="宋体" w:cs="宋体"/>
                <w:color w:val="auto"/>
                <w:sz w:val="24"/>
                <w:highlight w:val="none"/>
              </w:rPr>
              <w:t>1.承诺内容完整，各项措施详实、具备强可行性，得 3 分；</w:t>
            </w:r>
          </w:p>
          <w:p w14:paraId="360BC283">
            <w:pPr>
              <w:spacing w:line="320" w:lineRule="exact"/>
              <w:rPr>
                <w:rFonts w:ascii="宋体" w:hAnsi="宋体" w:cs="宋体"/>
                <w:color w:val="auto"/>
                <w:sz w:val="24"/>
                <w:highlight w:val="none"/>
              </w:rPr>
            </w:pPr>
            <w:r>
              <w:rPr>
                <w:rFonts w:hint="eastAsia" w:ascii="宋体" w:hAnsi="宋体" w:cs="宋体"/>
                <w:color w:val="auto"/>
                <w:sz w:val="24"/>
                <w:highlight w:val="none"/>
              </w:rPr>
              <w:t>2.承诺内容基本齐全，措施简单可行，存在少量内容缺失，得 2 分；</w:t>
            </w:r>
          </w:p>
          <w:p w14:paraId="5F8FCC45">
            <w:pPr>
              <w:spacing w:line="320" w:lineRule="exact"/>
              <w:rPr>
                <w:rFonts w:ascii="宋体" w:hAnsi="宋体" w:cs="宋体"/>
                <w:color w:val="auto"/>
                <w:sz w:val="24"/>
                <w:highlight w:val="none"/>
              </w:rPr>
            </w:pPr>
            <w:r>
              <w:rPr>
                <w:rFonts w:hint="eastAsia" w:ascii="宋体" w:hAnsi="宋体" w:cs="宋体"/>
                <w:color w:val="auto"/>
                <w:sz w:val="24"/>
                <w:highlight w:val="none"/>
              </w:rPr>
              <w:t>3.承诺内容简略，关键项缺失较多，可行性一般，得 1 分；</w:t>
            </w:r>
          </w:p>
          <w:p w14:paraId="7DB15B1A">
            <w:pPr>
              <w:spacing w:line="320" w:lineRule="exact"/>
              <w:rPr>
                <w:rFonts w:ascii="宋体" w:hAnsi="宋体" w:cs="宋体"/>
                <w:color w:val="auto"/>
                <w:sz w:val="24"/>
                <w:highlight w:val="none"/>
              </w:rPr>
            </w:pPr>
            <w:r>
              <w:rPr>
                <w:rFonts w:hint="eastAsia" w:ascii="宋体" w:hAnsi="宋体" w:cs="宋体"/>
                <w:color w:val="auto"/>
                <w:sz w:val="24"/>
                <w:highlight w:val="none"/>
              </w:rPr>
              <w:t>4.未按要求提供专项承诺的，本项计 0 分</w:t>
            </w:r>
          </w:p>
        </w:tc>
      </w:tr>
      <w:tr w14:paraId="218DC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230" w:type="dxa"/>
            <w:tcBorders>
              <w:top w:val="single" w:color="auto" w:sz="4" w:space="0"/>
              <w:left w:val="single" w:color="auto" w:sz="4" w:space="0"/>
              <w:bottom w:val="single" w:color="auto" w:sz="4" w:space="0"/>
              <w:right w:val="single" w:color="auto" w:sz="4" w:space="0"/>
            </w:tcBorders>
            <w:vAlign w:val="center"/>
          </w:tcPr>
          <w:p w14:paraId="7A8C36B8">
            <w:pPr>
              <w:spacing w:line="320" w:lineRule="exact"/>
              <w:jc w:val="center"/>
              <w:rPr>
                <w:rFonts w:ascii="宋体" w:hAnsi="宋体" w:cs="宋体"/>
                <w:color w:val="auto"/>
                <w:sz w:val="24"/>
                <w:highlight w:val="none"/>
              </w:rPr>
            </w:pPr>
            <w:r>
              <w:rPr>
                <w:rFonts w:hint="eastAsia" w:ascii="宋体" w:hAnsi="宋体" w:cs="宋体"/>
                <w:color w:val="auto"/>
                <w:sz w:val="24"/>
                <w:highlight w:val="none"/>
              </w:rPr>
              <w:t>增值服务</w:t>
            </w:r>
          </w:p>
        </w:tc>
        <w:tc>
          <w:tcPr>
            <w:tcW w:w="716" w:type="dxa"/>
            <w:tcBorders>
              <w:top w:val="single" w:color="auto" w:sz="4" w:space="0"/>
              <w:left w:val="single" w:color="auto" w:sz="4" w:space="0"/>
              <w:bottom w:val="single" w:color="auto" w:sz="4" w:space="0"/>
              <w:right w:val="single" w:color="auto" w:sz="4" w:space="0"/>
            </w:tcBorders>
            <w:vAlign w:val="center"/>
          </w:tcPr>
          <w:p w14:paraId="7EA741B6">
            <w:pPr>
              <w:spacing w:line="32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4</w:t>
            </w:r>
          </w:p>
        </w:tc>
        <w:tc>
          <w:tcPr>
            <w:tcW w:w="7054" w:type="dxa"/>
            <w:tcBorders>
              <w:top w:val="single" w:color="auto" w:sz="4" w:space="0"/>
              <w:left w:val="single" w:color="auto" w:sz="4" w:space="0"/>
              <w:bottom w:val="single" w:color="auto" w:sz="4" w:space="0"/>
              <w:right w:val="single" w:color="auto" w:sz="4" w:space="0"/>
            </w:tcBorders>
            <w:vAlign w:val="center"/>
          </w:tcPr>
          <w:p w14:paraId="6E32B15D">
            <w:pPr>
              <w:spacing w:line="320" w:lineRule="exact"/>
              <w:rPr>
                <w:rFonts w:ascii="宋体" w:hAnsi="宋体" w:cs="宋体"/>
                <w:color w:val="auto"/>
                <w:sz w:val="24"/>
                <w:highlight w:val="none"/>
              </w:rPr>
            </w:pPr>
            <w:r>
              <w:rPr>
                <w:rFonts w:hint="eastAsia" w:ascii="宋体" w:hAnsi="宋体" w:cs="宋体"/>
                <w:color w:val="auto"/>
                <w:sz w:val="24"/>
                <w:highlight w:val="none"/>
              </w:rPr>
              <w:t>对本项目提供一定的免费增值服务，如在搬运完工后提供</w:t>
            </w:r>
            <w:r>
              <w:rPr>
                <w:rFonts w:hint="eastAsia" w:ascii="宋体" w:hAnsi="宋体" w:cs="宋体"/>
                <w:bCs/>
                <w:color w:val="auto"/>
                <w:sz w:val="24"/>
                <w:highlight w:val="none"/>
              </w:rPr>
              <w:t>6个月内同楼层家具免费移位、一定距离内（需明确公里数）少量（需具体说明人数）学生行李搬运等服务，每提供一条得1分，最高</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分。</w:t>
            </w:r>
          </w:p>
        </w:tc>
      </w:tr>
    </w:tbl>
    <w:p w14:paraId="779C31B4">
      <w:pPr>
        <w:spacing w:line="460" w:lineRule="exact"/>
        <w:ind w:firstLine="562" w:firstLineChars="200"/>
        <w:outlineLvl w:val="2"/>
        <w:rPr>
          <w:rFonts w:ascii="宋体" w:hAnsi="宋体" w:cs="宋体"/>
          <w:color w:val="auto"/>
          <w:sz w:val="28"/>
          <w:szCs w:val="28"/>
          <w:highlight w:val="none"/>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zh-CN"/>
        </w:rPr>
        <w:t>价格分</w:t>
      </w:r>
      <w:r>
        <w:rPr>
          <w:rFonts w:hint="eastAsia" w:ascii="宋体" w:hAnsi="宋体" w:cs="宋体"/>
          <w:b/>
          <w:color w:val="auto"/>
          <w:sz w:val="28"/>
          <w:szCs w:val="28"/>
          <w:highlight w:val="none"/>
        </w:rPr>
        <w:t>：</w:t>
      </w:r>
      <w:r>
        <w:rPr>
          <w:rFonts w:hint="eastAsia" w:ascii="宋体" w:hAnsi="宋体" w:cs="宋体"/>
          <w:color w:val="auto"/>
          <w:sz w:val="28"/>
          <w:szCs w:val="28"/>
          <w:highlight w:val="none"/>
          <w:lang w:val="en-US" w:eastAsia="zh-CN"/>
        </w:rPr>
        <w:t>30</w:t>
      </w:r>
      <w:r>
        <w:rPr>
          <w:rFonts w:hint="eastAsia" w:ascii="宋体" w:hAnsi="宋体" w:cs="宋体"/>
          <w:color w:val="auto"/>
          <w:sz w:val="28"/>
          <w:szCs w:val="28"/>
          <w:highlight w:val="none"/>
          <w:lang w:val="zh-CN"/>
        </w:rPr>
        <w:t>分</w:t>
      </w:r>
    </w:p>
    <w:p w14:paraId="4F4BF57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价格分统一采用低价优先法计算，即满足磋商文件要求且最后报价（</w:t>
      </w:r>
      <w:r>
        <w:rPr>
          <w:rFonts w:hint="eastAsia" w:ascii="宋体" w:hAnsi="宋体" w:cs="宋体"/>
          <w:color w:val="auto"/>
          <w:sz w:val="28"/>
          <w:szCs w:val="28"/>
          <w:highlight w:val="none"/>
          <w:lang w:val="en-US" w:eastAsia="zh-CN"/>
        </w:rPr>
        <w:t>折扣率</w:t>
      </w:r>
      <w:r>
        <w:rPr>
          <w:rFonts w:hint="eastAsia" w:ascii="宋体" w:hAnsi="宋体" w:cs="宋体"/>
          <w:color w:val="auto"/>
          <w:sz w:val="28"/>
          <w:szCs w:val="28"/>
          <w:highlight w:val="none"/>
        </w:rPr>
        <w:t>）最低的供应商的价格为磋商基准价，其价格分为满分。其他供应商的价格分统一按照下列公式计算：</w:t>
      </w:r>
    </w:p>
    <w:p w14:paraId="39B00786">
      <w:pPr>
        <w:adjustRightInd w:val="0"/>
        <w:snapToGrid w:val="0"/>
        <w:spacing w:line="460" w:lineRule="exact"/>
        <w:ind w:firstLine="560" w:firstLineChars="20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磋商报价得分=（磋商基准价/最后磋商报价）×</w:t>
      </w:r>
      <w:r>
        <w:rPr>
          <w:rFonts w:hint="eastAsia" w:ascii="宋体" w:hAnsi="宋体" w:cs="宋体"/>
          <w:color w:val="auto"/>
          <w:sz w:val="28"/>
          <w:szCs w:val="28"/>
          <w:highlight w:val="none"/>
          <w:lang w:val="en-US" w:eastAsia="zh-CN"/>
        </w:rPr>
        <w:t>30</w:t>
      </w:r>
    </w:p>
    <w:p w14:paraId="6A5AEAFF">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w:t>
      </w:r>
      <w:r>
        <w:rPr>
          <w:rFonts w:hint="eastAsia" w:ascii="宋体" w:hAnsi="宋体" w:cs="宋体"/>
          <w:color w:val="auto"/>
          <w:sz w:val="28"/>
          <w:szCs w:val="28"/>
          <w:highlight w:val="none"/>
          <w:lang w:val="en-US" w:eastAsia="zh-CN"/>
        </w:rPr>
        <w:t>响应</w:t>
      </w:r>
      <w:r>
        <w:rPr>
          <w:rFonts w:hint="eastAsia" w:ascii="宋体" w:hAnsi="宋体" w:cs="宋体"/>
          <w:color w:val="auto"/>
          <w:sz w:val="28"/>
          <w:szCs w:val="28"/>
          <w:highlight w:val="none"/>
        </w:rPr>
        <w:t>处理。</w:t>
      </w:r>
    </w:p>
    <w:p w14:paraId="428F9833">
      <w:pPr>
        <w:adjustRightInd w:val="0"/>
        <w:snapToGrid w:val="0"/>
        <w:spacing w:line="460" w:lineRule="exact"/>
        <w:ind w:firstLine="570"/>
        <w:outlineLvl w:val="2"/>
        <w:rPr>
          <w:rFonts w:ascii="宋体" w:hAnsi="宋体" w:cs="宋体"/>
          <w:bCs/>
          <w:color w:val="auto"/>
          <w:sz w:val="28"/>
          <w:szCs w:val="28"/>
          <w:highlight w:val="none"/>
        </w:rPr>
      </w:pPr>
      <w:r>
        <w:rPr>
          <w:rFonts w:hint="eastAsia" w:ascii="宋体" w:hAnsi="宋体" w:cs="宋体"/>
          <w:b/>
          <w:color w:val="auto"/>
          <w:sz w:val="28"/>
          <w:szCs w:val="28"/>
          <w:highlight w:val="none"/>
        </w:rPr>
        <w:t>（五）成交供应商的确定</w:t>
      </w:r>
    </w:p>
    <w:p w14:paraId="39BA10A1">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磋商小组汇总各评委评分后，按照得分从高到低的顺序推荐三名成交候选人，并编写评审报告。</w:t>
      </w:r>
    </w:p>
    <w:p w14:paraId="25D89591">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采购人委托磋商小组直接确定排名第一的成交候选人为成交供应商。</w:t>
      </w:r>
    </w:p>
    <w:p w14:paraId="11ACC7CD">
      <w:pPr>
        <w:adjustRightInd w:val="0"/>
        <w:snapToGrid w:val="0"/>
        <w:spacing w:line="460" w:lineRule="exact"/>
        <w:ind w:firstLine="562" w:firstLineChars="200"/>
        <w:outlineLvl w:val="2"/>
        <w:rPr>
          <w:rFonts w:hint="eastAsia" w:ascii="宋体" w:hAnsi="宋体" w:cs="宋体"/>
          <w:b/>
          <w:color w:val="auto"/>
          <w:sz w:val="28"/>
          <w:szCs w:val="28"/>
          <w:highlight w:val="none"/>
        </w:rPr>
      </w:pPr>
      <w:r>
        <w:rPr>
          <w:rFonts w:hint="eastAsia" w:ascii="宋体" w:hAnsi="宋体" w:cs="宋体"/>
          <w:b/>
          <w:color w:val="auto"/>
          <w:sz w:val="28"/>
          <w:szCs w:val="28"/>
          <w:highlight w:val="none"/>
        </w:rPr>
        <w:t>现场不对</w:t>
      </w:r>
      <w:r>
        <w:rPr>
          <w:rFonts w:hint="eastAsia" w:ascii="宋体" w:hAnsi="宋体" w:cs="宋体"/>
          <w:b/>
          <w:color w:val="auto"/>
          <w:sz w:val="28"/>
          <w:szCs w:val="28"/>
          <w:highlight w:val="none"/>
          <w:lang w:val="en-US" w:eastAsia="zh-CN"/>
        </w:rPr>
        <w:t>响应</w:t>
      </w:r>
      <w:r>
        <w:rPr>
          <w:rFonts w:hint="eastAsia" w:ascii="宋体" w:hAnsi="宋体" w:cs="宋体"/>
          <w:b/>
          <w:color w:val="auto"/>
          <w:sz w:val="28"/>
          <w:szCs w:val="28"/>
          <w:highlight w:val="none"/>
        </w:rPr>
        <w:t>报价进行唱标，直接由</w:t>
      </w:r>
      <w:r>
        <w:rPr>
          <w:rFonts w:hint="eastAsia" w:ascii="宋体" w:hAnsi="宋体" w:cs="宋体"/>
          <w:b/>
          <w:color w:val="auto"/>
          <w:sz w:val="28"/>
          <w:szCs w:val="28"/>
          <w:highlight w:val="none"/>
          <w:lang w:val="en-US" w:eastAsia="zh-CN"/>
        </w:rPr>
        <w:t>磋商</w:t>
      </w:r>
      <w:r>
        <w:rPr>
          <w:rFonts w:hint="eastAsia" w:ascii="宋体" w:hAnsi="宋体" w:cs="宋体"/>
          <w:b/>
          <w:color w:val="auto"/>
          <w:sz w:val="28"/>
          <w:szCs w:val="28"/>
          <w:highlight w:val="none"/>
        </w:rPr>
        <w:t>小组评审，最终公布成交价。</w:t>
      </w:r>
    </w:p>
    <w:p w14:paraId="2F4F558C">
      <w:pPr>
        <w:adjustRightInd w:val="0"/>
        <w:snapToGrid w:val="0"/>
        <w:spacing w:line="460" w:lineRule="exact"/>
        <w:ind w:firstLine="562" w:firstLineChars="200"/>
        <w:outlineLvl w:val="2"/>
        <w:rPr>
          <w:rFonts w:ascii="宋体" w:hAnsi="宋体" w:cs="宋体"/>
          <w:b/>
          <w:color w:val="auto"/>
          <w:sz w:val="28"/>
          <w:szCs w:val="28"/>
          <w:highlight w:val="none"/>
        </w:rPr>
      </w:pPr>
      <w:r>
        <w:rPr>
          <w:rFonts w:hint="eastAsia" w:ascii="宋体" w:hAnsi="宋体" w:cs="宋体"/>
          <w:b/>
          <w:color w:val="auto"/>
          <w:sz w:val="28"/>
          <w:szCs w:val="28"/>
          <w:highlight w:val="none"/>
        </w:rPr>
        <w:t>（六）公告成交结果</w:t>
      </w:r>
    </w:p>
    <w:p w14:paraId="51DCE270">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自确定成交供应商之日起2个工作日内，在</w:t>
      </w:r>
      <w:r>
        <w:rPr>
          <w:rFonts w:hint="eastAsia" w:ascii="宋体" w:hAnsi="宋体" w:cs="宋体"/>
          <w:color w:val="auto"/>
          <w:sz w:val="28"/>
          <w:szCs w:val="28"/>
          <w:highlight w:val="none"/>
          <w:lang w:eastAsia="zh-CN"/>
        </w:rPr>
        <w:t>南通职业大学网站</w:t>
      </w:r>
      <w:r>
        <w:rPr>
          <w:rFonts w:hint="eastAsia" w:ascii="宋体" w:hAnsi="宋体" w:cs="宋体"/>
          <w:color w:val="auto"/>
          <w:sz w:val="28"/>
          <w:szCs w:val="28"/>
          <w:highlight w:val="none"/>
        </w:rPr>
        <w:t>公告成交结果，公告期限为1个工作日。</w:t>
      </w:r>
    </w:p>
    <w:p w14:paraId="7015121C">
      <w:pPr>
        <w:adjustRightInd w:val="0"/>
        <w:snapToGrid w:val="0"/>
        <w:spacing w:line="460" w:lineRule="exact"/>
        <w:ind w:firstLine="562" w:firstLineChars="200"/>
        <w:outlineLvl w:val="2"/>
        <w:rPr>
          <w:rFonts w:ascii="宋体" w:hAnsi="宋体" w:cs="宋体"/>
          <w:b/>
          <w:bCs/>
          <w:color w:val="auto"/>
          <w:sz w:val="28"/>
          <w:szCs w:val="28"/>
          <w:highlight w:val="none"/>
        </w:rPr>
      </w:pPr>
      <w:r>
        <w:rPr>
          <w:rFonts w:hint="eastAsia" w:ascii="宋体" w:hAnsi="宋体" w:cs="宋体"/>
          <w:b/>
          <w:color w:val="auto"/>
          <w:sz w:val="28"/>
          <w:szCs w:val="28"/>
          <w:highlight w:val="none"/>
        </w:rPr>
        <w:t>（七）</w:t>
      </w:r>
      <w:r>
        <w:rPr>
          <w:rFonts w:hint="eastAsia" w:ascii="宋体" w:hAnsi="宋体" w:cs="宋体"/>
          <w:b/>
          <w:bCs/>
          <w:color w:val="auto"/>
          <w:sz w:val="28"/>
          <w:szCs w:val="28"/>
          <w:highlight w:val="none"/>
        </w:rPr>
        <w:t>发放成交通知书</w:t>
      </w:r>
    </w:p>
    <w:p w14:paraId="0C23BC5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公告成交结果的同时，采购代理机构</w:t>
      </w:r>
      <w:r>
        <w:rPr>
          <w:rFonts w:hint="eastAsia" w:ascii="宋体" w:hAnsi="宋体" w:cs="宋体"/>
          <w:bCs/>
          <w:color w:val="auto"/>
          <w:sz w:val="28"/>
          <w:szCs w:val="28"/>
          <w:highlight w:val="none"/>
        </w:rPr>
        <w:t>向成交供应商发放成交通知书。</w:t>
      </w:r>
    </w:p>
    <w:p w14:paraId="3DF2307F">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成交通知书发出后，采购人不得违法改变成交结果，成交供应商无正当理由不得放弃成交。</w:t>
      </w:r>
    </w:p>
    <w:p w14:paraId="0D113FFA">
      <w:pPr>
        <w:snapToGrid w:val="0"/>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（八）其他</w:t>
      </w:r>
    </w:p>
    <w:p w14:paraId="662F9B25">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当成交候选人无正当理由放弃成交，被查实存在影响成交结果的违法行为等情形，采购人有权按照相关法律法规的规定对其采取惩戒措施，包含但不限于列入采购失信人黑名单等措施。</w:t>
      </w:r>
    </w:p>
    <w:p w14:paraId="7F0765CE">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当成交候选人放弃成交、因不可抗力不能履行</w:t>
      </w:r>
      <w:bookmarkStart w:id="99" w:name="_GoBack"/>
      <w:r>
        <w:rPr>
          <w:rFonts w:hint="eastAsia" w:ascii="宋体" w:hAnsi="宋体" w:cs="宋体"/>
          <w:color w:val="auto"/>
          <w:sz w:val="28"/>
          <w:szCs w:val="28"/>
          <w:highlight w:val="none"/>
        </w:rPr>
        <w:t>合同</w:t>
      </w:r>
      <w:bookmarkEnd w:id="99"/>
      <w:r>
        <w:rPr>
          <w:rFonts w:hint="eastAsia" w:ascii="宋体" w:hAnsi="宋体" w:cs="宋体"/>
          <w:color w:val="auto"/>
          <w:sz w:val="28"/>
          <w:szCs w:val="28"/>
          <w:highlight w:val="none"/>
        </w:rPr>
        <w:t>，或者被查实存在影响成交结果的违法行为等情形，不符合成交条件的，</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人重新</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w:t>
      </w:r>
    </w:p>
    <w:p w14:paraId="14752D50">
      <w:pPr>
        <w:adjustRightInd w:val="0"/>
        <w:snapToGrid w:val="0"/>
        <w:spacing w:line="360" w:lineRule="auto"/>
        <w:jc w:val="center"/>
        <w:outlineLvl w:val="0"/>
        <w:rPr>
          <w:rFonts w:hint="eastAsia" w:ascii="宋体" w:hAnsi="宋体" w:cs="宋体"/>
          <w:b/>
          <w:color w:val="auto"/>
          <w:sz w:val="36"/>
          <w:szCs w:val="36"/>
          <w:highlight w:val="none"/>
        </w:rPr>
        <w:sectPr>
          <w:headerReference r:id="rId7" w:type="default"/>
          <w:footerReference r:id="rId8" w:type="default"/>
          <w:pgSz w:w="11907" w:h="16839"/>
          <w:pgMar w:top="1440" w:right="1803" w:bottom="1440" w:left="1803" w:header="720" w:footer="720" w:gutter="0"/>
          <w:pgNumType w:fmt="decimal"/>
          <w:cols w:space="720" w:num="1"/>
          <w:docGrid w:linePitch="286" w:charSpace="0"/>
        </w:sectPr>
      </w:pPr>
      <w:r>
        <w:rPr>
          <w:rFonts w:hint="eastAsia" w:ascii="宋体" w:hAnsi="宋体" w:cs="宋体"/>
          <w:b/>
          <w:color w:val="auto"/>
          <w:sz w:val="36"/>
          <w:szCs w:val="36"/>
          <w:highlight w:val="none"/>
        </w:rPr>
        <w:br w:type="page"/>
      </w:r>
    </w:p>
    <w:p w14:paraId="3982CEAC">
      <w:pPr>
        <w:adjustRightInd w:val="0"/>
        <w:snapToGrid w:val="0"/>
        <w:spacing w:line="420" w:lineRule="exact"/>
        <w:jc w:val="center"/>
        <w:rPr>
          <w:rFonts w:hint="eastAsia" w:ascii="宋体" w:hAnsi="宋体" w:cs="宋体"/>
          <w:color w:val="auto"/>
          <w:sz w:val="40"/>
          <w:szCs w:val="40"/>
          <w:highlight w:val="none"/>
        </w:rPr>
      </w:pPr>
      <w:r>
        <w:rPr>
          <w:rFonts w:hint="eastAsia" w:ascii="宋体" w:hAnsi="宋体" w:cs="宋体"/>
          <w:b/>
          <w:color w:val="auto"/>
          <w:sz w:val="36"/>
          <w:szCs w:val="36"/>
          <w:highlight w:val="none"/>
        </w:rPr>
        <w:t>第五部分  质疑与投诉</w:t>
      </w:r>
    </w:p>
    <w:p w14:paraId="18B8638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一、质疑事项</w:t>
      </w:r>
    </w:p>
    <w:p w14:paraId="6CC5345F">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1.提出质疑的供应商应当是参与所质疑项目采购活动的供应商。潜在供应商依法获取其可质疑的招标文件的，可以对招标文件提出质疑。</w:t>
      </w:r>
    </w:p>
    <w:p w14:paraId="0756D65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2.供应商认为招标文件、采购过程和采购结果使自己的权益受到损害的，可以在知道或应知其权益受到损害之日起七个工作日内，以书面形式向代理机构或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提出质疑。上述应知其权益受到损害之日，是指：</w:t>
      </w:r>
    </w:p>
    <w:p w14:paraId="0BC2DD80">
      <w:pPr>
        <w:pStyle w:val="5"/>
        <w:adjustRightInd w:val="0"/>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2.1对可以质疑的招标文件提出质疑的，为收到招标文件之日或者招标文件公告期限届满之日；采购项目开标后，不再接受供应商对采购文件（含更正公告等）内容的异议或质询（质疑）。</w:t>
      </w:r>
    </w:p>
    <w:p w14:paraId="5C6BB88F">
      <w:pPr>
        <w:adjustRightInd w:val="0"/>
        <w:snapToGrid w:val="0"/>
        <w:spacing w:line="46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w:t>
      </w:r>
      <w:r>
        <w:rPr>
          <w:rFonts w:hint="eastAsia" w:ascii="宋体" w:hAnsi="宋体" w:cs="宋体"/>
          <w:b/>
          <w:bCs/>
          <w:color w:val="auto"/>
          <w:kern w:val="0"/>
          <w:sz w:val="28"/>
          <w:szCs w:val="28"/>
          <w:highlight w:val="none"/>
        </w:rPr>
        <w:t>对采购过程提出质疑的，为各采购程序环节结束之日；</w:t>
      </w:r>
    </w:p>
    <w:p w14:paraId="4C02EEE8">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其中：对评审过程中涉及的密封检查、身份核对、澄清等程序性事项，供应商如有异议的，必须当场提出。否则，均视为供应商无异议。无论是否成交，供应商事后不得再就前述事项提出任何异议或质疑投诉。</w:t>
      </w:r>
    </w:p>
    <w:p w14:paraId="1DA36AA7">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2.3</w:t>
      </w:r>
      <w:r>
        <w:rPr>
          <w:rFonts w:hint="eastAsia" w:ascii="宋体" w:hAnsi="宋体" w:cs="宋体"/>
          <w:color w:val="auto"/>
          <w:kern w:val="0"/>
          <w:sz w:val="28"/>
          <w:szCs w:val="28"/>
          <w:highlight w:val="none"/>
        </w:rPr>
        <w:t>对中标或者成交结果提出质疑的，为中标或者成交结果公告期限届满之日。</w:t>
      </w:r>
    </w:p>
    <w:p w14:paraId="42AFBD32">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供应商应当在法定质疑期内一次性提出针对同一采购程序环节的质疑。</w:t>
      </w:r>
    </w:p>
    <w:p w14:paraId="12CF7F0F">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3.质疑函必须按照本招标文件中《质疑函范本》要求的格式和内容进行填写。</w:t>
      </w:r>
    </w:p>
    <w:p w14:paraId="450A04D8">
      <w:pPr>
        <w:adjustRightInd w:val="0"/>
        <w:snapToGrid w:val="0"/>
        <w:spacing w:line="46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4.对采购方式、招标文件中项目需求、供应商资格条件、评审方法和评审标准、资格审查结果等应当由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答复的质疑，请向</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提出，由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负责答复。</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对其他事项的质疑，请向招标代理机构提出，由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或招标代理机构负责答复。</w:t>
      </w:r>
    </w:p>
    <w:p w14:paraId="519B603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供应商提起质疑采取书面形式，可以现场送达，也可以邮寄。</w:t>
      </w:r>
    </w:p>
    <w:p w14:paraId="27B8CC7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及招标代理机构质疑接收人及联系方式，见招标文件第一部分。</w:t>
      </w:r>
    </w:p>
    <w:p w14:paraId="37D72639">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5.供应商提出质疑应当提交质疑函和必要的证明材料，否则不予受理。质疑函应当包括下列内容：</w:t>
      </w:r>
    </w:p>
    <w:p w14:paraId="7FEF18B8">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供应商的姓名或者名称、地址、邮编、联系人及联系电话；</w:t>
      </w:r>
    </w:p>
    <w:p w14:paraId="1E926057">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质疑项目的名称、编号；</w:t>
      </w:r>
    </w:p>
    <w:p w14:paraId="267BC4E3">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具体、明确的质疑事项和与质疑事项相关的请求；</w:t>
      </w:r>
    </w:p>
    <w:p w14:paraId="31A596DE">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事实依据；</w:t>
      </w:r>
    </w:p>
    <w:p w14:paraId="0FD1810A">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必要的法律依据；</w:t>
      </w:r>
    </w:p>
    <w:p w14:paraId="3626ACC5">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提出质疑的日期。</w:t>
      </w:r>
    </w:p>
    <w:p w14:paraId="247DE7FE">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供应商为自然人的，应当由本人签字；供应商为法人或者其他组织的，应当由法定代表人、主要负责人，或者其授权代表签字或者盖章，并加盖公章。</w:t>
      </w:r>
    </w:p>
    <w:p w14:paraId="06CE034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6.以下情形的质疑不予受理</w:t>
      </w:r>
    </w:p>
    <w:p w14:paraId="655BCE7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6.1内容不符合上述规定的质疑。</w:t>
      </w:r>
    </w:p>
    <w:p w14:paraId="515115D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6.2 超出采购法定期限的质疑。</w:t>
      </w:r>
    </w:p>
    <w:p w14:paraId="1D0CFD5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6.3未参加招标活动的供应商或在招标活动中自身权益未受到损害的供应商所提出的质疑。</w:t>
      </w:r>
    </w:p>
    <w:p w14:paraId="694D8BC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7.</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提出书面质疑必须有理、有据，不得捏造事实、提供虚假材料进行恶意质疑。否则，一经查实，招标代理机构有权依据招标的有关规定，报请采购监管部门对该供应商进行相应的行政处罚和记录该供应商的失信信息。一、质疑的提出</w:t>
      </w:r>
    </w:p>
    <w:p w14:paraId="7AE4F47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8.下载招标文件的</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应根据第二章“</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须知”中第一条第4款的约定提出；响应文件接收截止后，</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未进行投标登记的，不能就响应文件接收截止后的招投标过程、中标结果提出质疑；在投标过程中，凡主持人或评标小组明确提出须由</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确认的事项，</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当场无异议的，事后不得提出质疑。</w:t>
      </w:r>
    </w:p>
    <w:p w14:paraId="39E6361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p>
    <w:p w14:paraId="0DBC5FE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6310ECA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对不能提供相关佐证材料的、涉及商业秘密的、非书面形式的、非送达的、匿名的《质疑函》将不予受理。</w:t>
      </w:r>
    </w:p>
    <w:p w14:paraId="35AC064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相关佐证材料要具备客观性、关联性、合法性，无法查实的（如宣传册、媒体报道、猜测、推理等）不能作为佐证材料。</w:t>
      </w:r>
    </w:p>
    <w:p w14:paraId="2B6E8F5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招标单位或代理机构不负责搜集相关佐证材料等工作。</w:t>
      </w:r>
    </w:p>
    <w:p w14:paraId="3A1C941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二、《质疑函》的受理和回复</w:t>
      </w:r>
    </w:p>
    <w:p w14:paraId="31C54B60">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1.质疑函》须由质疑人的法定代表人或参加本次投标授权人送达招标单位和代理机构。</w:t>
      </w:r>
    </w:p>
    <w:p w14:paraId="7CE7FEA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p>
    <w:p w14:paraId="6986BB9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3.对不符合提出质疑要求的，出具《质疑退回通知书》并提出相关补充材料要求，质疑人未在规定的时间内提供补充佐证材料的，视同放弃质疑。</w:t>
      </w:r>
    </w:p>
    <w:p w14:paraId="2EC2C3C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4.招标单位、代理机构负责将质疑人提出的质疑相关材料提供给相关专家或评标小组审核，并将审核意见回复质疑人。</w:t>
      </w:r>
    </w:p>
    <w:p w14:paraId="2A6ED31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6E00855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5.因质疑情况复杂，组织论证或审查时间较长的，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、代理机构以书面形式通知质疑人，可适当延长质疑回复处理时间。</w:t>
      </w:r>
    </w:p>
    <w:p w14:paraId="76223E1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①质疑成立的处理。</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或代理机构终止招标，并建议有关部门给相关当事人予以处理。</w:t>
      </w:r>
    </w:p>
    <w:p w14:paraId="0F0892DA">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②质疑不成立的处理。</w:t>
      </w:r>
    </w:p>
    <w:p w14:paraId="19EAB5A4">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1）质疑人书面《申请撤回质疑函》的，不作违约处理。</w:t>
      </w:r>
    </w:p>
    <w:p w14:paraId="49D6145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2）质疑人在规定的时间内不配合进行质疑调查处理的，按自动撤回《质疑函》处理。</w:t>
      </w:r>
    </w:p>
    <w:p w14:paraId="52179B2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3）质疑人不按《质疑函》格式就提出质疑的，作违约处理。同时，视情列入不良</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名单。</w:t>
      </w:r>
    </w:p>
    <w:p w14:paraId="56A939B5">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4）质疑人虽提供了相关佐证材料，但不能证明其质疑成立的，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或代理机构请质疑人补充相关佐证材料，仍不能证明其质疑成立的，作违约处理。</w:t>
      </w:r>
    </w:p>
    <w:p w14:paraId="6B23C7A0">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5）质疑人不能提供相关佐证材料的，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、代理机构已指出，质疑人仍然坚持提出质疑的，作违约处理。</w:t>
      </w:r>
    </w:p>
    <w:p w14:paraId="508C5D03">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6）对明显有违事实的、经相关专家或评标小组认定无依据的、经其他</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举证无依据的质疑，作违约处理，视情在</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官网媒体予以披露。</w:t>
      </w:r>
    </w:p>
    <w:p w14:paraId="08413BDF">
      <w:pPr>
        <w:adjustRightInd w:val="0"/>
        <w:snapToGrid w:val="0"/>
        <w:spacing w:line="460" w:lineRule="exact"/>
        <w:ind w:firstLine="280" w:firstLineChars="1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（7）质疑人承担使用虚假材料或恶意方式质疑的法律责任。</w:t>
      </w:r>
    </w:p>
    <w:p w14:paraId="32E1E93A">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三、无佐证材料的举报作违约处理。</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不得进行不提供相关佐证材料（含无法查实的如宣传册、媒体报道、猜测、推理等）向有关部门的举报，否则作违约处理。</w:t>
      </w:r>
    </w:p>
    <w:p w14:paraId="52E15B54">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四、投诉不成立的作违约处理。</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进行质疑后，</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回复质疑不成立，</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仍进行投诉的，并最终投诉不成立的，作违约处理。</w:t>
      </w:r>
    </w:p>
    <w:p w14:paraId="5A42E5F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五、《质疑函》《质疑回复函》，质疑、举报、投诉不成立等相关情况，视情在</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官网等相关媒体予以披露。</w:t>
      </w:r>
    </w:p>
    <w:p w14:paraId="20A1A024">
      <w:pPr>
        <w:adjustRightInd w:val="0"/>
        <w:snapToGrid w:val="0"/>
        <w:spacing w:line="460" w:lineRule="exact"/>
        <w:ind w:firstLine="560" w:firstLineChars="200"/>
        <w:rPr>
          <w:rFonts w:hint="eastAsia" w:ascii="宋体" w:hAnsi="宋体" w:cs="宋体"/>
          <w:dstrike/>
          <w:color w:val="auto"/>
          <w:sz w:val="28"/>
          <w:szCs w:val="28"/>
          <w:highlight w:val="none"/>
        </w:rPr>
      </w:pPr>
      <w:r>
        <w:rPr>
          <w:rFonts w:hint="eastAsia" w:ascii="宋体" w:hAnsi="宋体" w:cs="宋体"/>
          <w:color w:val="auto"/>
          <w:sz w:val="28"/>
          <w:szCs w:val="28"/>
          <w:highlight w:val="none"/>
        </w:rPr>
        <w:t>六、质疑人对</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或代理机构的答复不满意或者</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、代理机构未在规定的时间内作出答复的，可以在答复期满后15个工作日内向相关监督管理部门投诉。</w:t>
      </w:r>
    </w:p>
    <w:p w14:paraId="7B5FE7DC">
      <w:pPr>
        <w:adjustRightInd w:val="0"/>
        <w:snapToGrid w:val="0"/>
        <w:spacing w:line="360" w:lineRule="auto"/>
        <w:jc w:val="center"/>
        <w:outlineLvl w:val="0"/>
        <w:rPr>
          <w:rFonts w:hint="eastAsia" w:ascii="宋体" w:hAnsi="宋体" w:cs="宋体"/>
          <w:bCs/>
          <w:color w:val="auto"/>
          <w:sz w:val="36"/>
          <w:szCs w:val="36"/>
          <w:highlight w:val="none"/>
        </w:rPr>
        <w:sectPr>
          <w:pgSz w:w="11907" w:h="16839"/>
          <w:pgMar w:top="1440" w:right="1803" w:bottom="1440" w:left="1803" w:header="720" w:footer="720" w:gutter="0"/>
          <w:pgNumType w:fmt="decimal"/>
          <w:cols w:space="720" w:num="1"/>
          <w:docGrid w:linePitch="286" w:charSpace="0"/>
        </w:sectPr>
      </w:pPr>
    </w:p>
    <w:p w14:paraId="71923052">
      <w:pPr>
        <w:adjustRightInd w:val="0"/>
        <w:snapToGrid w:val="0"/>
        <w:spacing w:line="360" w:lineRule="auto"/>
        <w:jc w:val="center"/>
        <w:outlineLvl w:val="0"/>
        <w:rPr>
          <w:rFonts w:ascii="宋体" w:hAnsi="宋体" w:cs="宋体"/>
          <w:b/>
          <w:color w:val="auto"/>
          <w:sz w:val="28"/>
          <w:szCs w:val="28"/>
          <w:highlight w:val="none"/>
        </w:rPr>
      </w:pPr>
      <w:r>
        <w:rPr>
          <w:rFonts w:hint="eastAsia" w:ascii="宋体" w:hAnsi="宋体" w:cs="宋体"/>
          <w:bCs/>
          <w:color w:val="auto"/>
          <w:sz w:val="36"/>
          <w:szCs w:val="36"/>
          <w:highlight w:val="none"/>
        </w:rPr>
        <w:t>第</w:t>
      </w:r>
      <w:r>
        <w:rPr>
          <w:rFonts w:hint="eastAsia" w:ascii="宋体" w:hAnsi="宋体" w:cs="宋体"/>
          <w:bCs/>
          <w:color w:val="auto"/>
          <w:sz w:val="36"/>
          <w:szCs w:val="36"/>
          <w:highlight w:val="none"/>
          <w:lang w:val="en-US" w:eastAsia="zh-CN"/>
        </w:rPr>
        <w:t>六</w:t>
      </w:r>
      <w:r>
        <w:rPr>
          <w:rFonts w:hint="eastAsia" w:ascii="宋体" w:hAnsi="宋体" w:cs="宋体"/>
          <w:bCs/>
          <w:color w:val="auto"/>
          <w:sz w:val="36"/>
          <w:szCs w:val="36"/>
          <w:highlight w:val="none"/>
        </w:rPr>
        <w:t>部分 响应文件组成</w:t>
      </w:r>
    </w:p>
    <w:p w14:paraId="346E103F">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jc w:val="left"/>
        <w:textAlignment w:val="auto"/>
        <w:rPr>
          <w:rFonts w:ascii="宋体" w:hAnsi="宋体" w:cs="宋体"/>
          <w:b/>
          <w:color w:val="auto"/>
          <w:sz w:val="28"/>
          <w:szCs w:val="28"/>
          <w:highlight w:val="none"/>
        </w:rPr>
      </w:pPr>
      <w:r>
        <w:rPr>
          <w:rFonts w:hint="eastAsia" w:ascii="宋体" w:hAnsi="宋体" w:cs="宋体"/>
          <w:b/>
          <w:color w:val="auto"/>
          <w:sz w:val="28"/>
          <w:szCs w:val="28"/>
          <w:highlight w:val="none"/>
        </w:rPr>
        <w:t>响应文件由资格审查文件、商务技术文件、价格文件、电子响应文件</w:t>
      </w:r>
      <w:r>
        <w:rPr>
          <w:rFonts w:hint="eastAsia" w:ascii="宋体" w:hAnsi="宋体" w:cs="宋体"/>
          <w:b/>
          <w:color w:val="auto"/>
          <w:sz w:val="28"/>
          <w:szCs w:val="28"/>
          <w:highlight w:val="none"/>
          <w:lang w:val="en-US" w:eastAsia="zh-CN"/>
        </w:rPr>
        <w:t>四</w:t>
      </w:r>
      <w:r>
        <w:rPr>
          <w:rFonts w:hint="eastAsia" w:ascii="宋体" w:hAnsi="宋体" w:cs="宋体"/>
          <w:b/>
          <w:color w:val="auto"/>
          <w:sz w:val="28"/>
          <w:szCs w:val="28"/>
          <w:highlight w:val="none"/>
        </w:rPr>
        <w:t>部分组成。</w:t>
      </w:r>
    </w:p>
    <w:p w14:paraId="7F60CFA2">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outlineLvl w:val="1"/>
        <w:rPr>
          <w:rFonts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rPr>
        <w:t>一、</w:t>
      </w:r>
      <w:r>
        <w:rPr>
          <w:rFonts w:hint="eastAsia" w:ascii="宋体" w:hAnsi="宋体" w:cs="宋体"/>
          <w:b/>
          <w:bCs/>
          <w:color w:val="auto"/>
          <w:kern w:val="0"/>
          <w:sz w:val="28"/>
          <w:szCs w:val="28"/>
          <w:highlight w:val="none"/>
          <w:lang w:val="zh-CN"/>
        </w:rPr>
        <w:t>资格审查文件</w:t>
      </w:r>
    </w:p>
    <w:p w14:paraId="000BABB7">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w:t>
      </w:r>
      <w:r>
        <w:rPr>
          <w:rFonts w:hint="eastAsia" w:ascii="宋体" w:hAnsi="宋体" w:cs="宋体"/>
          <w:color w:val="auto"/>
          <w:kern w:val="0"/>
          <w:sz w:val="28"/>
          <w:szCs w:val="28"/>
          <w:highlight w:val="none"/>
        </w:rPr>
        <w:t>供应商符合本项目供应商资格要求的承诺函</w:t>
      </w:r>
      <w:r>
        <w:rPr>
          <w:rFonts w:hint="eastAsia" w:ascii="宋体" w:hAnsi="宋体" w:cs="宋体"/>
          <w:color w:val="auto"/>
          <w:kern w:val="0"/>
          <w:sz w:val="28"/>
          <w:szCs w:val="28"/>
          <w:highlight w:val="none"/>
          <w:lang w:val="zh-CN"/>
        </w:rPr>
        <w:t>（格式见附件1）；</w:t>
      </w:r>
    </w:p>
    <w:p w14:paraId="34556EBA">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2.法定代表人参加投标需提供法定代表人身份证明书（格式见附件2）；</w:t>
      </w:r>
    </w:p>
    <w:p w14:paraId="68D5932F">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eastAsia="宋体" w:cs="宋体"/>
          <w:color w:val="auto"/>
          <w:kern w:val="0"/>
          <w:sz w:val="28"/>
          <w:szCs w:val="28"/>
          <w:highlight w:val="none"/>
          <w:lang w:val="zh-CN" w:eastAsia="zh-CN"/>
        </w:rPr>
      </w:pPr>
      <w:r>
        <w:rPr>
          <w:rFonts w:hint="eastAsia" w:ascii="宋体" w:hAnsi="宋体" w:cs="宋体"/>
          <w:color w:val="auto"/>
          <w:kern w:val="0"/>
          <w:sz w:val="28"/>
          <w:szCs w:val="28"/>
          <w:highlight w:val="none"/>
          <w:lang w:val="zh-CN"/>
        </w:rPr>
        <w:t>3.</w:t>
      </w:r>
      <w:r>
        <w:rPr>
          <w:rFonts w:hint="eastAsia" w:ascii="宋体" w:hAnsi="宋体" w:cs="宋体"/>
          <w:color w:val="auto"/>
          <w:kern w:val="0"/>
          <w:sz w:val="28"/>
          <w:szCs w:val="28"/>
          <w:highlight w:val="none"/>
          <w:lang w:val="en-US" w:eastAsia="zh-CN"/>
        </w:rPr>
        <w:t>非法定代表人参加需提供</w:t>
      </w:r>
      <w:r>
        <w:rPr>
          <w:rFonts w:hint="default" w:ascii="Calibri" w:hAnsi="Calibri" w:cs="Calibri"/>
          <w:color w:val="auto"/>
          <w:kern w:val="0"/>
          <w:sz w:val="28"/>
          <w:szCs w:val="28"/>
          <w:highlight w:val="none"/>
          <w:lang w:val="en-US" w:eastAsia="zh-CN"/>
        </w:rPr>
        <w:t>①</w:t>
      </w:r>
      <w:r>
        <w:rPr>
          <w:rFonts w:hint="eastAsia" w:ascii="宋体" w:hAnsi="宋体" w:cs="宋体"/>
          <w:color w:val="auto"/>
          <w:kern w:val="0"/>
          <w:sz w:val="28"/>
          <w:szCs w:val="28"/>
          <w:highlight w:val="none"/>
          <w:lang w:val="zh-CN"/>
        </w:rPr>
        <w:t>法定代表人身份证明书（格式见附件2）</w:t>
      </w:r>
      <w:r>
        <w:rPr>
          <w:rFonts w:hint="default" w:ascii="Calibri" w:hAnsi="Calibri" w:cs="Calibri"/>
          <w:color w:val="auto"/>
          <w:kern w:val="0"/>
          <w:sz w:val="28"/>
          <w:szCs w:val="28"/>
          <w:highlight w:val="none"/>
          <w:lang w:val="zh-CN"/>
        </w:rPr>
        <w:t>②</w:t>
      </w:r>
      <w:r>
        <w:rPr>
          <w:rFonts w:hint="eastAsia" w:ascii="宋体" w:hAnsi="宋体" w:cs="宋体"/>
          <w:color w:val="auto"/>
          <w:kern w:val="0"/>
          <w:sz w:val="28"/>
          <w:szCs w:val="28"/>
          <w:highlight w:val="none"/>
          <w:lang w:val="zh-CN"/>
        </w:rPr>
        <w:t>法定代表人授权委托书原件</w:t>
      </w:r>
      <w:r>
        <w:rPr>
          <w:rFonts w:hint="eastAsia" w:ascii="Calibri" w:hAnsi="Calibri" w:cs="Calibri"/>
          <w:color w:val="auto"/>
          <w:kern w:val="0"/>
          <w:sz w:val="28"/>
          <w:szCs w:val="28"/>
          <w:highlight w:val="none"/>
          <w:lang w:val="zh-CN"/>
        </w:rPr>
        <w:t>、</w:t>
      </w:r>
      <w:r>
        <w:rPr>
          <w:rFonts w:hint="eastAsia" w:ascii="宋体" w:hAnsi="宋体" w:cs="宋体"/>
          <w:color w:val="auto"/>
          <w:kern w:val="0"/>
          <w:sz w:val="28"/>
          <w:szCs w:val="28"/>
          <w:highlight w:val="none"/>
          <w:lang w:val="zh-CN"/>
        </w:rPr>
        <w:t>委托代理人本人身份证复印件（格式见附件3）。</w:t>
      </w:r>
    </w:p>
    <w:p w14:paraId="65810E7E">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rPr>
          <w:rFonts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en-US" w:eastAsia="zh-CN"/>
        </w:rPr>
        <w:t>二、</w:t>
      </w:r>
      <w:r>
        <w:rPr>
          <w:rFonts w:hint="eastAsia" w:ascii="宋体" w:hAnsi="宋体" w:cs="宋体"/>
          <w:b/>
          <w:bCs/>
          <w:color w:val="auto"/>
          <w:kern w:val="0"/>
          <w:sz w:val="28"/>
          <w:szCs w:val="28"/>
          <w:highlight w:val="none"/>
          <w:lang w:val="zh-CN"/>
        </w:rPr>
        <w:t>商务技术文件</w:t>
      </w:r>
    </w:p>
    <w:p w14:paraId="324803FB">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bCs/>
          <w:color w:val="auto"/>
          <w:kern w:val="0"/>
          <w:sz w:val="28"/>
          <w:szCs w:val="28"/>
          <w:highlight w:val="none"/>
          <w:lang w:val="zh-CN"/>
        </w:rPr>
      </w:pPr>
      <w:r>
        <w:rPr>
          <w:rFonts w:hint="eastAsia" w:ascii="宋体" w:hAnsi="宋体" w:cs="宋体"/>
          <w:bCs/>
          <w:color w:val="auto"/>
          <w:kern w:val="0"/>
          <w:sz w:val="28"/>
          <w:szCs w:val="28"/>
          <w:highlight w:val="none"/>
          <w:lang w:val="en-US" w:eastAsia="zh-CN"/>
        </w:rPr>
        <w:t>1</w:t>
      </w:r>
      <w:r>
        <w:rPr>
          <w:rFonts w:hint="eastAsia" w:ascii="宋体" w:hAnsi="宋体" w:cs="宋体"/>
          <w:bCs/>
          <w:color w:val="auto"/>
          <w:kern w:val="0"/>
          <w:sz w:val="28"/>
          <w:szCs w:val="28"/>
          <w:highlight w:val="none"/>
          <w:lang w:val="zh-CN"/>
        </w:rPr>
        <w:t>.技术要求响应及偏离表（格式见附件</w:t>
      </w:r>
      <w:r>
        <w:rPr>
          <w:rFonts w:hint="eastAsia" w:ascii="宋体" w:hAnsi="宋体" w:cs="宋体"/>
          <w:bCs/>
          <w:color w:val="auto"/>
          <w:kern w:val="0"/>
          <w:sz w:val="28"/>
          <w:szCs w:val="28"/>
          <w:highlight w:val="none"/>
          <w:lang w:val="en-US" w:eastAsia="zh-CN"/>
        </w:rPr>
        <w:t>4</w:t>
      </w:r>
      <w:r>
        <w:rPr>
          <w:rFonts w:hint="eastAsia" w:ascii="宋体" w:hAnsi="宋体" w:cs="宋体"/>
          <w:bCs/>
          <w:color w:val="auto"/>
          <w:kern w:val="0"/>
          <w:sz w:val="28"/>
          <w:szCs w:val="28"/>
          <w:highlight w:val="none"/>
          <w:lang w:val="zh-CN"/>
        </w:rPr>
        <w:t>）；</w:t>
      </w:r>
    </w:p>
    <w:p w14:paraId="74006748">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en-US" w:eastAsia="zh-CN"/>
        </w:rPr>
      </w:pPr>
      <w:r>
        <w:rPr>
          <w:rFonts w:hint="eastAsia" w:ascii="宋体" w:hAnsi="宋体" w:cs="宋体"/>
          <w:bCs/>
          <w:color w:val="auto"/>
          <w:kern w:val="0"/>
          <w:sz w:val="28"/>
          <w:szCs w:val="28"/>
          <w:highlight w:val="none"/>
          <w:lang w:val="en-US" w:eastAsia="zh-CN"/>
        </w:rPr>
        <w:t>2</w:t>
      </w:r>
      <w:r>
        <w:rPr>
          <w:rFonts w:hint="eastAsia" w:ascii="宋体" w:hAnsi="宋体" w:cs="宋体"/>
          <w:bCs/>
          <w:color w:val="auto"/>
          <w:kern w:val="0"/>
          <w:sz w:val="28"/>
          <w:szCs w:val="28"/>
          <w:highlight w:val="none"/>
        </w:rPr>
        <w:t>.</w:t>
      </w:r>
      <w:r>
        <w:rPr>
          <w:rFonts w:hint="eastAsia" w:ascii="宋体" w:hAnsi="宋体" w:cs="宋体"/>
          <w:bCs/>
          <w:color w:val="auto"/>
          <w:kern w:val="0"/>
          <w:sz w:val="28"/>
          <w:szCs w:val="28"/>
          <w:highlight w:val="none"/>
          <w:lang w:val="zh-CN"/>
        </w:rPr>
        <w:t>商务要求响应及偏离表（格式见附件</w:t>
      </w:r>
      <w:r>
        <w:rPr>
          <w:rFonts w:hint="eastAsia" w:ascii="宋体" w:hAnsi="宋体" w:cs="宋体"/>
          <w:bCs/>
          <w:color w:val="auto"/>
          <w:kern w:val="0"/>
          <w:sz w:val="28"/>
          <w:szCs w:val="28"/>
          <w:highlight w:val="none"/>
          <w:lang w:val="en-US" w:eastAsia="zh-CN"/>
        </w:rPr>
        <w:t>5</w:t>
      </w:r>
      <w:r>
        <w:rPr>
          <w:rFonts w:hint="eastAsia" w:ascii="宋体" w:hAnsi="宋体" w:cs="宋体"/>
          <w:bCs/>
          <w:color w:val="auto"/>
          <w:kern w:val="0"/>
          <w:sz w:val="28"/>
          <w:szCs w:val="28"/>
          <w:highlight w:val="none"/>
          <w:lang w:val="zh-CN"/>
        </w:rPr>
        <w:t>）；</w:t>
      </w:r>
    </w:p>
    <w:p w14:paraId="78EB6881">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3.</w:t>
      </w:r>
      <w:r>
        <w:rPr>
          <w:rFonts w:hint="eastAsia" w:ascii="宋体" w:hAnsi="宋体" w:cs="宋体"/>
          <w:color w:val="auto"/>
          <w:kern w:val="0"/>
          <w:sz w:val="28"/>
          <w:szCs w:val="28"/>
          <w:highlight w:val="none"/>
          <w:lang w:val="zh-CN"/>
        </w:rPr>
        <w:t>为方便评委评审，请供应商按评审办法中所涉及的事项顺序进行编制，可以补充相关材料；</w:t>
      </w:r>
    </w:p>
    <w:p w14:paraId="062CCBE3">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4</w:t>
      </w:r>
      <w:r>
        <w:rPr>
          <w:rFonts w:hint="eastAsia" w:ascii="宋体" w:hAnsi="宋体" w:cs="宋体"/>
          <w:color w:val="auto"/>
          <w:kern w:val="0"/>
          <w:sz w:val="28"/>
          <w:szCs w:val="28"/>
          <w:highlight w:val="none"/>
          <w:lang w:val="zh-CN"/>
        </w:rPr>
        <w:t>.评审办法中未涉及的事项，供应商认为需要提交的其他资料。</w:t>
      </w:r>
    </w:p>
    <w:p w14:paraId="2EB8FCC6">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outlineLvl w:val="1"/>
        <w:rPr>
          <w:rFonts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en-US" w:eastAsia="zh-CN"/>
        </w:rPr>
        <w:t>三、</w:t>
      </w:r>
      <w:r>
        <w:rPr>
          <w:rFonts w:hint="eastAsia" w:ascii="宋体" w:hAnsi="宋体" w:cs="宋体"/>
          <w:b/>
          <w:bCs/>
          <w:color w:val="auto"/>
          <w:kern w:val="0"/>
          <w:sz w:val="28"/>
          <w:szCs w:val="28"/>
          <w:highlight w:val="none"/>
          <w:lang w:val="zh-CN"/>
        </w:rPr>
        <w:t>价格文件</w:t>
      </w:r>
    </w:p>
    <w:p w14:paraId="5D5D7B1F">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1报价一览表（格式见附件</w:t>
      </w:r>
      <w:r>
        <w:rPr>
          <w:rFonts w:hint="eastAsia" w:ascii="宋体" w:hAnsi="宋体" w:cs="宋体"/>
          <w:color w:val="auto"/>
          <w:kern w:val="0"/>
          <w:sz w:val="28"/>
          <w:szCs w:val="28"/>
          <w:highlight w:val="none"/>
          <w:lang w:val="en-US" w:eastAsia="zh-CN"/>
        </w:rPr>
        <w:t>6</w:t>
      </w:r>
      <w:r>
        <w:rPr>
          <w:rFonts w:hint="eastAsia" w:ascii="宋体" w:hAnsi="宋体" w:cs="宋体"/>
          <w:color w:val="auto"/>
          <w:kern w:val="0"/>
          <w:sz w:val="28"/>
          <w:szCs w:val="28"/>
          <w:highlight w:val="none"/>
          <w:lang w:val="zh-CN"/>
        </w:rPr>
        <w:t>）；</w:t>
      </w:r>
    </w:p>
    <w:p w14:paraId="1B3B7534">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eastAsia="宋体" w:cs="宋体"/>
          <w:color w:val="auto"/>
          <w:kern w:val="0"/>
          <w:sz w:val="28"/>
          <w:szCs w:val="28"/>
          <w:highlight w:val="none"/>
        </w:rPr>
      </w:pPr>
      <w:r>
        <w:rPr>
          <w:rFonts w:hint="eastAsia" w:ascii="宋体" w:hAnsi="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rPr>
        <w:t>分项报价表（格式见附件</w:t>
      </w:r>
      <w:r>
        <w:rPr>
          <w:rFonts w:hint="eastAsia" w:ascii="宋体" w:hAnsi="宋体" w:cs="宋体"/>
          <w:color w:val="auto"/>
          <w:kern w:val="0"/>
          <w:sz w:val="28"/>
          <w:szCs w:val="28"/>
          <w:highlight w:val="none"/>
          <w:lang w:val="en-US" w:eastAsia="zh-CN"/>
        </w:rPr>
        <w:t>7</w:t>
      </w:r>
      <w:r>
        <w:rPr>
          <w:rFonts w:hint="eastAsia" w:ascii="宋体" w:hAnsi="宋体" w:eastAsia="宋体" w:cs="宋体"/>
          <w:color w:val="auto"/>
          <w:kern w:val="0"/>
          <w:sz w:val="28"/>
          <w:szCs w:val="28"/>
          <w:highlight w:val="none"/>
        </w:rPr>
        <w:t>）；</w:t>
      </w:r>
    </w:p>
    <w:p w14:paraId="10C5317D">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3</w:t>
      </w:r>
      <w:r>
        <w:rPr>
          <w:rFonts w:hint="eastAsia" w:ascii="宋体" w:hAnsi="宋体" w:cs="宋体"/>
          <w:color w:val="auto"/>
          <w:kern w:val="0"/>
          <w:sz w:val="28"/>
          <w:szCs w:val="28"/>
          <w:highlight w:val="none"/>
        </w:rPr>
        <w:t>.</w:t>
      </w:r>
      <w:r>
        <w:rPr>
          <w:rFonts w:hint="eastAsia" w:ascii="宋体" w:hAnsi="宋体" w:cs="宋体"/>
          <w:color w:val="auto"/>
          <w:kern w:val="0"/>
          <w:sz w:val="28"/>
          <w:szCs w:val="28"/>
          <w:highlight w:val="none"/>
          <w:lang w:val="zh-CN"/>
        </w:rPr>
        <w:t>供应商信用承诺书（格式见附件</w:t>
      </w:r>
      <w:r>
        <w:rPr>
          <w:rFonts w:hint="eastAsia" w:ascii="宋体" w:hAnsi="宋体" w:cs="宋体"/>
          <w:color w:val="auto"/>
          <w:kern w:val="0"/>
          <w:sz w:val="28"/>
          <w:szCs w:val="28"/>
          <w:highlight w:val="none"/>
          <w:lang w:val="en-US" w:eastAsia="zh-CN"/>
        </w:rPr>
        <w:t>8</w:t>
      </w:r>
      <w:r>
        <w:rPr>
          <w:rFonts w:hint="eastAsia" w:ascii="宋体" w:hAnsi="宋体" w:cs="宋体"/>
          <w:color w:val="auto"/>
          <w:kern w:val="0"/>
          <w:sz w:val="28"/>
          <w:szCs w:val="28"/>
          <w:highlight w:val="none"/>
          <w:lang w:val="zh-CN"/>
        </w:rPr>
        <w:t>）。</w:t>
      </w:r>
    </w:p>
    <w:p w14:paraId="4B654199">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outlineLvl w:val="1"/>
        <w:rPr>
          <w:rFonts w:ascii="宋体" w:hAnsi="宋体" w:cs="宋体"/>
          <w:color w:val="auto"/>
          <w:kern w:val="0"/>
          <w:sz w:val="28"/>
          <w:szCs w:val="28"/>
          <w:highlight w:val="none"/>
        </w:rPr>
      </w:pPr>
      <w:r>
        <w:rPr>
          <w:rFonts w:hint="eastAsia" w:ascii="宋体" w:hAnsi="宋体" w:cs="宋体"/>
          <w:b/>
          <w:bCs/>
          <w:color w:val="auto"/>
          <w:kern w:val="0"/>
          <w:sz w:val="28"/>
          <w:szCs w:val="28"/>
          <w:highlight w:val="none"/>
          <w:lang w:val="en-US" w:eastAsia="zh-CN"/>
        </w:rPr>
        <w:t>四</w:t>
      </w:r>
      <w:r>
        <w:rPr>
          <w:rFonts w:hint="eastAsia" w:ascii="宋体" w:hAnsi="宋体" w:cs="宋体"/>
          <w:b/>
          <w:bCs/>
          <w:color w:val="auto"/>
          <w:kern w:val="0"/>
          <w:sz w:val="28"/>
          <w:szCs w:val="28"/>
          <w:highlight w:val="none"/>
        </w:rPr>
        <w:t>、电子响应文件（一份）</w:t>
      </w:r>
    </w:p>
    <w:p w14:paraId="075B2E35">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rPr>
        <w:t>电子响应文件的内容为“资格审查文件、商务技术文件、价格文件”的打印盖章后的响应文件的扫描件。</w:t>
      </w:r>
    </w:p>
    <w:p w14:paraId="3F808219">
      <w:pPr>
        <w:snapToGrid w:val="0"/>
        <w:spacing w:line="360" w:lineRule="auto"/>
        <w:ind w:firstLine="540" w:firstLineChars="192"/>
        <w:contextualSpacing/>
        <w:rPr>
          <w:rFonts w:ascii="宋体" w:hAnsi="宋体" w:cs="宋体"/>
          <w:b/>
          <w:color w:val="auto"/>
          <w:kern w:val="0"/>
          <w:sz w:val="28"/>
          <w:szCs w:val="28"/>
          <w:highlight w:val="none"/>
        </w:rPr>
      </w:pPr>
    </w:p>
    <w:p w14:paraId="09657E97">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0273E4B5">
      <w:pPr>
        <w:snapToGrid w:val="0"/>
        <w:spacing w:line="360" w:lineRule="auto"/>
        <w:contextualSpacing/>
        <w:rPr>
          <w:rFonts w:ascii="宋体" w:hAnsi="宋体" w:cs="宋体"/>
          <w:b/>
          <w:color w:val="auto"/>
          <w:sz w:val="30"/>
          <w:szCs w:val="30"/>
          <w:highlight w:val="none"/>
        </w:rPr>
      </w:pPr>
      <w:r>
        <w:rPr>
          <w:rFonts w:hint="eastAsia" w:ascii="宋体" w:hAnsi="宋体" w:cs="宋体"/>
          <w:color w:val="auto"/>
          <w:kern w:val="0"/>
          <w:sz w:val="32"/>
          <w:szCs w:val="32"/>
          <w:highlight w:val="none"/>
          <w:lang w:val="zh-CN"/>
        </w:rPr>
        <w:t>附件1</w:t>
      </w:r>
    </w:p>
    <w:p w14:paraId="10C3C79C">
      <w:pPr>
        <w:spacing w:line="360" w:lineRule="auto"/>
        <w:jc w:val="center"/>
        <w:rPr>
          <w:rFonts w:ascii="宋体" w:hAnsi="宋体" w:cs="宋体"/>
          <w:b/>
          <w:color w:val="auto"/>
          <w:sz w:val="30"/>
          <w:szCs w:val="30"/>
          <w:highlight w:val="none"/>
        </w:rPr>
      </w:pPr>
      <w:r>
        <w:rPr>
          <w:rFonts w:hint="eastAsia" w:ascii="宋体" w:hAnsi="宋体" w:cs="宋体"/>
          <w:b/>
          <w:color w:val="auto"/>
          <w:sz w:val="30"/>
          <w:szCs w:val="30"/>
          <w:highlight w:val="none"/>
        </w:rPr>
        <w:t>供应商符合本项目供应商资格要求的承诺函</w:t>
      </w:r>
    </w:p>
    <w:p w14:paraId="1BEED49E">
      <w:pPr>
        <w:spacing w:line="360" w:lineRule="auto"/>
        <w:rPr>
          <w:rFonts w:ascii="宋体" w:hAnsi="宋体" w:cs="宋体"/>
          <w:b/>
          <w:bCs/>
          <w:color w:val="auto"/>
          <w:sz w:val="44"/>
          <w:szCs w:val="44"/>
          <w:highlight w:val="none"/>
        </w:rPr>
      </w:pPr>
      <w:r>
        <w:rPr>
          <w:rFonts w:hint="eastAsia" w:ascii="宋体" w:hAnsi="宋体" w:cs="宋体"/>
          <w:b/>
          <w:bCs/>
          <w:color w:val="auto"/>
          <w:sz w:val="24"/>
          <w:szCs w:val="21"/>
          <w:highlight w:val="none"/>
        </w:rPr>
        <w:t xml:space="preserve">                       </w:t>
      </w:r>
      <w:r>
        <w:rPr>
          <w:rFonts w:hint="eastAsia" w:ascii="宋体" w:hAnsi="宋体" w:cs="宋体"/>
          <w:b/>
          <w:bCs/>
          <w:color w:val="auto"/>
          <w:sz w:val="44"/>
          <w:szCs w:val="44"/>
          <w:highlight w:val="none"/>
        </w:rPr>
        <w:t xml:space="preserve">   </w:t>
      </w:r>
    </w:p>
    <w:p w14:paraId="088E5199">
      <w:pPr>
        <w:spacing w:line="360" w:lineRule="auto"/>
        <w:ind w:firstLine="560" w:firstLineChars="200"/>
        <w:rPr>
          <w:rFonts w:ascii="宋体" w:hAnsi="宋体" w:cs="宋体"/>
          <w:b/>
          <w:bCs/>
          <w:color w:val="auto"/>
          <w:sz w:val="28"/>
          <w:szCs w:val="28"/>
          <w:highlight w:val="none"/>
        </w:rPr>
      </w:pPr>
      <w:r>
        <w:rPr>
          <w:rFonts w:hint="eastAsia" w:ascii="宋体" w:hAnsi="宋体" w:cs="宋体"/>
          <w:bCs/>
          <w:color w:val="auto"/>
          <w:sz w:val="28"/>
          <w:szCs w:val="28"/>
          <w:highlight w:val="none"/>
        </w:rPr>
        <w:t>我单位参加</w:t>
      </w:r>
      <w:r>
        <w:rPr>
          <w:rFonts w:hint="eastAsia" w:ascii="宋体" w:hAnsi="宋体" w:cs="宋体"/>
          <w:bCs/>
          <w:color w:val="auto"/>
          <w:sz w:val="28"/>
          <w:szCs w:val="28"/>
          <w:highlight w:val="none"/>
          <w:u w:val="single"/>
        </w:rPr>
        <w:t>________________ _</w:t>
      </w:r>
      <w:r>
        <w:rPr>
          <w:rFonts w:hint="eastAsia" w:ascii="宋体" w:hAnsi="宋体" w:cs="宋体"/>
          <w:bCs/>
          <w:color w:val="auto"/>
          <w:sz w:val="28"/>
          <w:szCs w:val="28"/>
          <w:highlight w:val="none"/>
        </w:rPr>
        <w:t>（项目名称），</w:t>
      </w:r>
      <w:r>
        <w:rPr>
          <w:rFonts w:hint="eastAsia" w:ascii="宋体" w:hAnsi="宋体" w:cs="宋体"/>
          <w:bCs/>
          <w:color w:val="auto"/>
          <w:sz w:val="28"/>
          <w:szCs w:val="28"/>
          <w:highlight w:val="none"/>
          <w:u w:val="single"/>
        </w:rPr>
        <w:t>_______ __________</w:t>
      </w:r>
      <w:r>
        <w:rPr>
          <w:rFonts w:hint="eastAsia" w:ascii="宋体" w:hAnsi="宋体" w:cs="宋体"/>
          <w:bCs/>
          <w:color w:val="auto"/>
          <w:sz w:val="28"/>
          <w:szCs w:val="28"/>
          <w:highlight w:val="none"/>
        </w:rPr>
        <w:t>（项目编号）</w:t>
      </w:r>
      <w:r>
        <w:rPr>
          <w:rFonts w:hint="eastAsia" w:ascii="宋体" w:hAnsi="宋体" w:cs="宋体"/>
          <w:bCs/>
          <w:color w:val="auto"/>
          <w:sz w:val="28"/>
          <w:szCs w:val="28"/>
          <w:highlight w:val="none"/>
          <w:lang w:val="en-US" w:eastAsia="zh-CN"/>
        </w:rPr>
        <w:t>采购</w:t>
      </w:r>
      <w:r>
        <w:rPr>
          <w:rFonts w:hint="eastAsia" w:ascii="宋体" w:hAnsi="宋体" w:cs="宋体"/>
          <w:bCs/>
          <w:color w:val="auto"/>
          <w:sz w:val="28"/>
          <w:szCs w:val="28"/>
          <w:highlight w:val="none"/>
        </w:rPr>
        <w:t>活动。针对本项目供应商资格要求</w:t>
      </w:r>
      <w:r>
        <w:rPr>
          <w:rFonts w:hint="eastAsia" w:ascii="宋体" w:hAnsi="宋体" w:cs="宋体"/>
          <w:bCs/>
          <w:color w:val="auto"/>
          <w:sz w:val="28"/>
          <w:szCs w:val="28"/>
          <w:highlight w:val="none"/>
          <w:lang w:eastAsia="zh-CN"/>
        </w:rPr>
        <w:t>作出</w:t>
      </w:r>
      <w:r>
        <w:rPr>
          <w:rFonts w:hint="eastAsia" w:ascii="宋体" w:hAnsi="宋体" w:cs="宋体"/>
          <w:bCs/>
          <w:color w:val="auto"/>
          <w:sz w:val="28"/>
          <w:szCs w:val="28"/>
          <w:highlight w:val="none"/>
        </w:rPr>
        <w:t>如下承诺：</w:t>
      </w:r>
    </w:p>
    <w:p w14:paraId="5FEFD8EB">
      <w:pPr>
        <w:spacing w:line="360" w:lineRule="auto"/>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1.我单位具有独立承担民事责任的能力；</w:t>
      </w:r>
    </w:p>
    <w:p w14:paraId="5ED40326">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2.我单位具有良好的商业信誉和健全的财务会计制度；</w:t>
      </w:r>
    </w:p>
    <w:p w14:paraId="04DA583A">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3.我单位具有履行合同所必需的设备和专业技术能力；</w:t>
      </w:r>
    </w:p>
    <w:p w14:paraId="1978E50F">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4.我单位有依法缴纳税收和社会保障资金的良好记录；</w:t>
      </w:r>
    </w:p>
    <w:p w14:paraId="1717B1C6">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我单位参加采购活动前三年内，在经营活动中没有重大违法记录；（“较大数额罚款”认定为200万元以上的罚款，法律、行政法规以及国务院有关部门明确规定相关领域“较大数额罚款”标准高于200万元的，从其规定。）</w:t>
      </w:r>
    </w:p>
    <w:p w14:paraId="61817A27">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6.我单位满足法律、行政法规规定的其他条件。</w:t>
      </w:r>
    </w:p>
    <w:p w14:paraId="1B8B64E7">
      <w:pPr>
        <w:spacing w:line="360" w:lineRule="auto"/>
        <w:ind w:firstLine="560" w:firstLineChars="200"/>
        <w:rPr>
          <w:rFonts w:ascii="宋体" w:hAnsi="宋体" w:cs="宋体"/>
          <w:color w:val="auto"/>
          <w:sz w:val="28"/>
          <w:szCs w:val="28"/>
          <w:highlight w:val="none"/>
        </w:rPr>
      </w:pPr>
    </w:p>
    <w:p w14:paraId="616C760C">
      <w:pPr>
        <w:spacing w:line="360" w:lineRule="auto"/>
        <w:rPr>
          <w:rFonts w:ascii="宋体" w:hAnsi="宋体" w:cs="宋体"/>
          <w:bCs/>
          <w:color w:val="auto"/>
          <w:sz w:val="28"/>
          <w:szCs w:val="28"/>
          <w:highlight w:val="none"/>
        </w:rPr>
      </w:pPr>
    </w:p>
    <w:p w14:paraId="4AA70ED6">
      <w:pPr>
        <w:spacing w:line="360" w:lineRule="auto"/>
        <w:ind w:firstLine="560" w:firstLineChars="200"/>
        <w:jc w:val="center"/>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承诺人名称（公章）：</w:t>
      </w:r>
    </w:p>
    <w:p w14:paraId="2359B65C">
      <w:pPr>
        <w:spacing w:line="360" w:lineRule="auto"/>
        <w:ind w:firstLine="560" w:firstLineChars="200"/>
        <w:jc w:val="both"/>
        <w:rPr>
          <w:rFonts w:ascii="宋体" w:hAnsi="宋体" w:cs="宋体"/>
          <w:bCs/>
          <w:color w:val="auto"/>
          <w:sz w:val="28"/>
          <w:szCs w:val="28"/>
          <w:highlight w:val="none"/>
        </w:rPr>
      </w:pPr>
    </w:p>
    <w:p w14:paraId="7F836E41">
      <w:pPr>
        <w:spacing w:line="360" w:lineRule="auto"/>
        <w:ind w:firstLine="560" w:firstLineChars="200"/>
        <w:jc w:val="righ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w:t>
      </w:r>
    </w:p>
    <w:p w14:paraId="2ABB8C28">
      <w:pPr>
        <w:spacing w:line="360" w:lineRule="auto"/>
        <w:ind w:firstLine="560" w:firstLineChars="200"/>
        <w:jc w:val="righ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日期：</w:t>
      </w:r>
      <w:r>
        <w:rPr>
          <w:rFonts w:hint="eastAsia" w:ascii="宋体" w:hAnsi="宋体" w:cs="宋体"/>
          <w:bCs/>
          <w:color w:val="auto"/>
          <w:sz w:val="28"/>
          <w:szCs w:val="28"/>
          <w:highlight w:val="none"/>
          <w:u w:val="single"/>
        </w:rPr>
        <w:t>______</w:t>
      </w:r>
      <w:r>
        <w:rPr>
          <w:rFonts w:hint="eastAsia" w:ascii="宋体" w:hAnsi="宋体" w:cs="宋体"/>
          <w:bCs/>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日</w:t>
      </w:r>
    </w:p>
    <w:p w14:paraId="7A4332DC">
      <w:pPr>
        <w:snapToGrid w:val="0"/>
        <w:spacing w:line="360" w:lineRule="auto"/>
        <w:ind w:firstLine="540" w:firstLineChars="192"/>
        <w:contextualSpacing/>
        <w:rPr>
          <w:rFonts w:ascii="宋体" w:hAnsi="宋体" w:cs="宋体"/>
          <w:b/>
          <w:color w:val="auto"/>
          <w:kern w:val="0"/>
          <w:sz w:val="28"/>
          <w:szCs w:val="28"/>
          <w:highlight w:val="none"/>
        </w:rPr>
      </w:pPr>
    </w:p>
    <w:p w14:paraId="2F94B809">
      <w:pPr>
        <w:snapToGrid w:val="0"/>
        <w:spacing w:line="360" w:lineRule="auto"/>
        <w:contextualSpacing/>
        <w:rPr>
          <w:rFonts w:ascii="宋体" w:hAnsi="宋体" w:cs="宋体"/>
          <w:b/>
          <w:bCs/>
          <w:color w:val="auto"/>
          <w:sz w:val="32"/>
          <w:szCs w:val="32"/>
          <w:highlight w:val="none"/>
        </w:rPr>
      </w:pPr>
      <w:r>
        <w:rPr>
          <w:rFonts w:hint="eastAsia" w:ascii="宋体" w:hAnsi="宋体" w:cs="宋体"/>
          <w:color w:val="auto"/>
          <w:kern w:val="0"/>
          <w:sz w:val="32"/>
          <w:szCs w:val="32"/>
          <w:highlight w:val="none"/>
          <w:lang w:val="zh-CN"/>
        </w:rPr>
        <w:t>附件2</w:t>
      </w:r>
    </w:p>
    <w:p w14:paraId="757F8B70">
      <w:pPr>
        <w:spacing w:line="360" w:lineRule="auto"/>
        <w:jc w:val="center"/>
        <w:rPr>
          <w:rFonts w:ascii="宋体" w:hAnsi="宋体" w:cs="宋体"/>
          <w:b/>
          <w:bCs/>
          <w:color w:val="auto"/>
          <w:sz w:val="28"/>
          <w:szCs w:val="28"/>
          <w:highlight w:val="none"/>
        </w:rPr>
      </w:pPr>
    </w:p>
    <w:p w14:paraId="1068B9B3">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法定代表人身份证明</w:t>
      </w:r>
    </w:p>
    <w:p w14:paraId="6B1F72A9">
      <w:pPr>
        <w:spacing w:line="360" w:lineRule="auto"/>
        <w:rPr>
          <w:rFonts w:ascii="宋体" w:hAnsi="宋体" w:cs="宋体"/>
          <w:color w:val="auto"/>
          <w:sz w:val="28"/>
          <w:szCs w:val="28"/>
          <w:highlight w:val="none"/>
        </w:rPr>
      </w:pPr>
    </w:p>
    <w:p w14:paraId="18975E49">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先生/女士： 现任我单位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职务，为法定代表人，特此证明。</w:t>
      </w:r>
    </w:p>
    <w:p w14:paraId="46C9D57F">
      <w:pPr>
        <w:spacing w:line="360" w:lineRule="auto"/>
        <w:ind w:firstLine="480"/>
        <w:rPr>
          <w:rFonts w:ascii="宋体" w:hAnsi="宋体" w:cs="宋体"/>
          <w:color w:val="auto"/>
          <w:sz w:val="28"/>
          <w:szCs w:val="28"/>
          <w:highlight w:val="none"/>
          <w:u w:val="single"/>
        </w:rPr>
      </w:pP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p>
    <w:p w14:paraId="5EC7D474">
      <w:pPr>
        <w:spacing w:line="360" w:lineRule="auto"/>
        <w:ind w:firstLine="480"/>
        <w:rPr>
          <w:rFonts w:ascii="宋体" w:hAnsi="宋体" w:cs="宋体"/>
          <w:color w:val="auto"/>
          <w:sz w:val="28"/>
          <w:szCs w:val="28"/>
          <w:highlight w:val="none"/>
        </w:rPr>
      </w:pPr>
    </w:p>
    <w:p w14:paraId="53BD2F69">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注：提供法定代表人的身份证</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lang w:val="en-US" w:eastAsia="zh-CN"/>
        </w:rPr>
        <w:t>正、反面</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rPr>
        <w:t>复印件</w:t>
      </w:r>
    </w:p>
    <w:p w14:paraId="23786CB6">
      <w:pPr>
        <w:spacing w:line="360" w:lineRule="auto"/>
        <w:ind w:firstLine="560" w:firstLineChars="200"/>
        <w:rPr>
          <w:rFonts w:ascii="宋体" w:hAnsi="宋体" w:cs="宋体"/>
          <w:color w:val="auto"/>
          <w:sz w:val="28"/>
          <w:szCs w:val="28"/>
          <w:highlight w:val="none"/>
        </w:rPr>
      </w:pPr>
    </w:p>
    <w:p w14:paraId="5CCC1A41">
      <w:pPr>
        <w:spacing w:line="360" w:lineRule="auto"/>
        <w:rPr>
          <w:rFonts w:ascii="宋体" w:hAnsi="宋体" w:cs="宋体"/>
          <w:color w:val="auto"/>
          <w:sz w:val="28"/>
          <w:szCs w:val="28"/>
          <w:highlight w:val="none"/>
        </w:rPr>
      </w:pPr>
    </w:p>
    <w:p w14:paraId="28988D95">
      <w:pPr>
        <w:snapToGrid w:val="0"/>
        <w:spacing w:line="360" w:lineRule="auto"/>
        <w:ind w:firstLine="540" w:firstLineChars="192"/>
        <w:contextualSpacing/>
        <w:rPr>
          <w:rFonts w:ascii="宋体" w:hAnsi="宋体" w:cs="宋体"/>
          <w:b/>
          <w:color w:val="auto"/>
          <w:kern w:val="0"/>
          <w:sz w:val="28"/>
          <w:szCs w:val="28"/>
          <w:highlight w:val="none"/>
        </w:rPr>
      </w:pPr>
    </w:p>
    <w:p w14:paraId="3B574BA7">
      <w:pPr>
        <w:snapToGrid w:val="0"/>
        <w:spacing w:line="360" w:lineRule="auto"/>
        <w:ind w:firstLine="540" w:firstLineChars="192"/>
        <w:contextualSpacing/>
        <w:rPr>
          <w:rFonts w:ascii="宋体" w:hAnsi="宋体" w:cs="宋体"/>
          <w:b/>
          <w:color w:val="auto"/>
          <w:kern w:val="0"/>
          <w:sz w:val="28"/>
          <w:szCs w:val="28"/>
          <w:highlight w:val="none"/>
          <w:lang w:val="zh-CN"/>
        </w:rPr>
      </w:pPr>
    </w:p>
    <w:p w14:paraId="60588286">
      <w:pPr>
        <w:snapToGrid w:val="0"/>
        <w:spacing w:line="360" w:lineRule="auto"/>
        <w:ind w:firstLine="540" w:firstLineChars="192"/>
        <w:contextualSpacing/>
        <w:rPr>
          <w:rFonts w:ascii="宋体" w:hAnsi="宋体" w:cs="宋体"/>
          <w:b/>
          <w:color w:val="auto"/>
          <w:kern w:val="0"/>
          <w:sz w:val="28"/>
          <w:szCs w:val="28"/>
          <w:highlight w:val="none"/>
          <w:lang w:val="zh-CN"/>
        </w:rPr>
      </w:pPr>
    </w:p>
    <w:p w14:paraId="5B8AE0FB">
      <w:pPr>
        <w:snapToGrid w:val="0"/>
        <w:spacing w:line="360" w:lineRule="auto"/>
        <w:ind w:firstLine="540" w:firstLineChars="192"/>
        <w:contextualSpacing/>
        <w:rPr>
          <w:rFonts w:ascii="宋体" w:hAnsi="宋体" w:cs="宋体"/>
          <w:b/>
          <w:color w:val="auto"/>
          <w:kern w:val="0"/>
          <w:sz w:val="28"/>
          <w:szCs w:val="28"/>
          <w:highlight w:val="none"/>
          <w:lang w:val="zh-CN"/>
        </w:rPr>
      </w:pPr>
    </w:p>
    <w:p w14:paraId="26A21D3C">
      <w:pPr>
        <w:snapToGrid w:val="0"/>
        <w:spacing w:line="360" w:lineRule="auto"/>
        <w:ind w:firstLine="540" w:firstLineChars="192"/>
        <w:contextualSpacing/>
        <w:rPr>
          <w:rFonts w:ascii="宋体" w:hAnsi="宋体" w:cs="宋体"/>
          <w:b/>
          <w:color w:val="auto"/>
          <w:kern w:val="0"/>
          <w:sz w:val="28"/>
          <w:szCs w:val="28"/>
          <w:highlight w:val="none"/>
          <w:lang w:val="zh-CN"/>
        </w:rPr>
      </w:pPr>
    </w:p>
    <w:p w14:paraId="7B7C954A">
      <w:pPr>
        <w:snapToGrid w:val="0"/>
        <w:spacing w:line="360" w:lineRule="auto"/>
        <w:ind w:firstLine="540" w:firstLineChars="192"/>
        <w:contextualSpacing/>
        <w:rPr>
          <w:rFonts w:ascii="宋体" w:hAnsi="宋体" w:cs="宋体"/>
          <w:b/>
          <w:color w:val="auto"/>
          <w:kern w:val="0"/>
          <w:sz w:val="28"/>
          <w:szCs w:val="28"/>
          <w:highlight w:val="none"/>
          <w:lang w:val="zh-CN"/>
        </w:rPr>
      </w:pPr>
    </w:p>
    <w:p w14:paraId="0F1ADDCE">
      <w:pPr>
        <w:snapToGrid w:val="0"/>
        <w:spacing w:line="360" w:lineRule="auto"/>
        <w:ind w:firstLine="540" w:firstLineChars="192"/>
        <w:contextualSpacing/>
        <w:rPr>
          <w:rFonts w:ascii="宋体" w:hAnsi="宋体" w:cs="宋体"/>
          <w:b/>
          <w:color w:val="auto"/>
          <w:kern w:val="0"/>
          <w:sz w:val="28"/>
          <w:szCs w:val="28"/>
          <w:highlight w:val="none"/>
          <w:lang w:val="zh-CN"/>
        </w:rPr>
      </w:pPr>
    </w:p>
    <w:p w14:paraId="03AED2B5">
      <w:pPr>
        <w:snapToGrid w:val="0"/>
        <w:spacing w:line="360" w:lineRule="auto"/>
        <w:ind w:firstLine="540" w:firstLineChars="192"/>
        <w:contextualSpacing/>
        <w:rPr>
          <w:rFonts w:ascii="宋体" w:hAnsi="宋体" w:cs="宋体"/>
          <w:b/>
          <w:color w:val="auto"/>
          <w:kern w:val="0"/>
          <w:sz w:val="28"/>
          <w:szCs w:val="28"/>
          <w:highlight w:val="none"/>
          <w:lang w:val="zh-CN"/>
        </w:rPr>
      </w:pPr>
    </w:p>
    <w:p w14:paraId="109C614F">
      <w:pPr>
        <w:snapToGrid w:val="0"/>
        <w:spacing w:line="360" w:lineRule="auto"/>
        <w:ind w:firstLine="540" w:firstLineChars="192"/>
        <w:contextualSpacing/>
        <w:rPr>
          <w:rFonts w:ascii="宋体" w:hAnsi="宋体" w:cs="宋体"/>
          <w:b/>
          <w:color w:val="auto"/>
          <w:kern w:val="0"/>
          <w:sz w:val="28"/>
          <w:szCs w:val="28"/>
          <w:highlight w:val="none"/>
          <w:lang w:val="zh-CN"/>
        </w:rPr>
      </w:pPr>
    </w:p>
    <w:p w14:paraId="1E5F5AA5">
      <w:pPr>
        <w:snapToGrid w:val="0"/>
        <w:spacing w:line="360" w:lineRule="auto"/>
        <w:ind w:firstLine="540" w:firstLineChars="192"/>
        <w:contextualSpacing/>
        <w:rPr>
          <w:rFonts w:ascii="宋体" w:hAnsi="宋体" w:cs="宋体"/>
          <w:b/>
          <w:color w:val="auto"/>
          <w:kern w:val="0"/>
          <w:sz w:val="28"/>
          <w:szCs w:val="28"/>
          <w:highlight w:val="none"/>
          <w:lang w:val="zh-CN"/>
        </w:rPr>
      </w:pPr>
    </w:p>
    <w:p w14:paraId="12CD7EDA">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737DAEC4">
      <w:pPr>
        <w:snapToGrid w:val="0"/>
        <w:spacing w:line="360" w:lineRule="auto"/>
        <w:contextualSpacing/>
        <w:rPr>
          <w:rFonts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附件3</w:t>
      </w:r>
    </w:p>
    <w:p w14:paraId="60C1C3F2">
      <w:pPr>
        <w:spacing w:line="360" w:lineRule="auto"/>
        <w:jc w:val="center"/>
        <w:rPr>
          <w:rFonts w:ascii="宋体" w:hAnsi="宋体" w:cs="宋体"/>
          <w:color w:val="auto"/>
          <w:sz w:val="32"/>
          <w:szCs w:val="32"/>
          <w:highlight w:val="none"/>
        </w:rPr>
      </w:pPr>
    </w:p>
    <w:p w14:paraId="3713498F">
      <w:pPr>
        <w:spacing w:line="360" w:lineRule="auto"/>
        <w:ind w:firstLine="643" w:firstLineChars="20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法定代表人授权委托书</w:t>
      </w:r>
    </w:p>
    <w:p w14:paraId="396AF37A">
      <w:pPr>
        <w:spacing w:line="360" w:lineRule="auto"/>
        <w:ind w:firstLine="560" w:firstLineChars="200"/>
        <w:rPr>
          <w:rFonts w:ascii="宋体" w:hAnsi="宋体" w:cs="宋体"/>
          <w:color w:val="auto"/>
          <w:sz w:val="28"/>
          <w:szCs w:val="28"/>
          <w:highlight w:val="none"/>
        </w:rPr>
      </w:pPr>
    </w:p>
    <w:p w14:paraId="04D34858">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人------（姓名）系————（授权单位名称）的法定代表人，现委托-------（姓名）（身份证号——————）为我方代理人，以我方名义全权处理与本次采购项目（编号：----------）有关的一切事务，其法律后果由我方承担。</w:t>
      </w:r>
    </w:p>
    <w:p w14:paraId="423B3DCD">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本授权书于---年---月---日起生效。代理人无转委托权。</w:t>
      </w:r>
    </w:p>
    <w:p w14:paraId="09690825">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代理人(被授权人</w:t>
      </w:r>
      <w:r>
        <w:rPr>
          <w:rFonts w:hint="eastAsia" w:ascii="宋体" w:hAnsi="宋体" w:cs="宋体"/>
          <w:color w:val="auto"/>
          <w:sz w:val="28"/>
          <w:szCs w:val="28"/>
          <w:highlight w:val="none"/>
          <w:lang w:val="en-US" w:eastAsia="zh-CN"/>
        </w:rPr>
        <w:t>签字</w:t>
      </w:r>
      <w:r>
        <w:rPr>
          <w:rFonts w:hint="eastAsia" w:ascii="宋体" w:hAnsi="宋体" w:cs="宋体"/>
          <w:color w:val="auto"/>
          <w:sz w:val="28"/>
          <w:szCs w:val="28"/>
          <w:highlight w:val="none"/>
        </w:rPr>
        <w:t>):------</w:t>
      </w:r>
    </w:p>
    <w:p w14:paraId="39135FED">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授权单位名称（盖章）：-----</w:t>
      </w:r>
    </w:p>
    <w:p w14:paraId="6E3EAA1F">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授权单位法定代表人（签字或盖章）：-----</w:t>
      </w:r>
    </w:p>
    <w:p w14:paraId="31680B44">
      <w:pPr>
        <w:spacing w:line="360" w:lineRule="auto"/>
        <w:ind w:firstLine="560" w:firstLineChars="200"/>
        <w:jc w:val="right"/>
        <w:rPr>
          <w:rFonts w:ascii="宋体" w:hAnsi="宋体" w:cs="宋体"/>
          <w:color w:val="auto"/>
          <w:sz w:val="28"/>
          <w:szCs w:val="28"/>
          <w:highlight w:val="none"/>
        </w:rPr>
      </w:pPr>
    </w:p>
    <w:p w14:paraId="57E98C8A">
      <w:pPr>
        <w:spacing w:line="360" w:lineRule="auto"/>
        <w:ind w:firstLine="560" w:firstLineChars="200"/>
        <w:jc w:val="right"/>
        <w:rPr>
          <w:rFonts w:ascii="宋体" w:hAnsi="宋体" w:cs="宋体"/>
          <w:color w:val="auto"/>
          <w:sz w:val="28"/>
          <w:szCs w:val="28"/>
          <w:highlight w:val="none"/>
        </w:rPr>
      </w:pPr>
      <w:r>
        <w:rPr>
          <w:rFonts w:hint="eastAsia" w:ascii="宋体" w:hAnsi="宋体" w:cs="宋体"/>
          <w:color w:val="auto"/>
          <w:sz w:val="28"/>
          <w:szCs w:val="28"/>
          <w:highlight w:val="none"/>
        </w:rPr>
        <w:t>XXXX年XX月XX日</w:t>
      </w:r>
    </w:p>
    <w:p w14:paraId="7AF302AB">
      <w:pPr>
        <w:snapToGrid w:val="0"/>
        <w:spacing w:line="360" w:lineRule="auto"/>
        <w:ind w:firstLine="562" w:firstLineChars="200"/>
        <w:contextualSpacing/>
        <w:rPr>
          <w:rFonts w:ascii="宋体" w:hAnsi="宋体" w:cs="宋体"/>
          <w:b/>
          <w:color w:val="auto"/>
          <w:kern w:val="0"/>
          <w:sz w:val="28"/>
          <w:szCs w:val="28"/>
          <w:highlight w:val="none"/>
        </w:rPr>
      </w:pPr>
    </w:p>
    <w:p w14:paraId="0B8B747A">
      <w:pPr>
        <w:snapToGrid w:val="0"/>
        <w:spacing w:line="360" w:lineRule="auto"/>
        <w:ind w:firstLine="562" w:firstLineChars="200"/>
        <w:contextualSpacing/>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注：提供投标代表本人身份证（正、反面）复印件</w:t>
      </w:r>
    </w:p>
    <w:p w14:paraId="54D7E4A0">
      <w:pPr>
        <w:snapToGrid w:val="0"/>
        <w:spacing w:line="360" w:lineRule="auto"/>
        <w:ind w:firstLine="562" w:firstLineChars="200"/>
        <w:contextualSpacing/>
        <w:rPr>
          <w:rFonts w:ascii="宋体" w:hAnsi="宋体" w:cs="宋体"/>
          <w:b/>
          <w:color w:val="auto"/>
          <w:kern w:val="0"/>
          <w:sz w:val="28"/>
          <w:szCs w:val="28"/>
          <w:highlight w:val="none"/>
        </w:rPr>
      </w:pPr>
    </w:p>
    <w:p w14:paraId="32F88E6D">
      <w:pPr>
        <w:snapToGrid w:val="0"/>
        <w:spacing w:line="360" w:lineRule="auto"/>
        <w:ind w:firstLine="540" w:firstLineChars="192"/>
        <w:contextualSpacing/>
        <w:rPr>
          <w:rFonts w:ascii="宋体" w:hAnsi="宋体" w:cs="宋体"/>
          <w:b/>
          <w:color w:val="auto"/>
          <w:kern w:val="0"/>
          <w:sz w:val="28"/>
          <w:szCs w:val="28"/>
          <w:highlight w:val="none"/>
        </w:rPr>
      </w:pPr>
    </w:p>
    <w:p w14:paraId="0BE1ED58">
      <w:pPr>
        <w:snapToGrid w:val="0"/>
        <w:spacing w:line="360" w:lineRule="auto"/>
        <w:ind w:firstLine="540" w:firstLineChars="192"/>
        <w:contextualSpacing/>
        <w:rPr>
          <w:rFonts w:ascii="宋体" w:hAnsi="宋体" w:cs="宋体"/>
          <w:b/>
          <w:color w:val="auto"/>
          <w:kern w:val="0"/>
          <w:sz w:val="28"/>
          <w:szCs w:val="28"/>
          <w:highlight w:val="none"/>
        </w:rPr>
      </w:pPr>
    </w:p>
    <w:p w14:paraId="3DCF194A">
      <w:pPr>
        <w:snapToGrid w:val="0"/>
        <w:spacing w:line="360" w:lineRule="auto"/>
        <w:ind w:firstLine="540" w:firstLineChars="192"/>
        <w:contextualSpacing/>
        <w:rPr>
          <w:rFonts w:ascii="宋体" w:hAnsi="宋体" w:cs="宋体"/>
          <w:b/>
          <w:color w:val="auto"/>
          <w:kern w:val="0"/>
          <w:sz w:val="28"/>
          <w:szCs w:val="28"/>
          <w:highlight w:val="none"/>
        </w:rPr>
      </w:pPr>
    </w:p>
    <w:p w14:paraId="2F01F367">
      <w:pPr>
        <w:pStyle w:val="64"/>
        <w:ind w:firstLine="562"/>
        <w:rPr>
          <w:rFonts w:ascii="宋体" w:hAnsi="宋体" w:cs="宋体"/>
          <w:b/>
          <w:color w:val="auto"/>
          <w:kern w:val="0"/>
          <w:sz w:val="28"/>
          <w:szCs w:val="28"/>
          <w:highlight w:val="none"/>
        </w:rPr>
      </w:pPr>
    </w:p>
    <w:p w14:paraId="097BD0C8">
      <w:pPr>
        <w:pStyle w:val="64"/>
        <w:ind w:firstLine="562"/>
        <w:rPr>
          <w:rFonts w:ascii="宋体" w:hAnsi="宋体" w:cs="宋体"/>
          <w:b/>
          <w:color w:val="auto"/>
          <w:kern w:val="0"/>
          <w:sz w:val="28"/>
          <w:szCs w:val="28"/>
          <w:highlight w:val="none"/>
        </w:rPr>
      </w:pPr>
    </w:p>
    <w:p w14:paraId="54A0BA00">
      <w:pPr>
        <w:spacing w:line="300" w:lineRule="auto"/>
        <w:contextualSpacing/>
        <w:jc w:val="both"/>
        <w:rPr>
          <w:rFonts w:hint="eastAsia" w:ascii="宋体" w:hAnsi="宋体" w:cs="宋体"/>
          <w:b/>
          <w:color w:val="auto"/>
          <w:sz w:val="32"/>
          <w:szCs w:val="32"/>
          <w:highlight w:val="none"/>
        </w:rPr>
      </w:pPr>
      <w:r>
        <w:rPr>
          <w:rFonts w:hint="eastAsia" w:ascii="宋体" w:hAnsi="宋体" w:cs="宋体"/>
          <w:color w:val="auto"/>
          <w:kern w:val="0"/>
          <w:sz w:val="32"/>
          <w:szCs w:val="32"/>
          <w:highlight w:val="none"/>
        </w:rPr>
        <w:br w:type="page"/>
      </w:r>
    </w:p>
    <w:p w14:paraId="45188E39">
      <w:pPr>
        <w:spacing w:line="480" w:lineRule="exac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4</w:t>
      </w:r>
    </w:p>
    <w:p w14:paraId="3AEAE33A">
      <w:pPr>
        <w:spacing w:line="48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技术要求响应及偏离表</w:t>
      </w:r>
    </w:p>
    <w:tbl>
      <w:tblPr>
        <w:tblStyle w:val="29"/>
        <w:tblW w:w="8835" w:type="dxa"/>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0"/>
        <w:gridCol w:w="2790"/>
        <w:gridCol w:w="2460"/>
        <w:gridCol w:w="2565"/>
      </w:tblGrid>
      <w:tr w14:paraId="17709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020" w:type="dxa"/>
            <w:vAlign w:val="center"/>
          </w:tcPr>
          <w:p w14:paraId="1F9D2AD4">
            <w:pPr>
              <w:jc w:val="center"/>
              <w:rPr>
                <w:rFonts w:ascii="宋体" w:hAnsi="宋体" w:cs="宋体"/>
                <w:color w:val="auto"/>
                <w:sz w:val="28"/>
                <w:szCs w:val="28"/>
                <w:highlight w:val="none"/>
              </w:rPr>
            </w:pPr>
            <w:r>
              <w:rPr>
                <w:rFonts w:hint="eastAsia" w:ascii="宋体" w:hAnsi="宋体" w:cs="宋体"/>
                <w:color w:val="auto"/>
                <w:sz w:val="28"/>
                <w:szCs w:val="28"/>
                <w:highlight w:val="none"/>
              </w:rPr>
              <w:t>序号</w:t>
            </w:r>
          </w:p>
        </w:tc>
        <w:tc>
          <w:tcPr>
            <w:tcW w:w="2790" w:type="dxa"/>
            <w:vAlign w:val="center"/>
          </w:tcPr>
          <w:p w14:paraId="0B671B97">
            <w:pPr>
              <w:jc w:val="center"/>
              <w:rPr>
                <w:rFonts w:ascii="宋体" w:hAnsi="宋体" w:cs="宋体"/>
                <w:color w:val="auto"/>
                <w:sz w:val="28"/>
                <w:szCs w:val="28"/>
                <w:highlight w:val="none"/>
              </w:rPr>
            </w:pPr>
            <w:r>
              <w:rPr>
                <w:rFonts w:hint="eastAsia" w:ascii="宋体" w:hAnsi="宋体" w:cs="宋体"/>
                <w:color w:val="auto"/>
                <w:sz w:val="28"/>
                <w:szCs w:val="28"/>
                <w:highlight w:val="none"/>
              </w:rPr>
              <w:t>技术要求</w:t>
            </w:r>
          </w:p>
        </w:tc>
        <w:tc>
          <w:tcPr>
            <w:tcW w:w="2460" w:type="dxa"/>
            <w:vAlign w:val="center"/>
          </w:tcPr>
          <w:p w14:paraId="43A89514">
            <w:pPr>
              <w:jc w:val="center"/>
              <w:rPr>
                <w:rFonts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2565" w:type="dxa"/>
            <w:vAlign w:val="center"/>
          </w:tcPr>
          <w:p w14:paraId="3C8E49CE">
            <w:pPr>
              <w:jc w:val="center"/>
              <w:rPr>
                <w:rFonts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637A8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020" w:type="dxa"/>
            <w:vAlign w:val="center"/>
          </w:tcPr>
          <w:p w14:paraId="0EBEE2B6">
            <w:pPr>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w:t>
            </w:r>
          </w:p>
        </w:tc>
        <w:tc>
          <w:tcPr>
            <w:tcW w:w="2790" w:type="dxa"/>
            <w:vAlign w:val="center"/>
          </w:tcPr>
          <w:p w14:paraId="56B5B267">
            <w:pPr>
              <w:rPr>
                <w:rFonts w:ascii="宋体" w:hAnsi="宋体" w:cs="宋体"/>
                <w:color w:val="auto"/>
                <w:sz w:val="28"/>
                <w:szCs w:val="28"/>
                <w:highlight w:val="none"/>
              </w:rPr>
            </w:pPr>
          </w:p>
        </w:tc>
        <w:tc>
          <w:tcPr>
            <w:tcW w:w="2460" w:type="dxa"/>
            <w:vAlign w:val="center"/>
          </w:tcPr>
          <w:p w14:paraId="512736D2">
            <w:pPr>
              <w:jc w:val="center"/>
              <w:rPr>
                <w:rFonts w:ascii="宋体" w:hAnsi="宋体" w:cs="宋体"/>
                <w:color w:val="auto"/>
                <w:sz w:val="28"/>
                <w:szCs w:val="28"/>
                <w:highlight w:val="none"/>
              </w:rPr>
            </w:pPr>
          </w:p>
        </w:tc>
        <w:tc>
          <w:tcPr>
            <w:tcW w:w="2565" w:type="dxa"/>
            <w:vAlign w:val="center"/>
          </w:tcPr>
          <w:p w14:paraId="64EF1673">
            <w:pPr>
              <w:jc w:val="center"/>
              <w:rPr>
                <w:rFonts w:ascii="宋体" w:hAnsi="宋体" w:cs="宋体"/>
                <w:color w:val="auto"/>
                <w:sz w:val="28"/>
                <w:szCs w:val="28"/>
                <w:highlight w:val="none"/>
              </w:rPr>
            </w:pPr>
          </w:p>
        </w:tc>
      </w:tr>
      <w:tr w14:paraId="53576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020" w:type="dxa"/>
            <w:vAlign w:val="center"/>
          </w:tcPr>
          <w:p w14:paraId="581735DB">
            <w:pPr>
              <w:jc w:val="center"/>
              <w:rPr>
                <w:rFonts w:ascii="宋体" w:hAnsi="宋体" w:cs="宋体"/>
                <w:color w:val="auto"/>
                <w:sz w:val="28"/>
                <w:szCs w:val="28"/>
                <w:highlight w:val="none"/>
              </w:rPr>
            </w:pPr>
          </w:p>
        </w:tc>
        <w:tc>
          <w:tcPr>
            <w:tcW w:w="2790" w:type="dxa"/>
            <w:vAlign w:val="center"/>
          </w:tcPr>
          <w:p w14:paraId="384B0A2F">
            <w:pPr>
              <w:jc w:val="center"/>
              <w:rPr>
                <w:rFonts w:ascii="宋体" w:hAnsi="宋体" w:cs="宋体"/>
                <w:color w:val="auto"/>
                <w:sz w:val="28"/>
                <w:szCs w:val="28"/>
                <w:highlight w:val="none"/>
              </w:rPr>
            </w:pPr>
            <w:r>
              <w:rPr>
                <w:rFonts w:hint="eastAsia" w:ascii="宋体" w:hAnsi="宋体" w:cs="宋体"/>
                <w:color w:val="auto"/>
                <w:sz w:val="28"/>
                <w:szCs w:val="28"/>
                <w:highlight w:val="none"/>
              </w:rPr>
              <w:t>……</w:t>
            </w:r>
          </w:p>
        </w:tc>
        <w:tc>
          <w:tcPr>
            <w:tcW w:w="2460" w:type="dxa"/>
            <w:vAlign w:val="center"/>
          </w:tcPr>
          <w:p w14:paraId="001A068D">
            <w:pPr>
              <w:jc w:val="center"/>
              <w:rPr>
                <w:rFonts w:ascii="宋体" w:hAnsi="宋体" w:cs="宋体"/>
                <w:color w:val="auto"/>
                <w:sz w:val="28"/>
                <w:szCs w:val="28"/>
                <w:highlight w:val="none"/>
              </w:rPr>
            </w:pPr>
          </w:p>
        </w:tc>
        <w:tc>
          <w:tcPr>
            <w:tcW w:w="2565" w:type="dxa"/>
            <w:vAlign w:val="center"/>
          </w:tcPr>
          <w:p w14:paraId="6ECD9220">
            <w:pPr>
              <w:jc w:val="center"/>
              <w:rPr>
                <w:rFonts w:ascii="宋体" w:hAnsi="宋体" w:cs="宋体"/>
                <w:color w:val="auto"/>
                <w:sz w:val="28"/>
                <w:szCs w:val="28"/>
                <w:highlight w:val="none"/>
              </w:rPr>
            </w:pPr>
          </w:p>
        </w:tc>
      </w:tr>
    </w:tbl>
    <w:p w14:paraId="26C5550A">
      <w:pPr>
        <w:spacing w:line="480" w:lineRule="exact"/>
        <w:jc w:val="center"/>
        <w:rPr>
          <w:rFonts w:ascii="宋体" w:hAnsi="宋体" w:cs="宋体"/>
          <w:b/>
          <w:color w:val="auto"/>
          <w:sz w:val="28"/>
          <w:szCs w:val="28"/>
          <w:highlight w:val="none"/>
        </w:rPr>
      </w:pPr>
    </w:p>
    <w:p w14:paraId="79591AA0">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附件</w:t>
      </w: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-1  证明材料1，证明材料2，……</w:t>
      </w:r>
    </w:p>
    <w:p w14:paraId="33BA0DA1">
      <w:pPr>
        <w:spacing w:line="480" w:lineRule="exact"/>
        <w:rPr>
          <w:rFonts w:ascii="宋体" w:hAnsi="宋体" w:cs="宋体"/>
          <w:color w:val="auto"/>
          <w:sz w:val="28"/>
          <w:szCs w:val="28"/>
          <w:highlight w:val="none"/>
        </w:rPr>
      </w:pPr>
    </w:p>
    <w:p w14:paraId="7B69C036">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6D718520">
      <w:pPr>
        <w:spacing w:line="480" w:lineRule="exact"/>
        <w:outlineLvl w:val="2"/>
        <w:rPr>
          <w:rFonts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kern w:val="0"/>
          <w:sz w:val="28"/>
          <w:szCs w:val="28"/>
          <w:highlight w:val="none"/>
          <w:lang w:val="en-US" w:eastAsia="zh-CN"/>
        </w:rPr>
        <w:t>供应商</w:t>
      </w:r>
      <w:r>
        <w:rPr>
          <w:rFonts w:hint="eastAsia" w:ascii="宋体" w:hAnsi="宋体" w:cs="宋体"/>
          <w:color w:val="auto"/>
          <w:sz w:val="28"/>
          <w:szCs w:val="28"/>
          <w:highlight w:val="none"/>
        </w:rPr>
        <w:t>需对技术要求逐条做出明确响应。无负偏离的，可空白列示并加盖公章。</w:t>
      </w:r>
    </w:p>
    <w:p w14:paraId="5C6194DB">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2.如果</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文件要求提供证明材料，</w:t>
      </w:r>
      <w:r>
        <w:rPr>
          <w:rFonts w:hint="eastAsia" w:ascii="宋体" w:hAnsi="宋体" w:cs="宋体"/>
          <w:color w:val="auto"/>
          <w:kern w:val="0"/>
          <w:sz w:val="28"/>
          <w:szCs w:val="28"/>
          <w:highlight w:val="none"/>
          <w:lang w:val="en-US" w:eastAsia="zh-CN"/>
        </w:rPr>
        <w:t>供应商</w:t>
      </w:r>
      <w:r>
        <w:rPr>
          <w:rFonts w:hint="eastAsia" w:ascii="宋体" w:hAnsi="宋体" w:cs="宋体"/>
          <w:color w:val="auto"/>
          <w:sz w:val="28"/>
          <w:szCs w:val="28"/>
          <w:highlight w:val="none"/>
        </w:rPr>
        <w:t>需将证明材料列于该表之下。</w:t>
      </w:r>
    </w:p>
    <w:p w14:paraId="26994DDC">
      <w:pPr>
        <w:spacing w:line="480" w:lineRule="exact"/>
        <w:outlineLvl w:val="3"/>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5</w:t>
      </w:r>
    </w:p>
    <w:p w14:paraId="444CBB7C">
      <w:pPr>
        <w:spacing w:line="48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商务要求响应及偏离表</w:t>
      </w:r>
    </w:p>
    <w:tbl>
      <w:tblPr>
        <w:tblStyle w:val="29"/>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99"/>
        <w:gridCol w:w="2320"/>
      </w:tblGrid>
      <w:tr w14:paraId="43307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59FEE2F4">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序号</w:t>
            </w:r>
          </w:p>
        </w:tc>
        <w:tc>
          <w:tcPr>
            <w:tcW w:w="3063" w:type="dxa"/>
            <w:vAlign w:val="center"/>
          </w:tcPr>
          <w:p w14:paraId="382389A9">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商务要求</w:t>
            </w:r>
          </w:p>
        </w:tc>
        <w:tc>
          <w:tcPr>
            <w:tcW w:w="2999" w:type="dxa"/>
            <w:vAlign w:val="center"/>
          </w:tcPr>
          <w:p w14:paraId="0D8D5886">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2320" w:type="dxa"/>
            <w:vAlign w:val="center"/>
          </w:tcPr>
          <w:p w14:paraId="71964528">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6E1B1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92E959C">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3063" w:type="dxa"/>
          </w:tcPr>
          <w:p w14:paraId="411C545A">
            <w:pPr>
              <w:spacing w:line="480" w:lineRule="exact"/>
              <w:jc w:val="center"/>
              <w:rPr>
                <w:rFonts w:ascii="宋体" w:hAnsi="宋体" w:cs="宋体"/>
                <w:color w:val="auto"/>
                <w:sz w:val="28"/>
                <w:szCs w:val="28"/>
                <w:highlight w:val="none"/>
              </w:rPr>
            </w:pPr>
          </w:p>
        </w:tc>
        <w:tc>
          <w:tcPr>
            <w:tcW w:w="2999" w:type="dxa"/>
          </w:tcPr>
          <w:p w14:paraId="002AF214">
            <w:pPr>
              <w:spacing w:line="480" w:lineRule="exact"/>
              <w:jc w:val="center"/>
              <w:rPr>
                <w:rFonts w:ascii="宋体" w:hAnsi="宋体" w:cs="宋体"/>
                <w:color w:val="auto"/>
                <w:sz w:val="28"/>
                <w:szCs w:val="28"/>
                <w:highlight w:val="none"/>
              </w:rPr>
            </w:pPr>
          </w:p>
        </w:tc>
        <w:tc>
          <w:tcPr>
            <w:tcW w:w="2320" w:type="dxa"/>
          </w:tcPr>
          <w:p w14:paraId="70F7D0A1">
            <w:pPr>
              <w:spacing w:line="480" w:lineRule="exact"/>
              <w:jc w:val="center"/>
              <w:rPr>
                <w:rFonts w:ascii="宋体" w:hAnsi="宋体" w:cs="宋体"/>
                <w:color w:val="auto"/>
                <w:sz w:val="28"/>
                <w:szCs w:val="28"/>
                <w:highlight w:val="none"/>
              </w:rPr>
            </w:pPr>
          </w:p>
        </w:tc>
      </w:tr>
      <w:tr w14:paraId="698BD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B73A8D3">
            <w:pPr>
              <w:spacing w:line="480" w:lineRule="exact"/>
              <w:jc w:val="center"/>
              <w:rPr>
                <w:rFonts w:ascii="宋体" w:hAnsi="宋体" w:cs="宋体"/>
                <w:color w:val="auto"/>
                <w:sz w:val="28"/>
                <w:szCs w:val="28"/>
                <w:highlight w:val="none"/>
              </w:rPr>
            </w:pPr>
          </w:p>
        </w:tc>
        <w:tc>
          <w:tcPr>
            <w:tcW w:w="3063" w:type="dxa"/>
          </w:tcPr>
          <w:p w14:paraId="769DD14A">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w:t>
            </w:r>
          </w:p>
        </w:tc>
        <w:tc>
          <w:tcPr>
            <w:tcW w:w="2999" w:type="dxa"/>
          </w:tcPr>
          <w:p w14:paraId="5D1C76B3">
            <w:pPr>
              <w:spacing w:line="480" w:lineRule="exact"/>
              <w:jc w:val="center"/>
              <w:rPr>
                <w:rFonts w:ascii="宋体" w:hAnsi="宋体" w:cs="宋体"/>
                <w:color w:val="auto"/>
                <w:sz w:val="28"/>
                <w:szCs w:val="28"/>
                <w:highlight w:val="none"/>
              </w:rPr>
            </w:pPr>
          </w:p>
        </w:tc>
        <w:tc>
          <w:tcPr>
            <w:tcW w:w="2320" w:type="dxa"/>
          </w:tcPr>
          <w:p w14:paraId="29F7528B">
            <w:pPr>
              <w:spacing w:line="480" w:lineRule="exact"/>
              <w:jc w:val="center"/>
              <w:rPr>
                <w:rFonts w:ascii="宋体" w:hAnsi="宋体" w:cs="宋体"/>
                <w:color w:val="auto"/>
                <w:sz w:val="28"/>
                <w:szCs w:val="28"/>
                <w:highlight w:val="none"/>
              </w:rPr>
            </w:pPr>
          </w:p>
        </w:tc>
      </w:tr>
    </w:tbl>
    <w:p w14:paraId="4AF9EECD">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附件</w:t>
      </w: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-1  证明材料1，证明材料2，……</w:t>
      </w:r>
    </w:p>
    <w:p w14:paraId="5E01D540">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659B6DD0">
      <w:pPr>
        <w:spacing w:line="480" w:lineRule="exact"/>
        <w:outlineLvl w:val="2"/>
        <w:rPr>
          <w:rFonts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kern w:val="0"/>
          <w:sz w:val="28"/>
          <w:szCs w:val="28"/>
          <w:highlight w:val="none"/>
          <w:lang w:val="en-US" w:eastAsia="zh-CN"/>
        </w:rPr>
        <w:t>供应商</w:t>
      </w:r>
      <w:r>
        <w:rPr>
          <w:rFonts w:hint="eastAsia" w:ascii="宋体" w:hAnsi="宋体" w:cs="宋体"/>
          <w:color w:val="auto"/>
          <w:sz w:val="28"/>
          <w:szCs w:val="28"/>
          <w:highlight w:val="none"/>
        </w:rPr>
        <w:t>需对商务要求逐条做出明确响应。无负偏离的，可空白列示并加盖公章。</w:t>
      </w:r>
    </w:p>
    <w:p w14:paraId="0F78EE93">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2.如果</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文件要求提供证明材料，</w:t>
      </w:r>
      <w:r>
        <w:rPr>
          <w:rFonts w:hint="eastAsia" w:ascii="宋体" w:hAnsi="宋体" w:cs="宋体"/>
          <w:color w:val="auto"/>
          <w:sz w:val="28"/>
          <w:szCs w:val="28"/>
          <w:highlight w:val="none"/>
          <w:lang w:val="en-US" w:eastAsia="zh-CN"/>
        </w:rPr>
        <w:t>供应商</w:t>
      </w:r>
      <w:r>
        <w:rPr>
          <w:rFonts w:hint="eastAsia" w:ascii="宋体" w:hAnsi="宋体" w:cs="宋体"/>
          <w:color w:val="auto"/>
          <w:sz w:val="28"/>
          <w:szCs w:val="28"/>
          <w:highlight w:val="none"/>
        </w:rPr>
        <w:t>需将证明材料列于该表之下。</w:t>
      </w:r>
    </w:p>
    <w:p w14:paraId="75944BDA">
      <w:pPr>
        <w:spacing w:line="480" w:lineRule="exact"/>
        <w:rPr>
          <w:rFonts w:ascii="宋体" w:hAnsi="宋体" w:cs="宋体"/>
          <w:b/>
          <w:color w:val="auto"/>
          <w:sz w:val="28"/>
          <w:szCs w:val="28"/>
          <w:highlight w:val="none"/>
        </w:rPr>
      </w:pPr>
    </w:p>
    <w:p w14:paraId="4BCDCEFE">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064601E4">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00DFFF83">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223F9C99">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55CBA6A8">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5AB453FD">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2364737F">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2A4A5D15">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1D6AE726">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76B80815">
      <w:pPr>
        <w:snapToGrid w:val="0"/>
        <w:spacing w:line="400" w:lineRule="exact"/>
        <w:contextualSpacing/>
        <w:rPr>
          <w:rFonts w:hint="eastAsia" w:ascii="宋体" w:hAnsi="宋体" w:eastAsia="宋体" w:cs="宋体"/>
          <w:b/>
          <w:color w:val="auto"/>
          <w:sz w:val="32"/>
          <w:szCs w:val="32"/>
          <w:highlight w:val="none"/>
          <w:lang w:bidi="ar"/>
        </w:rPr>
        <w:sectPr>
          <w:pgSz w:w="11906" w:h="16838"/>
          <w:pgMar w:top="1440" w:right="1797" w:bottom="1440" w:left="1797" w:header="851" w:footer="992" w:gutter="0"/>
          <w:cols w:space="720" w:num="1"/>
          <w:docGrid w:type="lines" w:linePitch="312" w:charSpace="0"/>
        </w:sectPr>
      </w:pPr>
      <w:r>
        <w:rPr>
          <w:rFonts w:hint="eastAsia" w:ascii="宋体" w:hAnsi="宋体" w:eastAsia="宋体" w:cs="宋体"/>
          <w:b/>
          <w:color w:val="auto"/>
          <w:sz w:val="32"/>
          <w:szCs w:val="32"/>
          <w:highlight w:val="none"/>
          <w:lang w:bidi="ar"/>
        </w:rPr>
        <w:br w:type="page"/>
      </w:r>
    </w:p>
    <w:p w14:paraId="67DAD9C4">
      <w:pPr>
        <w:snapToGrid w:val="0"/>
        <w:spacing w:line="400" w:lineRule="exact"/>
        <w:contextualSpacing/>
        <w:rPr>
          <w:rFonts w:hint="eastAsia" w:ascii="宋体" w:hAnsi="宋体" w:eastAsia="宋体" w:cs="宋体"/>
          <w:color w:val="auto"/>
          <w:kern w:val="0"/>
          <w:sz w:val="32"/>
          <w:szCs w:val="32"/>
          <w:highlight w:val="none"/>
          <w:lang w:eastAsia="zh-CN"/>
        </w:rPr>
      </w:pPr>
      <w:r>
        <w:rPr>
          <w:rFonts w:hint="eastAsia" w:ascii="宋体" w:hAnsi="宋体" w:eastAsia="宋体" w:cs="宋体"/>
          <w:color w:val="auto"/>
          <w:kern w:val="0"/>
          <w:sz w:val="32"/>
          <w:szCs w:val="32"/>
          <w:highlight w:val="none"/>
        </w:rPr>
        <w:t>附件</w:t>
      </w:r>
      <w:r>
        <w:rPr>
          <w:rFonts w:hint="eastAsia" w:ascii="宋体" w:hAnsi="宋体" w:cs="宋体"/>
          <w:color w:val="auto"/>
          <w:kern w:val="0"/>
          <w:sz w:val="32"/>
          <w:szCs w:val="32"/>
          <w:highlight w:val="none"/>
          <w:lang w:val="en-US" w:eastAsia="zh-CN"/>
        </w:rPr>
        <w:t>6</w:t>
      </w:r>
    </w:p>
    <w:p w14:paraId="3E03EA29">
      <w:pPr>
        <w:widowControl/>
        <w:spacing w:before="100" w:beforeAutospacing="1" w:after="100" w:afterAutospacing="1" w:line="360" w:lineRule="auto"/>
        <w:jc w:val="center"/>
        <w:rPr>
          <w:rFonts w:hint="eastAsia" w:ascii="宋体" w:hAnsi="宋体" w:eastAsia="宋体" w:cs="宋体"/>
          <w:color w:val="auto"/>
          <w:kern w:val="0"/>
          <w:sz w:val="32"/>
          <w:szCs w:val="32"/>
          <w:highlight w:val="none"/>
        </w:rPr>
      </w:pPr>
      <w:r>
        <w:rPr>
          <w:rFonts w:hint="eastAsia" w:ascii="宋体" w:hAnsi="宋体" w:eastAsia="宋体" w:cs="宋体"/>
          <w:b/>
          <w:bCs/>
          <w:color w:val="auto"/>
          <w:kern w:val="0"/>
          <w:sz w:val="32"/>
          <w:szCs w:val="32"/>
          <w:highlight w:val="none"/>
        </w:rPr>
        <w:t>报价总表</w:t>
      </w:r>
    </w:p>
    <w:p w14:paraId="349FE4BD">
      <w:pPr>
        <w:spacing w:line="360" w:lineRule="auto"/>
        <w:rPr>
          <w:rFonts w:hint="eastAsia" w:ascii="宋体" w:hAnsi="宋体" w:eastAsia="宋体" w:cs="宋体"/>
          <w:color w:val="auto"/>
          <w:kern w:val="0"/>
          <w:sz w:val="28"/>
          <w:szCs w:val="28"/>
          <w:highlight w:val="none"/>
          <w:u w:val="single"/>
        </w:rPr>
      </w:pPr>
      <w:r>
        <w:rPr>
          <w:rFonts w:hint="eastAsia" w:ascii="宋体" w:hAnsi="宋体" w:cs="宋体"/>
          <w:color w:val="auto"/>
          <w:kern w:val="0"/>
          <w:sz w:val="28"/>
          <w:szCs w:val="28"/>
          <w:highlight w:val="none"/>
          <w:lang w:val="en-US" w:eastAsia="zh-CN"/>
        </w:rPr>
        <w:t>供应商</w:t>
      </w:r>
      <w:r>
        <w:rPr>
          <w:rFonts w:hint="eastAsia" w:ascii="宋体" w:hAnsi="宋体" w:eastAsia="宋体" w:cs="宋体"/>
          <w:color w:val="auto"/>
          <w:kern w:val="0"/>
          <w:sz w:val="28"/>
          <w:szCs w:val="28"/>
          <w:highlight w:val="none"/>
        </w:rPr>
        <w:t>全称（加盖公章）：</w:t>
      </w:r>
    </w:p>
    <w:p w14:paraId="6AECAB1F">
      <w:pPr>
        <w:spacing w:line="360" w:lineRule="auto"/>
        <w:rPr>
          <w:rFonts w:hint="eastAsia" w:ascii="宋体" w:hAnsi="宋体" w:eastAsia="宋体" w:cs="宋体"/>
          <w:color w:val="auto"/>
          <w:kern w:val="0"/>
          <w:sz w:val="28"/>
          <w:szCs w:val="28"/>
          <w:highlight w:val="none"/>
          <w:u w:val="single"/>
        </w:rPr>
      </w:pPr>
      <w:r>
        <w:rPr>
          <w:rFonts w:hint="eastAsia" w:ascii="宋体" w:hAnsi="宋体" w:eastAsia="宋体" w:cs="宋体"/>
          <w:color w:val="auto"/>
          <w:kern w:val="0"/>
          <w:sz w:val="28"/>
          <w:szCs w:val="28"/>
          <w:highlight w:val="none"/>
        </w:rPr>
        <w:t>项目名称：</w:t>
      </w:r>
    </w:p>
    <w:p w14:paraId="3DB9AA8B">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项目编号：</w:t>
      </w:r>
    </w:p>
    <w:tbl>
      <w:tblPr>
        <w:tblStyle w:val="29"/>
        <w:tblW w:w="52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9"/>
        <w:gridCol w:w="3062"/>
        <w:gridCol w:w="3062"/>
      </w:tblGrid>
      <w:tr w14:paraId="729EA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552" w:type="pct"/>
          </w:tcPr>
          <w:p w14:paraId="26BCD688">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t>货物、服务名称</w:t>
            </w:r>
          </w:p>
        </w:tc>
        <w:tc>
          <w:tcPr>
            <w:tcW w:w="1723" w:type="pct"/>
          </w:tcPr>
          <w:p w14:paraId="7B7F6DDB">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t>投标总报价</w:t>
            </w:r>
          </w:p>
        </w:tc>
        <w:tc>
          <w:tcPr>
            <w:tcW w:w="1723" w:type="pct"/>
          </w:tcPr>
          <w:p w14:paraId="26FC9DDD">
            <w:pPr>
              <w:spacing w:line="360" w:lineRule="auto"/>
              <w:jc w:val="center"/>
              <w:rPr>
                <w:rFonts w:hint="eastAsia" w:ascii="宋体" w:hAnsi="宋体" w:eastAsia="宋体" w:cs="宋体"/>
                <w:color w:val="auto"/>
                <w:kern w:val="0"/>
                <w:sz w:val="28"/>
                <w:szCs w:val="28"/>
                <w:highlight w:val="none"/>
              </w:rPr>
            </w:pPr>
            <w:r>
              <w:rPr>
                <w:rFonts w:hint="eastAsia" w:ascii="宋体" w:hAnsi="宋体" w:eastAsia="宋体" w:cs="宋体"/>
                <w:b/>
                <w:color w:val="auto"/>
                <w:sz w:val="28"/>
                <w:szCs w:val="28"/>
                <w:highlight w:val="none"/>
              </w:rPr>
              <w:t>供货期</w:t>
            </w:r>
          </w:p>
        </w:tc>
      </w:tr>
      <w:tr w14:paraId="34A81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1552" w:type="pct"/>
          </w:tcPr>
          <w:p w14:paraId="5BCB9157">
            <w:pPr>
              <w:spacing w:line="360" w:lineRule="auto"/>
              <w:jc w:val="left"/>
              <w:rPr>
                <w:rFonts w:hint="eastAsia" w:ascii="宋体" w:hAnsi="宋体" w:eastAsia="宋体" w:cs="宋体"/>
                <w:color w:val="auto"/>
                <w:sz w:val="28"/>
                <w:szCs w:val="28"/>
                <w:highlight w:val="none"/>
              </w:rPr>
            </w:pPr>
          </w:p>
        </w:tc>
        <w:tc>
          <w:tcPr>
            <w:tcW w:w="1723" w:type="pct"/>
            <w:vAlign w:val="center"/>
          </w:tcPr>
          <w:p w14:paraId="75A01E9B">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大写：     人民币</w:t>
            </w:r>
          </w:p>
          <w:p w14:paraId="298674DD">
            <w:pP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kern w:val="0"/>
                <w:sz w:val="28"/>
                <w:szCs w:val="28"/>
                <w:highlight w:val="none"/>
              </w:rPr>
              <w:t>小写：     元（人民币）</w:t>
            </w:r>
          </w:p>
        </w:tc>
        <w:tc>
          <w:tcPr>
            <w:tcW w:w="1723" w:type="pct"/>
            <w:vAlign w:val="center"/>
          </w:tcPr>
          <w:p w14:paraId="42D85E87">
            <w:pPr>
              <w:spacing w:line="360" w:lineRule="auto"/>
              <w:rPr>
                <w:rFonts w:hint="eastAsia" w:ascii="宋体" w:hAnsi="宋体" w:eastAsia="宋体" w:cs="宋体"/>
                <w:color w:val="auto"/>
                <w:kern w:val="0"/>
                <w:sz w:val="28"/>
                <w:szCs w:val="28"/>
                <w:highlight w:val="none"/>
              </w:rPr>
            </w:pPr>
          </w:p>
        </w:tc>
      </w:tr>
    </w:tbl>
    <w:p w14:paraId="49165C18">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日期：</w:t>
      </w:r>
    </w:p>
    <w:p w14:paraId="2DA1C9D3">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填写说明：</w:t>
      </w:r>
    </w:p>
    <w:p w14:paraId="1F4F7D25">
      <w:pPr>
        <w:tabs>
          <w:tab w:val="left" w:pos="340"/>
        </w:tabs>
        <w:kinsoku w:val="0"/>
        <w:topLinePunct/>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（1）本表为格式表，不得自行改动，必须提供。</w:t>
      </w:r>
    </w:p>
    <w:p w14:paraId="227F1445">
      <w:pPr>
        <w:tabs>
          <w:tab w:val="left" w:pos="340"/>
        </w:tabs>
        <w:kinsoku w:val="0"/>
        <w:topLinePunct/>
        <w:snapToGrid w:val="0"/>
        <w:spacing w:line="360" w:lineRule="auto"/>
        <w:ind w:firstLine="560" w:firstLineChars="200"/>
        <w:rPr>
          <w:rFonts w:ascii="宋体" w:hAnsi="宋体" w:cs="宋体"/>
          <w:b/>
          <w:bCs/>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b/>
          <w:bCs/>
          <w:color w:val="auto"/>
          <w:sz w:val="28"/>
          <w:szCs w:val="28"/>
          <w:highlight w:val="none"/>
        </w:rPr>
        <w:t>本项目报价为固定价格报价，</w:t>
      </w:r>
      <w:r>
        <w:rPr>
          <w:rFonts w:hint="eastAsia" w:ascii="宋体" w:hAnsi="宋体" w:cs="宋体"/>
          <w:b/>
          <w:bCs/>
          <w:color w:val="auto"/>
          <w:sz w:val="28"/>
          <w:szCs w:val="28"/>
          <w:highlight w:val="none"/>
          <w:lang w:eastAsia="zh-CN"/>
        </w:rPr>
        <w:t>供应商</w:t>
      </w:r>
      <w:r>
        <w:rPr>
          <w:rFonts w:hint="eastAsia" w:ascii="宋体" w:hAnsi="宋体" w:cs="宋体"/>
          <w:b/>
          <w:bCs/>
          <w:color w:val="auto"/>
          <w:sz w:val="28"/>
          <w:szCs w:val="28"/>
          <w:highlight w:val="none"/>
        </w:rPr>
        <w:t>应充分考虑服务实施期间各类市场价格和政策性价格调整因素，确定价格风险计入总报价，今后不作调整。应包含但不限于如人工、搬运、机械费、制作、安装、税费、运输、售后服务及相关劳务支出等工作所发生的全部费用以及供应商企业利润、税金和政策性文件规定及合同包含的所有风险、责任，即本招标文件规定的各项应有费用。</w:t>
      </w:r>
    </w:p>
    <w:p w14:paraId="0B0E33A4">
      <w:pPr>
        <w:spacing w:line="460" w:lineRule="exact"/>
        <w:rPr>
          <w:rFonts w:ascii="宋体" w:hAnsi="宋体" w:cs="宋体"/>
          <w:color w:val="auto"/>
          <w:kern w:val="0"/>
          <w:sz w:val="32"/>
          <w:szCs w:val="32"/>
          <w:highlight w:val="none"/>
        </w:rPr>
        <w:sectPr>
          <w:pgSz w:w="11906" w:h="16838"/>
          <w:pgMar w:top="1440" w:right="1797" w:bottom="1440" w:left="1797" w:header="851" w:footer="992" w:gutter="0"/>
          <w:cols w:space="720" w:num="1"/>
          <w:docGrid w:type="lines" w:linePitch="312" w:charSpace="0"/>
        </w:sectPr>
      </w:pPr>
    </w:p>
    <w:p w14:paraId="1E2804BE">
      <w:pPr>
        <w:snapToGrid w:val="0"/>
        <w:spacing w:line="360" w:lineRule="auto"/>
        <w:rPr>
          <w:rFonts w:hint="default" w:ascii="宋体" w:hAnsi="宋体" w:eastAsia="宋体" w:cs="宋体"/>
          <w:color w:val="auto"/>
          <w:kern w:val="0"/>
          <w:sz w:val="32"/>
          <w:szCs w:val="32"/>
          <w:highlight w:val="none"/>
          <w:lang w:val="en-US" w:eastAsia="zh-CN"/>
        </w:rPr>
      </w:pPr>
      <w:r>
        <w:rPr>
          <w:rFonts w:hint="eastAsia" w:ascii="宋体" w:hAnsi="宋体" w:eastAsia="宋体" w:cs="宋体"/>
          <w:color w:val="auto"/>
          <w:kern w:val="0"/>
          <w:sz w:val="32"/>
          <w:szCs w:val="32"/>
          <w:highlight w:val="none"/>
        </w:rPr>
        <w:t>附件</w:t>
      </w:r>
      <w:r>
        <w:rPr>
          <w:rFonts w:hint="eastAsia" w:ascii="宋体" w:hAnsi="宋体" w:cs="宋体"/>
          <w:color w:val="auto"/>
          <w:kern w:val="0"/>
          <w:sz w:val="32"/>
          <w:szCs w:val="32"/>
          <w:highlight w:val="none"/>
          <w:lang w:val="en-US" w:eastAsia="zh-CN"/>
        </w:rPr>
        <w:t>7</w:t>
      </w:r>
    </w:p>
    <w:p w14:paraId="6E74C1FC">
      <w:pPr>
        <w:snapToGrid w:val="0"/>
        <w:spacing w:line="360" w:lineRule="auto"/>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分项报价明细表</w:t>
      </w:r>
    </w:p>
    <w:p w14:paraId="1F3A67E2">
      <w:pPr>
        <w:pStyle w:val="10"/>
        <w:rPr>
          <w:rFonts w:hint="eastAsia"/>
          <w:color w:val="auto"/>
          <w:highlight w:val="none"/>
          <w:lang w:eastAsia="zh-CN"/>
        </w:rPr>
      </w:pPr>
    </w:p>
    <w:tbl>
      <w:tblPr>
        <w:tblStyle w:val="30"/>
        <w:tblW w:w="8910" w:type="dxa"/>
        <w:tblInd w:w="-8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6"/>
        <w:gridCol w:w="3074"/>
        <w:gridCol w:w="2355"/>
        <w:gridCol w:w="1665"/>
      </w:tblGrid>
      <w:tr w14:paraId="5D061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1816" w:type="dxa"/>
            <w:vAlign w:val="center"/>
          </w:tcPr>
          <w:p w14:paraId="1F614B70">
            <w:pPr>
              <w:jc w:val="center"/>
              <w:rPr>
                <w:rFonts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序号</w:t>
            </w:r>
          </w:p>
        </w:tc>
        <w:tc>
          <w:tcPr>
            <w:tcW w:w="3074" w:type="dxa"/>
            <w:vAlign w:val="center"/>
          </w:tcPr>
          <w:p w14:paraId="563095C6">
            <w:pPr>
              <w:jc w:val="center"/>
              <w:rPr>
                <w:rFonts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费用名称</w:t>
            </w:r>
          </w:p>
        </w:tc>
        <w:tc>
          <w:tcPr>
            <w:tcW w:w="2355" w:type="dxa"/>
            <w:vAlign w:val="center"/>
          </w:tcPr>
          <w:p w14:paraId="666D5D67">
            <w:pPr>
              <w:jc w:val="center"/>
              <w:rPr>
                <w:rFonts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投标报价（元）</w:t>
            </w:r>
          </w:p>
        </w:tc>
        <w:tc>
          <w:tcPr>
            <w:tcW w:w="1665" w:type="dxa"/>
            <w:vAlign w:val="center"/>
          </w:tcPr>
          <w:p w14:paraId="6230E27C">
            <w:pPr>
              <w:jc w:val="center"/>
              <w:rPr>
                <w:rFonts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备注</w:t>
            </w:r>
          </w:p>
        </w:tc>
      </w:tr>
      <w:tr w14:paraId="6DB3A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816" w:type="dxa"/>
            <w:vAlign w:val="center"/>
          </w:tcPr>
          <w:p w14:paraId="5FA38708">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1</w:t>
            </w:r>
          </w:p>
        </w:tc>
        <w:tc>
          <w:tcPr>
            <w:tcW w:w="3074" w:type="dxa"/>
            <w:vAlign w:val="center"/>
          </w:tcPr>
          <w:p w14:paraId="3A3B6DCC">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普通设备拆装费</w:t>
            </w:r>
          </w:p>
        </w:tc>
        <w:tc>
          <w:tcPr>
            <w:tcW w:w="2355" w:type="dxa"/>
            <w:vAlign w:val="center"/>
          </w:tcPr>
          <w:p w14:paraId="022DCA55">
            <w:pPr>
              <w:jc w:val="center"/>
              <w:rPr>
                <w:rFonts w:asciiTheme="majorEastAsia" w:hAnsiTheme="majorEastAsia" w:eastAsiaTheme="majorEastAsia" w:cstheme="majorEastAsia"/>
                <w:color w:val="auto"/>
                <w:sz w:val="28"/>
                <w:szCs w:val="28"/>
                <w:highlight w:val="none"/>
              </w:rPr>
            </w:pPr>
          </w:p>
        </w:tc>
        <w:tc>
          <w:tcPr>
            <w:tcW w:w="1665" w:type="dxa"/>
            <w:vAlign w:val="center"/>
          </w:tcPr>
          <w:p w14:paraId="7438E108">
            <w:pPr>
              <w:jc w:val="center"/>
              <w:rPr>
                <w:rFonts w:asciiTheme="majorEastAsia" w:hAnsiTheme="majorEastAsia" w:eastAsiaTheme="majorEastAsia" w:cstheme="majorEastAsia"/>
                <w:color w:val="auto"/>
                <w:sz w:val="28"/>
                <w:szCs w:val="28"/>
                <w:highlight w:val="none"/>
              </w:rPr>
            </w:pPr>
          </w:p>
        </w:tc>
      </w:tr>
      <w:tr w14:paraId="57AB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816" w:type="dxa"/>
            <w:vAlign w:val="center"/>
          </w:tcPr>
          <w:p w14:paraId="19D2D020">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2</w:t>
            </w:r>
          </w:p>
        </w:tc>
        <w:tc>
          <w:tcPr>
            <w:tcW w:w="3074" w:type="dxa"/>
            <w:vAlign w:val="center"/>
          </w:tcPr>
          <w:p w14:paraId="2EB3E780">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物料打包费</w:t>
            </w:r>
          </w:p>
        </w:tc>
        <w:tc>
          <w:tcPr>
            <w:tcW w:w="2355" w:type="dxa"/>
            <w:vAlign w:val="center"/>
          </w:tcPr>
          <w:p w14:paraId="2E54359C">
            <w:pPr>
              <w:jc w:val="center"/>
              <w:rPr>
                <w:rFonts w:asciiTheme="majorEastAsia" w:hAnsiTheme="majorEastAsia" w:eastAsiaTheme="majorEastAsia" w:cstheme="majorEastAsia"/>
                <w:color w:val="auto"/>
                <w:sz w:val="28"/>
                <w:szCs w:val="28"/>
                <w:highlight w:val="none"/>
              </w:rPr>
            </w:pPr>
          </w:p>
        </w:tc>
        <w:tc>
          <w:tcPr>
            <w:tcW w:w="1665" w:type="dxa"/>
            <w:vAlign w:val="center"/>
          </w:tcPr>
          <w:p w14:paraId="0FD559B9">
            <w:pPr>
              <w:jc w:val="center"/>
              <w:rPr>
                <w:rFonts w:asciiTheme="majorEastAsia" w:hAnsiTheme="majorEastAsia" w:eastAsiaTheme="majorEastAsia" w:cstheme="majorEastAsia"/>
                <w:color w:val="auto"/>
                <w:sz w:val="28"/>
                <w:szCs w:val="28"/>
                <w:highlight w:val="none"/>
              </w:rPr>
            </w:pPr>
          </w:p>
        </w:tc>
      </w:tr>
      <w:tr w14:paraId="3E232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816" w:type="dxa"/>
            <w:vAlign w:val="center"/>
          </w:tcPr>
          <w:p w14:paraId="6C81DC67">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3</w:t>
            </w:r>
          </w:p>
        </w:tc>
        <w:tc>
          <w:tcPr>
            <w:tcW w:w="3074" w:type="dxa"/>
            <w:vAlign w:val="center"/>
          </w:tcPr>
          <w:p w14:paraId="634B22B3">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专用车辆及运输费</w:t>
            </w:r>
          </w:p>
        </w:tc>
        <w:tc>
          <w:tcPr>
            <w:tcW w:w="2355" w:type="dxa"/>
            <w:vAlign w:val="center"/>
          </w:tcPr>
          <w:p w14:paraId="16070AEB">
            <w:pPr>
              <w:jc w:val="center"/>
              <w:rPr>
                <w:rFonts w:asciiTheme="majorEastAsia" w:hAnsiTheme="majorEastAsia" w:eastAsiaTheme="majorEastAsia" w:cstheme="majorEastAsia"/>
                <w:color w:val="auto"/>
                <w:sz w:val="28"/>
                <w:szCs w:val="28"/>
                <w:highlight w:val="none"/>
              </w:rPr>
            </w:pPr>
          </w:p>
        </w:tc>
        <w:tc>
          <w:tcPr>
            <w:tcW w:w="1665" w:type="dxa"/>
            <w:vAlign w:val="center"/>
          </w:tcPr>
          <w:p w14:paraId="05647086">
            <w:pPr>
              <w:jc w:val="center"/>
              <w:rPr>
                <w:rFonts w:asciiTheme="majorEastAsia" w:hAnsiTheme="majorEastAsia" w:eastAsiaTheme="majorEastAsia" w:cstheme="majorEastAsia"/>
                <w:color w:val="auto"/>
                <w:sz w:val="28"/>
                <w:szCs w:val="28"/>
                <w:highlight w:val="none"/>
              </w:rPr>
            </w:pPr>
          </w:p>
        </w:tc>
      </w:tr>
      <w:tr w14:paraId="475F2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816" w:type="dxa"/>
            <w:vAlign w:val="center"/>
          </w:tcPr>
          <w:p w14:paraId="3394B0F2">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4</w:t>
            </w:r>
          </w:p>
        </w:tc>
        <w:tc>
          <w:tcPr>
            <w:tcW w:w="3074" w:type="dxa"/>
            <w:vAlign w:val="center"/>
          </w:tcPr>
          <w:p w14:paraId="645FE955">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搬迁人工费</w:t>
            </w:r>
          </w:p>
        </w:tc>
        <w:tc>
          <w:tcPr>
            <w:tcW w:w="2355" w:type="dxa"/>
            <w:vAlign w:val="center"/>
          </w:tcPr>
          <w:p w14:paraId="49BB5404">
            <w:pPr>
              <w:jc w:val="center"/>
              <w:rPr>
                <w:rFonts w:asciiTheme="majorEastAsia" w:hAnsiTheme="majorEastAsia" w:eastAsiaTheme="majorEastAsia" w:cstheme="majorEastAsia"/>
                <w:color w:val="auto"/>
                <w:sz w:val="28"/>
                <w:szCs w:val="28"/>
                <w:highlight w:val="none"/>
              </w:rPr>
            </w:pPr>
          </w:p>
        </w:tc>
        <w:tc>
          <w:tcPr>
            <w:tcW w:w="1665" w:type="dxa"/>
            <w:vAlign w:val="center"/>
          </w:tcPr>
          <w:p w14:paraId="319596D6">
            <w:pPr>
              <w:jc w:val="center"/>
              <w:rPr>
                <w:rFonts w:asciiTheme="majorEastAsia" w:hAnsiTheme="majorEastAsia" w:eastAsiaTheme="majorEastAsia" w:cstheme="majorEastAsia"/>
                <w:color w:val="auto"/>
                <w:sz w:val="28"/>
                <w:szCs w:val="28"/>
                <w:highlight w:val="none"/>
              </w:rPr>
            </w:pPr>
          </w:p>
        </w:tc>
      </w:tr>
      <w:tr w14:paraId="6424B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816" w:type="dxa"/>
            <w:vAlign w:val="center"/>
          </w:tcPr>
          <w:p w14:paraId="0C7CC48E">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5</w:t>
            </w:r>
          </w:p>
        </w:tc>
        <w:tc>
          <w:tcPr>
            <w:tcW w:w="3074" w:type="dxa"/>
            <w:vAlign w:val="center"/>
          </w:tcPr>
          <w:p w14:paraId="1A4BCC82">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技术服务保险等费</w:t>
            </w:r>
          </w:p>
        </w:tc>
        <w:tc>
          <w:tcPr>
            <w:tcW w:w="2355" w:type="dxa"/>
            <w:vAlign w:val="center"/>
          </w:tcPr>
          <w:p w14:paraId="28ED492D">
            <w:pPr>
              <w:jc w:val="center"/>
              <w:rPr>
                <w:rFonts w:asciiTheme="majorEastAsia" w:hAnsiTheme="majorEastAsia" w:eastAsiaTheme="majorEastAsia" w:cstheme="majorEastAsia"/>
                <w:color w:val="auto"/>
                <w:sz w:val="28"/>
                <w:szCs w:val="28"/>
                <w:highlight w:val="none"/>
              </w:rPr>
            </w:pPr>
          </w:p>
        </w:tc>
        <w:tc>
          <w:tcPr>
            <w:tcW w:w="1665" w:type="dxa"/>
            <w:vAlign w:val="center"/>
          </w:tcPr>
          <w:p w14:paraId="79CDBC7E">
            <w:pPr>
              <w:jc w:val="center"/>
              <w:rPr>
                <w:rFonts w:asciiTheme="majorEastAsia" w:hAnsiTheme="majorEastAsia" w:eastAsiaTheme="majorEastAsia" w:cstheme="majorEastAsia"/>
                <w:color w:val="auto"/>
                <w:sz w:val="28"/>
                <w:szCs w:val="28"/>
                <w:highlight w:val="none"/>
              </w:rPr>
            </w:pPr>
          </w:p>
        </w:tc>
      </w:tr>
      <w:tr w14:paraId="40F2C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816" w:type="dxa"/>
            <w:vAlign w:val="center"/>
          </w:tcPr>
          <w:p w14:paraId="5A13C5ED">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6</w:t>
            </w:r>
          </w:p>
        </w:tc>
        <w:tc>
          <w:tcPr>
            <w:tcW w:w="3074" w:type="dxa"/>
            <w:vAlign w:val="center"/>
          </w:tcPr>
          <w:p w14:paraId="7DB3CD74">
            <w:pPr>
              <w:jc w:val="center"/>
              <w:rPr>
                <w:rFonts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b/>
                <w:bCs/>
                <w:color w:val="auto"/>
                <w:sz w:val="28"/>
                <w:szCs w:val="28"/>
                <w:highlight w:val="none"/>
              </w:rPr>
              <w:t>合计（元）</w:t>
            </w:r>
          </w:p>
        </w:tc>
        <w:tc>
          <w:tcPr>
            <w:tcW w:w="2355" w:type="dxa"/>
            <w:vAlign w:val="center"/>
          </w:tcPr>
          <w:p w14:paraId="5250BCDB">
            <w:pPr>
              <w:jc w:val="center"/>
              <w:rPr>
                <w:rFonts w:asciiTheme="majorEastAsia" w:hAnsiTheme="majorEastAsia" w:eastAsiaTheme="majorEastAsia" w:cstheme="majorEastAsia"/>
                <w:color w:val="auto"/>
                <w:sz w:val="28"/>
                <w:szCs w:val="28"/>
                <w:highlight w:val="none"/>
              </w:rPr>
            </w:pPr>
          </w:p>
        </w:tc>
        <w:tc>
          <w:tcPr>
            <w:tcW w:w="1665" w:type="dxa"/>
            <w:vAlign w:val="center"/>
          </w:tcPr>
          <w:p w14:paraId="6F976FB6">
            <w:pPr>
              <w:jc w:val="center"/>
              <w:rPr>
                <w:rFonts w:asciiTheme="majorEastAsia" w:hAnsiTheme="majorEastAsia" w:eastAsiaTheme="majorEastAsia" w:cstheme="majorEastAsia"/>
                <w:color w:val="auto"/>
                <w:sz w:val="28"/>
                <w:szCs w:val="28"/>
                <w:highlight w:val="none"/>
              </w:rPr>
            </w:pPr>
          </w:p>
        </w:tc>
      </w:tr>
    </w:tbl>
    <w:p w14:paraId="03098916">
      <w:pPr>
        <w:widowControl/>
        <w:adjustRightInd w:val="0"/>
        <w:spacing w:line="480" w:lineRule="auto"/>
        <w:jc w:val="both"/>
        <w:rPr>
          <w:rFonts w:hint="eastAsia" w:ascii="宋体" w:hAnsi="宋体" w:eastAsia="宋体" w:cs="宋体"/>
          <w:color w:val="auto"/>
          <w:kern w:val="0"/>
          <w:sz w:val="20"/>
          <w:szCs w:val="21"/>
          <w:highlight w:val="none"/>
          <w:lang w:val="zh-CN"/>
        </w:rPr>
      </w:pPr>
    </w:p>
    <w:p w14:paraId="3AA049C1">
      <w:pPr>
        <w:spacing w:line="360" w:lineRule="auto"/>
        <w:ind w:firstLine="3080" w:firstLineChars="1100"/>
        <w:jc w:val="center"/>
        <w:rPr>
          <w:rFonts w:hint="eastAsia" w:ascii="宋体" w:hAnsi="宋体" w:eastAsia="宋体" w:cs="宋体"/>
          <w:color w:val="auto"/>
          <w:kern w:val="0"/>
          <w:sz w:val="28"/>
          <w:szCs w:val="28"/>
          <w:highlight w:val="none"/>
          <w:lang w:val="zh-CN" w:bidi="ar"/>
        </w:rPr>
      </w:pPr>
    </w:p>
    <w:p w14:paraId="35FFA353">
      <w:pPr>
        <w:spacing w:line="360" w:lineRule="auto"/>
        <w:ind w:firstLine="3080" w:firstLineChars="1100"/>
        <w:jc w:val="center"/>
        <w:rPr>
          <w:rFonts w:hint="eastAsia" w:ascii="宋体" w:hAnsi="宋体" w:eastAsia="宋体" w:cs="宋体"/>
          <w:color w:val="auto"/>
          <w:kern w:val="0"/>
          <w:sz w:val="28"/>
          <w:szCs w:val="28"/>
          <w:highlight w:val="none"/>
          <w:lang w:val="zh-CN" w:bidi="ar"/>
        </w:rPr>
      </w:pPr>
    </w:p>
    <w:p w14:paraId="6E7EDB82">
      <w:pPr>
        <w:spacing w:line="360" w:lineRule="auto"/>
        <w:ind w:firstLine="3080" w:firstLineChars="1100"/>
        <w:jc w:val="center"/>
        <w:rPr>
          <w:rFonts w:hint="eastAsia" w:ascii="宋体" w:hAnsi="宋体" w:eastAsia="宋体" w:cs="宋体"/>
          <w:color w:val="auto"/>
          <w:kern w:val="0"/>
          <w:sz w:val="28"/>
          <w:szCs w:val="28"/>
          <w:highlight w:val="none"/>
          <w:u w:val="single"/>
          <w:lang w:val="zh-CN"/>
        </w:rPr>
      </w:pPr>
      <w:r>
        <w:rPr>
          <w:rFonts w:hint="eastAsia" w:ascii="宋体" w:hAnsi="宋体" w:cs="宋体"/>
          <w:color w:val="auto"/>
          <w:kern w:val="0"/>
          <w:sz w:val="28"/>
          <w:szCs w:val="28"/>
          <w:highlight w:val="none"/>
          <w:lang w:val="en-US" w:eastAsia="zh-CN" w:bidi="ar"/>
        </w:rPr>
        <w:t>供应商</w:t>
      </w:r>
      <w:r>
        <w:rPr>
          <w:rFonts w:hint="eastAsia" w:ascii="宋体" w:hAnsi="宋体" w:eastAsia="宋体" w:cs="宋体"/>
          <w:color w:val="auto"/>
          <w:kern w:val="0"/>
          <w:sz w:val="28"/>
          <w:szCs w:val="28"/>
          <w:highlight w:val="none"/>
          <w:lang w:val="zh-CN" w:bidi="ar"/>
        </w:rPr>
        <w:t>全称(盖公章)：</w:t>
      </w:r>
    </w:p>
    <w:p w14:paraId="494F17D3">
      <w:pPr>
        <w:spacing w:line="360" w:lineRule="auto"/>
        <w:ind w:firstLine="2240" w:firstLineChars="800"/>
        <w:rPr>
          <w:rFonts w:hint="eastAsia" w:ascii="宋体" w:hAnsi="宋体" w:eastAsia="宋体" w:cs="宋体"/>
          <w:color w:val="auto"/>
          <w:sz w:val="28"/>
          <w:szCs w:val="28"/>
          <w:highlight w:val="none"/>
          <w:u w:val="single"/>
          <w:lang w:val="zh-CN"/>
        </w:rPr>
      </w:pPr>
      <w:r>
        <w:rPr>
          <w:rFonts w:hint="eastAsia" w:ascii="宋体" w:hAnsi="宋体" w:eastAsia="宋体" w:cs="宋体"/>
          <w:color w:val="auto"/>
          <w:kern w:val="0"/>
          <w:sz w:val="28"/>
          <w:szCs w:val="28"/>
          <w:highlight w:val="none"/>
          <w:lang w:val="zh-CN" w:bidi="ar"/>
        </w:rPr>
        <w:t>法定代表人</w:t>
      </w:r>
      <w:r>
        <w:rPr>
          <w:rFonts w:hint="eastAsia" w:ascii="宋体" w:hAnsi="宋体" w:eastAsia="宋体" w:cs="宋体"/>
          <w:color w:val="auto"/>
          <w:kern w:val="0"/>
          <w:sz w:val="28"/>
          <w:szCs w:val="28"/>
          <w:highlight w:val="none"/>
          <w:lang w:bidi="ar"/>
        </w:rPr>
        <w:t>或授权委托人</w:t>
      </w:r>
      <w:r>
        <w:rPr>
          <w:rFonts w:hint="eastAsia" w:ascii="宋体" w:hAnsi="宋体" w:eastAsia="宋体" w:cs="宋体"/>
          <w:color w:val="auto"/>
          <w:kern w:val="0"/>
          <w:sz w:val="28"/>
          <w:szCs w:val="28"/>
          <w:highlight w:val="none"/>
          <w:lang w:val="zh-CN" w:bidi="ar"/>
        </w:rPr>
        <w:t>（签字或盖章）：</w:t>
      </w:r>
    </w:p>
    <w:p w14:paraId="18B4DE75">
      <w:pPr>
        <w:snapToGrid w:val="0"/>
        <w:spacing w:line="300" w:lineRule="auto"/>
        <w:ind w:firstLine="3920" w:firstLineChars="1400"/>
        <w:outlineLvl w:val="0"/>
        <w:rPr>
          <w:rFonts w:hint="eastAsia" w:ascii="宋体" w:hAnsi="宋体" w:eastAsia="宋体" w:cs="宋体"/>
          <w:color w:val="auto"/>
          <w:sz w:val="32"/>
          <w:szCs w:val="32"/>
          <w:highlight w:val="none"/>
        </w:rPr>
      </w:pPr>
      <w:r>
        <w:rPr>
          <w:rFonts w:hint="eastAsia" w:ascii="宋体" w:hAnsi="宋体" w:eastAsia="宋体" w:cs="宋体"/>
          <w:color w:val="auto"/>
          <w:kern w:val="0"/>
          <w:sz w:val="28"/>
          <w:szCs w:val="28"/>
          <w:highlight w:val="none"/>
          <w:lang w:val="zh-CN" w:bidi="ar"/>
        </w:rPr>
        <w:t>时间：  年  月   日</w:t>
      </w:r>
    </w:p>
    <w:p w14:paraId="33C7A018">
      <w:pPr>
        <w:spacing w:line="360" w:lineRule="auto"/>
        <w:rPr>
          <w:rFonts w:ascii="宋体" w:hAnsi="宋体" w:cs="宋体"/>
          <w:color w:val="auto"/>
          <w:highlight w:val="none"/>
        </w:rPr>
      </w:pPr>
    </w:p>
    <w:p w14:paraId="119BD249">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39A1E87A">
      <w:pPr>
        <w:snapToGrid w:val="0"/>
        <w:spacing w:line="360" w:lineRule="auto"/>
        <w:rPr>
          <w:rFonts w:hint="eastAsia" w:ascii="宋体" w:hAnsi="宋体" w:cs="宋体"/>
          <w:color w:val="auto"/>
          <w:sz w:val="32"/>
          <w:szCs w:val="32"/>
          <w:highlight w:val="none"/>
        </w:rPr>
        <w:sectPr>
          <w:pgSz w:w="11907" w:h="16839"/>
          <w:pgMar w:top="1440" w:right="1803" w:bottom="1440" w:left="1803" w:header="720" w:footer="720" w:gutter="0"/>
          <w:pgNumType w:fmt="decimal"/>
          <w:cols w:space="720" w:num="1"/>
          <w:docGrid w:linePitch="286" w:charSpace="0"/>
        </w:sectPr>
      </w:pPr>
    </w:p>
    <w:p w14:paraId="09C58529">
      <w:pPr>
        <w:jc w:val="left"/>
        <w:rPr>
          <w:rFonts w:hint="default" w:ascii="宋体" w:hAnsi="宋体" w:eastAsia="宋体" w:cs="宋体"/>
          <w:bCs/>
          <w:color w:val="auto"/>
          <w:sz w:val="32"/>
          <w:szCs w:val="32"/>
          <w:highlight w:val="none"/>
          <w:lang w:val="en-US" w:eastAsia="zh-CN" w:bidi="ar"/>
        </w:rPr>
      </w:pPr>
      <w:r>
        <w:rPr>
          <w:rFonts w:hint="eastAsia" w:ascii="宋体" w:hAnsi="宋体" w:eastAsia="宋体" w:cs="宋体"/>
          <w:bCs/>
          <w:color w:val="auto"/>
          <w:sz w:val="32"/>
          <w:szCs w:val="32"/>
          <w:highlight w:val="none"/>
          <w:lang w:bidi="ar"/>
        </w:rPr>
        <w:t>附件</w:t>
      </w:r>
      <w:r>
        <w:rPr>
          <w:rFonts w:hint="eastAsia" w:ascii="宋体" w:hAnsi="宋体" w:cs="宋体"/>
          <w:bCs/>
          <w:color w:val="auto"/>
          <w:sz w:val="32"/>
          <w:szCs w:val="32"/>
          <w:highlight w:val="none"/>
          <w:lang w:val="en-US" w:eastAsia="zh-CN" w:bidi="ar"/>
        </w:rPr>
        <w:t>8</w:t>
      </w:r>
    </w:p>
    <w:p w14:paraId="746A6038">
      <w:pPr>
        <w:spacing w:before="240" w:line="312" w:lineRule="auto"/>
        <w:jc w:val="center"/>
        <w:rPr>
          <w:rFonts w:hint="eastAsia" w:ascii="宋体" w:hAnsi="宋体" w:eastAsia="宋体" w:cs="宋体"/>
          <w:b/>
          <w:color w:val="auto"/>
          <w:sz w:val="32"/>
          <w:szCs w:val="32"/>
          <w:highlight w:val="none"/>
          <w:lang w:bidi="ar"/>
        </w:rPr>
      </w:pPr>
      <w:r>
        <w:rPr>
          <w:rFonts w:hint="eastAsia" w:ascii="宋体" w:hAnsi="宋体" w:cs="宋体"/>
          <w:b/>
          <w:color w:val="auto"/>
          <w:sz w:val="32"/>
          <w:szCs w:val="32"/>
          <w:highlight w:val="none"/>
          <w:lang w:val="en-US" w:eastAsia="zh-CN" w:bidi="ar"/>
        </w:rPr>
        <w:t>供应商</w:t>
      </w:r>
      <w:r>
        <w:rPr>
          <w:rFonts w:hint="eastAsia" w:ascii="宋体" w:hAnsi="宋体" w:eastAsia="宋体" w:cs="宋体"/>
          <w:b/>
          <w:color w:val="auto"/>
          <w:sz w:val="32"/>
          <w:szCs w:val="32"/>
          <w:highlight w:val="none"/>
          <w:lang w:bidi="ar"/>
        </w:rPr>
        <w:t>信用承诺书</w:t>
      </w:r>
    </w:p>
    <w:p w14:paraId="3FC124E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为营造公开、公平、公正的</w:t>
      </w:r>
      <w:r>
        <w:rPr>
          <w:rFonts w:hint="eastAsia" w:ascii="宋体" w:hAnsi="宋体" w:cs="宋体"/>
          <w:color w:val="auto"/>
          <w:kern w:val="0"/>
          <w:sz w:val="28"/>
          <w:szCs w:val="28"/>
          <w:highlight w:val="none"/>
          <w:lang w:val="en-US" w:eastAsia="zh-CN" w:bidi="ar"/>
        </w:rPr>
        <w:t>招标</w:t>
      </w:r>
      <w:r>
        <w:rPr>
          <w:rFonts w:hint="eastAsia" w:ascii="宋体" w:hAnsi="宋体" w:eastAsia="宋体" w:cs="宋体"/>
          <w:color w:val="auto"/>
          <w:kern w:val="0"/>
          <w:sz w:val="28"/>
          <w:szCs w:val="28"/>
          <w:highlight w:val="none"/>
          <w:lang w:val="en-US" w:eastAsia="zh-CN" w:bidi="ar"/>
        </w:rPr>
        <w:t>采购交易环境，树立诚信守法的</w:t>
      </w:r>
      <w:r>
        <w:rPr>
          <w:rFonts w:hint="eastAsia" w:ascii="宋体" w:hAnsi="宋体" w:cs="宋体"/>
          <w:color w:val="auto"/>
          <w:kern w:val="0"/>
          <w:sz w:val="28"/>
          <w:szCs w:val="28"/>
          <w:highlight w:val="none"/>
          <w:lang w:val="en-US" w:eastAsia="zh-CN" w:bidi="ar"/>
        </w:rPr>
        <w:t>供应商</w:t>
      </w:r>
      <w:r>
        <w:rPr>
          <w:rFonts w:hint="eastAsia" w:ascii="宋体" w:hAnsi="宋体" w:eastAsia="宋体" w:cs="宋体"/>
          <w:color w:val="auto"/>
          <w:kern w:val="0"/>
          <w:sz w:val="28"/>
          <w:szCs w:val="28"/>
          <w:highlight w:val="none"/>
          <w:lang w:val="en-US" w:eastAsia="zh-CN" w:bidi="ar"/>
        </w:rPr>
        <w:t>形象，本人代表本单位作出以下承诺：</w:t>
      </w:r>
    </w:p>
    <w:p w14:paraId="3E46F2A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一、本单位对所提交的单位基本信息、法定代表人、项目负责人、技术负责人、从业资质和资格、业绩、财务状况、信誉等所有资料，均合法、真实、准确、有效，无任何伪造、修改、虚假成分。</w:t>
      </w:r>
    </w:p>
    <w:p w14:paraId="1478586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二、严格依照国家、省、市关于政府采购及</w:t>
      </w:r>
      <w:r>
        <w:rPr>
          <w:rFonts w:hint="eastAsia" w:ascii="宋体" w:hAnsi="宋体" w:cs="宋体"/>
          <w:color w:val="auto"/>
          <w:kern w:val="0"/>
          <w:sz w:val="28"/>
          <w:szCs w:val="28"/>
          <w:highlight w:val="none"/>
          <w:lang w:val="en-US" w:eastAsia="zh-CN" w:bidi="ar"/>
        </w:rPr>
        <w:t>采购单位</w:t>
      </w:r>
      <w:r>
        <w:rPr>
          <w:rFonts w:hint="eastAsia" w:ascii="宋体" w:hAnsi="宋体" w:eastAsia="宋体" w:cs="宋体"/>
          <w:color w:val="auto"/>
          <w:kern w:val="0"/>
          <w:sz w:val="28"/>
          <w:szCs w:val="28"/>
          <w:highlight w:val="none"/>
          <w:lang w:val="en-US" w:eastAsia="zh-CN" w:bidi="ar"/>
        </w:rPr>
        <w:t>自行采购相关法律法规、规章、规范性文件，依法参与本次采购投标活动，恪守职业道德，促进廉洁采购。</w:t>
      </w:r>
    </w:p>
    <w:p w14:paraId="6F064E9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三、自我约束、自我管理，守合同、重信用，不参与围标串标、弄虚作假、骗取中标、干扰评标、违约毁约、恶意质疑投诉等行为，自觉维护本次采购活动的良好秩序。</w:t>
      </w:r>
    </w:p>
    <w:p w14:paraId="6FBFA43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四、本单位自愿接受采购人、采购代理机构及</w:t>
      </w:r>
      <w:r>
        <w:rPr>
          <w:rFonts w:hint="eastAsia" w:ascii="宋体" w:hAnsi="宋体" w:cs="宋体"/>
          <w:color w:val="auto"/>
          <w:kern w:val="0"/>
          <w:sz w:val="28"/>
          <w:szCs w:val="28"/>
          <w:highlight w:val="none"/>
          <w:lang w:val="en-US" w:eastAsia="zh-CN" w:bidi="ar"/>
        </w:rPr>
        <w:t>采购单位</w:t>
      </w:r>
      <w:r>
        <w:rPr>
          <w:rFonts w:hint="eastAsia" w:ascii="宋体" w:hAnsi="宋体" w:eastAsia="宋体" w:cs="宋体"/>
          <w:color w:val="auto"/>
          <w:kern w:val="0"/>
          <w:sz w:val="28"/>
          <w:szCs w:val="28"/>
          <w:highlight w:val="none"/>
          <w:lang w:val="en-US" w:eastAsia="zh-CN" w:bidi="ar"/>
        </w:rPr>
        <w:t>纪检监察部门的依法监督检查。如发生违法违规或失信行为，自愿接受相应处理，并依法承担全部法律责任。</w:t>
      </w:r>
    </w:p>
    <w:p w14:paraId="3B5603A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五、自觉保护采购相关信息安全，严格履行保密义务，不泄露招标文件、投标文件及评审过程中的非公开信息。</w:t>
      </w:r>
    </w:p>
    <w:p w14:paraId="0E502A8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六、上述承诺已在本单位内部告知全体参与人员，承诺内容真实有效，愿接受社会监督。</w:t>
      </w:r>
    </w:p>
    <w:p w14:paraId="7F085876">
      <w:pPr>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hint="eastAsia" w:ascii="宋体" w:hAnsi="宋体" w:eastAsia="宋体" w:cs="宋体"/>
          <w:b/>
          <w:bCs/>
          <w:color w:val="auto"/>
          <w:kern w:val="0"/>
          <w:sz w:val="28"/>
          <w:szCs w:val="28"/>
          <w:highlight w:val="none"/>
          <w:lang w:val="zh-CN" w:bidi="ar"/>
        </w:rPr>
      </w:pPr>
      <w:r>
        <w:rPr>
          <w:rFonts w:hint="eastAsia" w:ascii="宋体" w:hAnsi="宋体" w:eastAsia="宋体" w:cs="宋体"/>
          <w:b/>
          <w:bCs/>
          <w:color w:val="auto"/>
          <w:kern w:val="0"/>
          <w:sz w:val="28"/>
          <w:szCs w:val="28"/>
          <w:highlight w:val="none"/>
          <w:lang w:val="en-US" w:eastAsia="zh-CN" w:bidi="ar"/>
        </w:rPr>
        <w:t>如有违反上述承诺的行为，本单位自愿承担相应责任，同意采购人按规定取消投标</w:t>
      </w:r>
      <w:r>
        <w:rPr>
          <w:rFonts w:hint="eastAsia" w:ascii="宋体" w:hAnsi="宋体" w:cs="宋体"/>
          <w:b/>
          <w:bCs/>
          <w:color w:val="auto"/>
          <w:kern w:val="0"/>
          <w:sz w:val="28"/>
          <w:szCs w:val="28"/>
          <w:highlight w:val="none"/>
          <w:lang w:val="en-US" w:eastAsia="zh-CN" w:bidi="ar"/>
        </w:rPr>
        <w:t>/</w:t>
      </w:r>
      <w:r>
        <w:rPr>
          <w:rFonts w:hint="eastAsia" w:ascii="宋体" w:hAnsi="宋体" w:eastAsia="宋体" w:cs="宋体"/>
          <w:b/>
          <w:bCs/>
          <w:color w:val="auto"/>
          <w:kern w:val="0"/>
          <w:sz w:val="28"/>
          <w:szCs w:val="28"/>
          <w:highlight w:val="none"/>
          <w:lang w:val="en-US" w:eastAsia="zh-CN" w:bidi="ar"/>
        </w:rPr>
        <w:t>中标资格、列入</w:t>
      </w:r>
      <w:r>
        <w:rPr>
          <w:rFonts w:hint="eastAsia" w:ascii="宋体" w:hAnsi="宋体" w:cs="宋体"/>
          <w:b/>
          <w:bCs/>
          <w:color w:val="auto"/>
          <w:kern w:val="0"/>
          <w:sz w:val="28"/>
          <w:szCs w:val="28"/>
          <w:highlight w:val="none"/>
          <w:lang w:val="en-US" w:eastAsia="zh-CN" w:bidi="ar"/>
        </w:rPr>
        <w:t>采购单位</w:t>
      </w:r>
      <w:r>
        <w:rPr>
          <w:rFonts w:hint="eastAsia" w:ascii="宋体" w:hAnsi="宋体" w:eastAsia="宋体" w:cs="宋体"/>
          <w:b/>
          <w:bCs/>
          <w:color w:val="auto"/>
          <w:kern w:val="0"/>
          <w:sz w:val="28"/>
          <w:szCs w:val="28"/>
          <w:highlight w:val="none"/>
          <w:lang w:val="en-US" w:eastAsia="zh-CN" w:bidi="ar"/>
        </w:rPr>
        <w:t>采购失信名单，并依法追究法律责任。</w:t>
      </w:r>
    </w:p>
    <w:p w14:paraId="7E03E09F">
      <w:pPr>
        <w:spacing w:line="360" w:lineRule="auto"/>
        <w:ind w:firstLine="3080" w:firstLineChars="1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2901C7A6">
      <w:pPr>
        <w:spacing w:line="360" w:lineRule="auto"/>
        <w:ind w:firstLine="3080" w:firstLineChars="1100"/>
        <w:jc w:val="center"/>
        <w:rPr>
          <w:rFonts w:hint="eastAsia" w:ascii="宋体" w:hAnsi="宋体" w:eastAsia="宋体" w:cs="宋体"/>
          <w:color w:val="auto"/>
          <w:kern w:val="0"/>
          <w:sz w:val="28"/>
          <w:szCs w:val="28"/>
          <w:highlight w:val="none"/>
          <w:u w:val="single"/>
          <w:lang w:val="zh-CN"/>
        </w:rPr>
      </w:pPr>
      <w:r>
        <w:rPr>
          <w:rFonts w:hint="eastAsia" w:ascii="宋体" w:hAnsi="宋体" w:cs="宋体"/>
          <w:color w:val="auto"/>
          <w:kern w:val="0"/>
          <w:sz w:val="28"/>
          <w:szCs w:val="28"/>
          <w:highlight w:val="none"/>
          <w:lang w:val="en-US" w:eastAsia="zh-CN" w:bidi="ar"/>
        </w:rPr>
        <w:t>供应商</w:t>
      </w:r>
      <w:r>
        <w:rPr>
          <w:rFonts w:hint="eastAsia" w:ascii="宋体" w:hAnsi="宋体" w:eastAsia="宋体" w:cs="宋体"/>
          <w:color w:val="auto"/>
          <w:kern w:val="0"/>
          <w:sz w:val="28"/>
          <w:szCs w:val="28"/>
          <w:highlight w:val="none"/>
          <w:lang w:val="zh-CN" w:bidi="ar"/>
        </w:rPr>
        <w:t>全称(盖公章)：</w:t>
      </w:r>
    </w:p>
    <w:p w14:paraId="4E745171">
      <w:pPr>
        <w:spacing w:line="360" w:lineRule="auto"/>
        <w:ind w:firstLine="2240" w:firstLineChars="800"/>
        <w:rPr>
          <w:rFonts w:hint="eastAsia" w:ascii="宋体" w:hAnsi="宋体" w:eastAsia="宋体" w:cs="宋体"/>
          <w:color w:val="auto"/>
          <w:sz w:val="28"/>
          <w:szCs w:val="28"/>
          <w:highlight w:val="none"/>
          <w:u w:val="single"/>
          <w:lang w:val="zh-CN"/>
        </w:rPr>
      </w:pPr>
      <w:r>
        <w:rPr>
          <w:rFonts w:hint="eastAsia" w:ascii="宋体" w:hAnsi="宋体" w:eastAsia="宋体" w:cs="宋体"/>
          <w:color w:val="auto"/>
          <w:kern w:val="0"/>
          <w:sz w:val="28"/>
          <w:szCs w:val="28"/>
          <w:highlight w:val="none"/>
          <w:lang w:val="zh-CN" w:bidi="ar"/>
        </w:rPr>
        <w:t>法定代表人</w:t>
      </w:r>
      <w:r>
        <w:rPr>
          <w:rFonts w:hint="eastAsia" w:ascii="宋体" w:hAnsi="宋体" w:eastAsia="宋体" w:cs="宋体"/>
          <w:color w:val="auto"/>
          <w:kern w:val="0"/>
          <w:sz w:val="28"/>
          <w:szCs w:val="28"/>
          <w:highlight w:val="none"/>
          <w:lang w:bidi="ar"/>
        </w:rPr>
        <w:t>或授权委托人</w:t>
      </w:r>
      <w:r>
        <w:rPr>
          <w:rFonts w:hint="eastAsia" w:ascii="宋体" w:hAnsi="宋体" w:eastAsia="宋体" w:cs="宋体"/>
          <w:color w:val="auto"/>
          <w:kern w:val="0"/>
          <w:sz w:val="28"/>
          <w:szCs w:val="28"/>
          <w:highlight w:val="none"/>
          <w:lang w:val="zh-CN" w:bidi="ar"/>
        </w:rPr>
        <w:t>（签字或盖章）：</w:t>
      </w:r>
    </w:p>
    <w:p w14:paraId="3FB571CC">
      <w:pPr>
        <w:snapToGrid w:val="0"/>
        <w:spacing w:line="300" w:lineRule="auto"/>
        <w:ind w:firstLine="3920" w:firstLineChars="1400"/>
        <w:outlineLvl w:val="0"/>
        <w:rPr>
          <w:rFonts w:hint="eastAsia" w:ascii="宋体" w:hAnsi="宋体" w:eastAsia="宋体" w:cs="宋体"/>
          <w:color w:val="auto"/>
          <w:sz w:val="32"/>
          <w:szCs w:val="32"/>
          <w:highlight w:val="none"/>
        </w:rPr>
      </w:pPr>
      <w:r>
        <w:rPr>
          <w:rFonts w:hint="eastAsia" w:ascii="宋体" w:hAnsi="宋体" w:eastAsia="宋体" w:cs="宋体"/>
          <w:color w:val="auto"/>
          <w:kern w:val="0"/>
          <w:sz w:val="28"/>
          <w:szCs w:val="28"/>
          <w:highlight w:val="none"/>
          <w:lang w:val="zh-CN" w:bidi="ar"/>
        </w:rPr>
        <w:t>时间：  年  月   日</w:t>
      </w:r>
    </w:p>
    <w:p w14:paraId="2C737774">
      <w:pPr>
        <w:snapToGrid w:val="0"/>
        <w:spacing w:line="360" w:lineRule="auto"/>
        <w:rPr>
          <w:rFonts w:hint="eastAsia" w:ascii="宋体" w:hAnsi="宋体" w:cs="宋体"/>
          <w:color w:val="auto"/>
          <w:sz w:val="32"/>
          <w:szCs w:val="32"/>
          <w:highlight w:val="none"/>
        </w:rPr>
        <w:sectPr>
          <w:pgSz w:w="11907" w:h="16839"/>
          <w:pgMar w:top="1440" w:right="1803" w:bottom="1440" w:left="1803" w:header="720" w:footer="720" w:gutter="0"/>
          <w:pgNumType w:fmt="decimal"/>
          <w:cols w:space="720" w:num="1"/>
          <w:docGrid w:linePitch="286" w:charSpace="0"/>
        </w:sectPr>
      </w:pPr>
    </w:p>
    <w:p w14:paraId="2A725A61">
      <w:pPr>
        <w:snapToGrid w:val="0"/>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9</w:t>
      </w:r>
    </w:p>
    <w:p w14:paraId="1A4710FB">
      <w:pPr>
        <w:spacing w:line="360" w:lineRule="auto"/>
        <w:jc w:val="center"/>
        <w:rPr>
          <w:rFonts w:ascii="宋体" w:hAnsi="宋体" w:cs="宋体"/>
          <w:bCs/>
          <w:color w:val="auto"/>
          <w:sz w:val="40"/>
          <w:szCs w:val="40"/>
          <w:highlight w:val="none"/>
        </w:rPr>
      </w:pPr>
      <w:r>
        <w:rPr>
          <w:rFonts w:hint="eastAsia" w:ascii="宋体" w:hAnsi="宋体" w:cs="宋体"/>
          <w:bCs/>
          <w:color w:val="auto"/>
          <w:sz w:val="40"/>
          <w:szCs w:val="40"/>
          <w:highlight w:val="none"/>
        </w:rPr>
        <w:t>质疑函范本</w:t>
      </w:r>
    </w:p>
    <w:p w14:paraId="5574411C">
      <w:pPr>
        <w:adjustRightInd w:val="0"/>
        <w:snapToGrid w:val="0"/>
        <w:spacing w:beforeLines="100"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一、质疑供应商基本信息</w:t>
      </w:r>
    </w:p>
    <w:p w14:paraId="2E8914C1">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质疑供应商：</w:t>
      </w:r>
    </w:p>
    <w:p w14:paraId="4B68E8FE">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地址：邮编：</w:t>
      </w:r>
    </w:p>
    <w:p w14:paraId="17BE2189">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联系人：联系电话：</w:t>
      </w:r>
    </w:p>
    <w:p w14:paraId="169DBBEC">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授权代表：</w:t>
      </w:r>
    </w:p>
    <w:p w14:paraId="2B044DF2">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联系电话：</w:t>
      </w:r>
    </w:p>
    <w:p w14:paraId="2CB41CFB">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地址：邮编：</w:t>
      </w:r>
    </w:p>
    <w:p w14:paraId="143E018F">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二、质疑项目基本情况</w:t>
      </w:r>
    </w:p>
    <w:p w14:paraId="7B4E7446">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质疑项目的名称：</w:t>
      </w:r>
    </w:p>
    <w:p w14:paraId="7F99739E">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质疑项目的编号：包号：</w:t>
      </w:r>
    </w:p>
    <w:p w14:paraId="03C4DF3E">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采购人名称：</w:t>
      </w:r>
    </w:p>
    <w:p w14:paraId="71D6DA7C">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采购文件获取日期：</w:t>
      </w:r>
    </w:p>
    <w:p w14:paraId="76BF983A">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三、质疑事项具体内容</w:t>
      </w:r>
    </w:p>
    <w:p w14:paraId="48266638">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质疑事项1：</w:t>
      </w:r>
    </w:p>
    <w:p w14:paraId="3F28057E">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事实依据：</w:t>
      </w:r>
    </w:p>
    <w:p w14:paraId="25CD79B1">
      <w:pPr>
        <w:adjustRightInd w:val="0"/>
        <w:snapToGrid w:val="0"/>
        <w:spacing w:line="360" w:lineRule="auto"/>
        <w:rPr>
          <w:rFonts w:ascii="宋体" w:hAnsi="宋体" w:cs="宋体"/>
          <w:color w:val="auto"/>
          <w:sz w:val="28"/>
          <w:szCs w:val="28"/>
          <w:highlight w:val="none"/>
        </w:rPr>
      </w:pPr>
    </w:p>
    <w:p w14:paraId="445723A2">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法律依据：</w:t>
      </w:r>
    </w:p>
    <w:p w14:paraId="73596CC1">
      <w:pPr>
        <w:adjustRightInd w:val="0"/>
        <w:snapToGrid w:val="0"/>
        <w:spacing w:line="360" w:lineRule="auto"/>
        <w:rPr>
          <w:rFonts w:ascii="宋体" w:hAnsi="宋体" w:cs="宋体"/>
          <w:color w:val="auto"/>
          <w:sz w:val="28"/>
          <w:szCs w:val="28"/>
          <w:highlight w:val="none"/>
          <w:u w:val="dotted"/>
        </w:rPr>
      </w:pPr>
    </w:p>
    <w:p w14:paraId="63DB75A8">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质疑事项2</w:t>
      </w:r>
    </w:p>
    <w:p w14:paraId="23342BBA">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w:t>
      </w:r>
    </w:p>
    <w:p w14:paraId="2AD23CBA">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四、与质疑事项相关的质疑请求</w:t>
      </w:r>
    </w:p>
    <w:p w14:paraId="4D814C5C">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请求：</w:t>
      </w:r>
    </w:p>
    <w:p w14:paraId="1EB5A45D">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p>
    <w:p w14:paraId="0B0ADBDB">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w:t>
      </w:r>
    </w:p>
    <w:p w14:paraId="1693E444">
      <w:pPr>
        <w:adjustRightInd w:val="0"/>
        <w:snapToGrid w:val="0"/>
        <w:spacing w:line="360" w:lineRule="auto"/>
        <w:rPr>
          <w:rFonts w:ascii="宋体" w:hAnsi="宋体" w:cs="宋体"/>
          <w:color w:val="auto"/>
          <w:sz w:val="28"/>
          <w:szCs w:val="28"/>
          <w:highlight w:val="none"/>
        </w:rPr>
      </w:pPr>
    </w:p>
    <w:p w14:paraId="761163D9">
      <w:pPr>
        <w:spacing w:line="360" w:lineRule="auto"/>
        <w:rPr>
          <w:rFonts w:ascii="宋体" w:hAnsi="宋体" w:cs="宋体"/>
          <w:b/>
          <w:color w:val="auto"/>
          <w:sz w:val="28"/>
          <w:szCs w:val="28"/>
          <w:highlight w:val="none"/>
        </w:rPr>
      </w:pPr>
    </w:p>
    <w:p w14:paraId="346A8DA7">
      <w:pPr>
        <w:spacing w:line="360" w:lineRule="auto"/>
        <w:rPr>
          <w:rFonts w:ascii="宋体" w:hAnsi="宋体" w:cs="宋体"/>
          <w:b/>
          <w:color w:val="auto"/>
          <w:sz w:val="28"/>
          <w:szCs w:val="28"/>
          <w:highlight w:val="none"/>
        </w:rPr>
      </w:pPr>
    </w:p>
    <w:p w14:paraId="5417D19F">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质疑函制作说明：</w:t>
      </w:r>
    </w:p>
    <w:p w14:paraId="107523B7">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1.供应商提出质疑时，应提交质疑函和必要的证明材料。</w:t>
      </w:r>
    </w:p>
    <w:p w14:paraId="6AEB8170">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2.质疑供应商若委托代理人进行质疑的，质疑函应按要求列明“授权代表”的有关内容，并在附件中提交由质疑</w:t>
      </w:r>
      <w:r>
        <w:rPr>
          <w:rFonts w:hint="eastAsia" w:ascii="宋体" w:hAnsi="宋体" w:cs="宋体"/>
          <w:color w:val="auto"/>
          <w:kern w:val="0"/>
          <w:sz w:val="28"/>
          <w:szCs w:val="28"/>
          <w:highlight w:val="none"/>
        </w:rPr>
        <w:t>供应商签署的授权委托书。授权委托书应载明代理人的姓名或者名称、代理事项、具体权限、期限和相关事项。</w:t>
      </w:r>
    </w:p>
    <w:p w14:paraId="33D832D3">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3.质疑供应商若对项目的某一分包进行质疑，质疑函中应列明具体分包号。</w:t>
      </w:r>
    </w:p>
    <w:p w14:paraId="2622FD45">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4.质疑函的质疑事项应具体、明确，并有必要的事实依据和法律依据。</w:t>
      </w:r>
    </w:p>
    <w:p w14:paraId="35D94A49">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5.质疑函的质疑请求应与质疑事项相关。</w:t>
      </w:r>
    </w:p>
    <w:p w14:paraId="56CBF8EC">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6.质疑供应商为自然人的，质疑函应由本人签字；质疑供应商为法人或者其他组织的，质疑函应由法定代表人、主要负责人，或者其授权代表签字或者盖章，并加盖公章。</w:t>
      </w:r>
    </w:p>
    <w:p w14:paraId="48DA4C61">
      <w:pPr>
        <w:widowControl/>
        <w:spacing w:line="360" w:lineRule="auto"/>
        <w:ind w:firstLine="560" w:firstLineChars="200"/>
        <w:jc w:val="left"/>
        <w:rPr>
          <w:rFonts w:ascii="宋体" w:hAnsi="宋体" w:cs="宋体"/>
          <w:color w:val="auto"/>
          <w:sz w:val="28"/>
          <w:szCs w:val="28"/>
          <w:highlight w:val="none"/>
        </w:rPr>
      </w:pPr>
    </w:p>
    <w:sectPr>
      <w:pgSz w:w="11907" w:h="16839"/>
      <w:pgMar w:top="1440" w:right="1803" w:bottom="1440" w:left="1803" w:header="720" w:footer="720" w:gutter="0"/>
      <w:pgNumType w:fmt="decimal"/>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D34EE21-430D-4718-8626-E3EE2B4909A2}"/>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709E0486-284E-4DE2-BA1F-232E01B8A424}"/>
  </w:font>
  <w:font w:name="新宋体">
    <w:panose1 w:val="02010609030101010101"/>
    <w:charset w:val="86"/>
    <w:family w:val="modern"/>
    <w:pitch w:val="default"/>
    <w:sig w:usb0="00000203" w:usb1="288F0000" w:usb2="0000000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FangSong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DB3D3">
    <w:pPr>
      <w:pStyle w:val="19"/>
      <w:jc w:val="center"/>
    </w:pPr>
    <w:r>
      <w:fldChar w:fldCharType="begin"/>
    </w:r>
    <w:r>
      <w:instrText xml:space="preserve">PAGE   \* MERGEFORMAT</w:instrText>
    </w:r>
    <w:r>
      <w:fldChar w:fldCharType="separate"/>
    </w:r>
    <w:r>
      <w:rPr>
        <w:lang w:val="zh-CN"/>
      </w:rPr>
      <w:t>31</w:t>
    </w:r>
    <w:r>
      <w:fldChar w:fldCharType="end"/>
    </w:r>
  </w:p>
  <w:p w14:paraId="69160612">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6A7F9">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A8C936">
                          <w:pPr>
                            <w:pStyle w:val="19"/>
                          </w:pPr>
                          <w:r>
                            <w:t xml:space="preserve">— </w:t>
                          </w:r>
                          <w:r>
                            <w:fldChar w:fldCharType="begin"/>
                          </w:r>
                          <w:r>
                            <w:instrText xml:space="preserve"> PAGE  \* MERGEFORMAT </w:instrText>
                          </w:r>
                          <w:r>
                            <w:fldChar w:fldCharType="separate"/>
                          </w:r>
                          <w:r>
                            <w:t>29</w:t>
                          </w:r>
                          <w:r>
                            <w:fldChar w:fldCharType="end"/>
                          </w:r>
                          <w:r>
                            <w:t xml:space="preserve"> —</w:t>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yefv8kBAACZAwAADgAAAGRycy9lMm9Eb2MueG1srVPNjtMwEL4j8Q6W&#10;79Rph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I6&#10;29MHqLHrIWBfGu78kFunPGAyqx5UtPmNegjW0dzz1Vw5JCLyR+vVel1hSWBtPiAOe/w8REhvpbck&#10;Bw2NeHvFVH56D2lsnVvyNOfvtTGY57VxfyUQM2dY5j5yzFEa9sNEfO/bM+rp8eIb6nDPKTHvHPqa&#10;d2QO4hzs5+AYoj50SG1ZeEG4PSYkUbjlCSPsNBhvrKibtiuvxJ/n0vX4R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fJ5+/yQEAAJkDAAAOAAAAAAAAAAEAIAAAAB4BAABkcnMvZTJvRG9j&#10;LnhtbFBLBQYAAAAABgAGAFkBAABZBQAAAAA=&#10;">
              <v:fill on="f" focussize="0,0"/>
              <v:stroke on="f"/>
              <v:imagedata o:title=""/>
              <o:lock v:ext="edit" aspectratio="f"/>
              <v:textbox inset="0mm,0mm,0mm,0mm" style="mso-fit-shape-to-text:t;">
                <w:txbxContent>
                  <w:p w14:paraId="07A8C936">
                    <w:pPr>
                      <w:pStyle w:val="19"/>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E67BB">
    <w:pPr>
      <w:pStyle w:val="20"/>
      <w:pBdr>
        <w:bottom w:val="none" w:color="auto" w:sz="0" w:space="0"/>
      </w:pBdr>
    </w:pPr>
    <w:r>
      <mc:AlternateContent>
        <mc:Choice Requires="wps">
          <w:drawing>
            <wp:anchor distT="0" distB="0" distL="0" distR="0" simplePos="0" relativeHeight="251661312" behindDoc="0" locked="0" layoutInCell="1" allowOverlap="1">
              <wp:simplePos x="0" y="0"/>
              <wp:positionH relativeFrom="page">
                <wp:align>right</wp:align>
              </wp:positionH>
              <wp:positionV relativeFrom="page">
                <wp:align>top</wp:align>
              </wp:positionV>
              <wp:extent cx="443865" cy="443865"/>
              <wp:effectExtent l="0" t="0" r="0" b="0"/>
              <wp:wrapNone/>
              <wp:docPr id="5" name="文本框 5"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8FD93B8">
                          <w:pPr>
                            <w:rPr>
                              <w:rFonts w:ascii="Arial" w:hAnsi="Arial" w:eastAsia="Arial" w:cs="Arial"/>
                              <w:color w:val="000000"/>
                              <w:sz w:val="16"/>
                              <w:szCs w:val="16"/>
                            </w:rPr>
                          </w:pP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61312;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Dv7GtQAAAADAQAADwAAAAAAAAABACAAAAAiAAAAZHJzL2Rv&#10;d25yZXYueG1sUEsBAhQAFAAAAAgAh07iQCD8Rt8+AgAAagQAAA4AAAAAAAAAAQAgAAAAIwEAAGRy&#10;cy9lMm9Eb2MueG1sUEsFBgAAAAAGAAYAWQEAANMFAAAAAA==&#10;">
              <v:fill on="f" focussize="0,0"/>
              <v:stroke on="f"/>
              <v:imagedata o:title=""/>
              <o:lock v:ext="edit" aspectratio="f"/>
              <v:textbox inset="0mm,15pt,20pt,0mm" style="mso-fit-shape-to-text:t;">
                <w:txbxContent>
                  <w:p w14:paraId="78FD93B8">
                    <w:pPr>
                      <w:rPr>
                        <w:rFonts w:ascii="Arial" w:hAnsi="Arial" w:eastAsia="Arial" w:cs="Arial"/>
                        <w:color w:val="000000"/>
                        <w:sz w:val="16"/>
                        <w:szCs w:val="16"/>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4BCDF">
    <w:pPr>
      <w:pStyle w:val="20"/>
    </w:pPr>
    <w:r>
      <mc:AlternateContent>
        <mc:Choice Requires="wps">
          <w:drawing>
            <wp:anchor distT="0" distB="0" distL="0" distR="0" simplePos="0" relativeHeight="251660288" behindDoc="0" locked="0" layoutInCell="1" allowOverlap="1">
              <wp:simplePos x="0" y="0"/>
              <wp:positionH relativeFrom="page">
                <wp:align>right</wp:align>
              </wp:positionH>
              <wp:positionV relativeFrom="page">
                <wp:align>top</wp:align>
              </wp:positionV>
              <wp:extent cx="443865" cy="443865"/>
              <wp:effectExtent l="0" t="0" r="0" b="0"/>
              <wp:wrapNone/>
              <wp:docPr id="4" name="文本框 4"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051DAA">
                          <w:pPr>
                            <w:rPr>
                              <w:rFonts w:ascii="Arial" w:hAnsi="Arial" w:eastAsia="Arial" w:cs="Arial"/>
                              <w:color w:val="000000"/>
                              <w:sz w:val="16"/>
                              <w:szCs w:val="16"/>
                            </w:rPr>
                          </w:pPr>
                          <w:r>
                            <w:rPr>
                              <w:rFonts w:ascii="Arial" w:hAnsi="Arial" w:eastAsia="Arial" w:cs="Arial"/>
                              <w:color w:val="000000"/>
                              <w:sz w:val="16"/>
                              <w:szCs w:val="16"/>
                            </w:rPr>
                            <w:t>KONE 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60288;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Dw7+xrUAAAAAwEAAA8AAAAAAAAAAQAgAAAAIgAAAGRycy9k&#10;b3ducmV2LnhtbFBLAQIUABQAAAAIAIdO4kAKwCJ3PwIAAGoEAAAOAAAAAAAAAAEAIAAAACMBAABk&#10;cnMvZTJvRG9jLnhtbFBLBQYAAAAABgAGAFkBAADUBQAAAAA=&#10;">
              <v:fill on="f" focussize="0,0"/>
              <v:stroke on="f"/>
              <v:imagedata o:title=""/>
              <o:lock v:ext="edit" aspectratio="f"/>
              <v:textbox inset="0mm,15pt,20pt,0mm" style="mso-fit-shape-to-text:t;">
                <w:txbxContent>
                  <w:p w14:paraId="66051DAA">
                    <w:pPr>
                      <w:rPr>
                        <w:rFonts w:ascii="Arial" w:hAnsi="Arial" w:eastAsia="Arial" w:cs="Arial"/>
                        <w:color w:val="000000"/>
                        <w:sz w:val="16"/>
                        <w:szCs w:val="16"/>
                      </w:rPr>
                    </w:pPr>
                    <w:r>
                      <w:rPr>
                        <w:rFonts w:ascii="Arial" w:hAnsi="Arial" w:eastAsia="Arial" w:cs="Arial"/>
                        <w:color w:val="000000"/>
                        <w:sz w:val="16"/>
                        <w:szCs w:val="16"/>
                      </w:rPr>
                      <w:t>KONE Internal</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8399C">
    <w:pPr>
      <w:pStyle w:val="20"/>
    </w:pPr>
    <w:r>
      <mc:AlternateContent>
        <mc:Choice Requires="wps">
          <w:drawing>
            <wp:anchor distT="0" distB="0" distL="0" distR="0" simplePos="0" relativeHeight="251659264" behindDoc="0" locked="0" layoutInCell="1" allowOverlap="1">
              <wp:simplePos x="0" y="0"/>
              <wp:positionH relativeFrom="page">
                <wp:align>right</wp:align>
              </wp:positionH>
              <wp:positionV relativeFrom="page">
                <wp:align>top</wp:align>
              </wp:positionV>
              <wp:extent cx="443865" cy="443865"/>
              <wp:effectExtent l="0" t="0" r="0" b="0"/>
              <wp:wrapNone/>
              <wp:docPr id="3" name="文本框 3"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F5F8FCF">
                          <w:pPr>
                            <w:rPr>
                              <w:rFonts w:ascii="Arial" w:hAnsi="Arial" w:eastAsia="Arial" w:cs="Arial"/>
                              <w:color w:val="000000"/>
                              <w:sz w:val="16"/>
                              <w:szCs w:val="16"/>
                            </w:rPr>
                          </w:pPr>
                          <w:r>
                            <w:rPr>
                              <w:rFonts w:ascii="Arial" w:hAnsi="Arial" w:eastAsia="Arial" w:cs="Arial"/>
                              <w:color w:val="000000"/>
                              <w:sz w:val="16"/>
                              <w:szCs w:val="16"/>
                            </w:rPr>
                            <w:t>KONE 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59264;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8O/sa1AAAAAMBAAAPAAAAAAAAAAEAIAAAACIAAABkcnMv&#10;ZG93bnJldi54bWxQSwECFAAUAAAACACHTuJAXnj8mEACAABqBAAADgAAAAAAAAABACAAAAAjAQAA&#10;ZHJzL2Uyb0RvYy54bWxQSwUGAAAAAAYABgBZAQAA1QUAAAAA&#10;">
              <v:fill on="f" focussize="0,0"/>
              <v:stroke on="f"/>
              <v:imagedata o:title=""/>
              <o:lock v:ext="edit" aspectratio="f"/>
              <v:textbox inset="0mm,15pt,20pt,0mm" style="mso-fit-shape-to-text:t;">
                <w:txbxContent>
                  <w:p w14:paraId="5F5F8FCF">
                    <w:pPr>
                      <w:rPr>
                        <w:rFonts w:ascii="Arial" w:hAnsi="Arial" w:eastAsia="Arial" w:cs="Arial"/>
                        <w:color w:val="000000"/>
                        <w:sz w:val="16"/>
                        <w:szCs w:val="16"/>
                      </w:rPr>
                    </w:pPr>
                    <w:r>
                      <w:rPr>
                        <w:rFonts w:ascii="Arial" w:hAnsi="Arial" w:eastAsia="Arial" w:cs="Arial"/>
                        <w:color w:val="000000"/>
                        <w:sz w:val="16"/>
                        <w:szCs w:val="16"/>
                      </w:rPr>
                      <w:t>KONE Internal</w:t>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F0120">
    <w:pPr>
      <w:pStyle w:val="2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F41232"/>
    <w:multiLevelType w:val="multilevel"/>
    <w:tmpl w:val="86F41232"/>
    <w:lvl w:ilvl="0" w:tentative="0">
      <w:start w:val="1"/>
      <w:numFmt w:val="decimal"/>
      <w:pStyle w:val="107"/>
      <w:suff w:val="nothing"/>
      <w:lvlText w:val="表%1　"/>
      <w:lvlJc w:val="center"/>
      <w:pPr>
        <w:ind w:left="100" w:firstLine="0"/>
      </w:pPr>
      <w:rPr>
        <w:rFonts w:hint="default" w:ascii="仿宋" w:hAnsi="仿宋" w:eastAsia="仿宋" w:cs="仿宋"/>
        <w:b w:val="0"/>
        <w:i w:val="0"/>
        <w:sz w:val="28"/>
        <w:szCs w:val="28"/>
        <w:lang w:val="en-US"/>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pStyle w:val="112"/>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C959152A"/>
    <w:multiLevelType w:val="singleLevel"/>
    <w:tmpl w:val="C959152A"/>
    <w:lvl w:ilvl="0" w:tentative="0">
      <w:start w:val="1"/>
      <w:numFmt w:val="bullet"/>
      <w:pStyle w:val="114"/>
      <w:lvlText w:val=""/>
      <w:lvlJc w:val="left"/>
      <w:pPr>
        <w:tabs>
          <w:tab w:val="left" w:pos="780"/>
        </w:tabs>
        <w:ind w:left="780" w:hanging="360"/>
      </w:pPr>
      <w:rPr>
        <w:rFonts w:ascii="Wingdings" w:hAnsi="Wingdings"/>
      </w:rPr>
    </w:lvl>
  </w:abstractNum>
  <w:abstractNum w:abstractNumId="2">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111"/>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850" w:firstLine="0"/>
      </w:pPr>
      <w:rPr>
        <w:rFonts w:hint="eastAsia" w:ascii="黑体" w:hAnsi="Times New Roman" w:eastAsia="黑体"/>
        <w:b w:val="0"/>
        <w:i w:val="0"/>
        <w:color w:val="00000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28387256"/>
    <w:multiLevelType w:val="multilevel"/>
    <w:tmpl w:val="28387256"/>
    <w:lvl w:ilvl="0" w:tentative="0">
      <w:start w:val="1"/>
      <w:numFmt w:val="decimal"/>
      <w:suff w:val="space"/>
      <w:lvlText w:val="第%1章 "/>
      <w:lvlJc w:val="left"/>
      <w:pPr>
        <w:tabs>
          <w:tab w:val="left" w:pos="0"/>
        </w:tabs>
        <w:ind w:left="0" w:firstLine="0"/>
      </w:pPr>
      <w:rPr>
        <w:rFonts w:hint="eastAsia"/>
        <w:b/>
        <w:sz w:val="44"/>
      </w:rPr>
    </w:lvl>
    <w:lvl w:ilvl="1" w:tentative="0">
      <w:start w:val="1"/>
      <w:numFmt w:val="decimal"/>
      <w:pStyle w:val="102"/>
      <w:isLgl/>
      <w:suff w:val="space"/>
      <w:lvlText w:val="%1.%2 "/>
      <w:lvlJc w:val="left"/>
      <w:pPr>
        <w:tabs>
          <w:tab w:val="left" w:pos="0"/>
        </w:tabs>
        <w:ind w:left="567" w:hanging="567"/>
      </w:pPr>
      <w:rPr>
        <w:rFonts w:hint="default" w:ascii="Times New Roman" w:hAnsi="Times New Roman"/>
        <w:b/>
      </w:rPr>
    </w:lvl>
    <w:lvl w:ilvl="2" w:tentative="0">
      <w:start w:val="1"/>
      <w:numFmt w:val="decimal"/>
      <w:isLgl/>
      <w:suff w:val="space"/>
      <w:lvlText w:val="%1.%2.%3 "/>
      <w:lvlJc w:val="left"/>
      <w:pPr>
        <w:tabs>
          <w:tab w:val="left" w:pos="0"/>
        </w:tabs>
        <w:ind w:left="567" w:hanging="567"/>
      </w:pPr>
      <w:rPr>
        <w:rFonts w:hint="eastAsia"/>
      </w:rPr>
    </w:lvl>
    <w:lvl w:ilvl="3" w:tentative="0">
      <w:start w:val="1"/>
      <w:numFmt w:val="decimal"/>
      <w:isLgl/>
      <w:lvlText w:val="%1.%2.%3.%4 "/>
      <w:lvlJc w:val="left"/>
      <w:pPr>
        <w:tabs>
          <w:tab w:val="left" w:pos="864"/>
        </w:tabs>
        <w:ind w:left="567" w:hanging="567"/>
      </w:pPr>
      <w:rPr>
        <w:rFonts w:hint="eastAsia" w:ascii="Times New Roman" w:hAnsi="Times New Roman" w:cs="Times New Roman"/>
        <w:b/>
        <w:i w:val="0"/>
        <w:iCs w:val="0"/>
        <w:caps w:val="0"/>
        <w:smallCaps w:val="0"/>
        <w:strike w:val="0"/>
        <w:dstrike w:val="0"/>
        <w:vanish w:val="0"/>
        <w:spacing w:val="0"/>
        <w:position w:val="0"/>
        <w:u w:val="none"/>
        <w:vertAlign w:val="baseline"/>
      </w:rPr>
    </w:lvl>
    <w:lvl w:ilvl="4" w:tentative="0">
      <w:start w:val="1"/>
      <w:numFmt w:val="decimal"/>
      <w:isLgl/>
      <w:suff w:val="space"/>
      <w:lvlText w:val="%1.%2.%3.%4.%5 "/>
      <w:lvlJc w:val="left"/>
      <w:pPr>
        <w:tabs>
          <w:tab w:val="left" w:pos="0"/>
        </w:tabs>
        <w:ind w:left="567" w:hanging="567"/>
      </w:pPr>
      <w:rPr>
        <w:rFonts w:hint="eastAsia"/>
      </w:rPr>
    </w:lvl>
    <w:lvl w:ilvl="5" w:tentative="0">
      <w:start w:val="1"/>
      <w:numFmt w:val="decimal"/>
      <w:lvlText w:val="%1.%2.%3.%4.%5.%6"/>
      <w:lvlJc w:val="left"/>
      <w:pPr>
        <w:tabs>
          <w:tab w:val="left" w:pos="1152"/>
        </w:tabs>
        <w:ind w:left="1152" w:hanging="1152"/>
      </w:pPr>
      <w:rPr>
        <w:rFonts w:hint="default" w:ascii="Times New Roman" w:hAnsi="Times New Roman" w:cs="Times New Roman"/>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default" w:ascii="Times New Roman" w:hAnsi="Times New Roman" w:cs="Times New Roman"/>
      </w:rPr>
    </w:lvl>
    <w:lvl w:ilvl="8" w:tentative="0">
      <w:start w:val="1"/>
      <w:numFmt w:val="decimal"/>
      <w:lvlText w:val="%1.%2.%3.%4.%5.%6.%7.%8.%9"/>
      <w:lvlJc w:val="left"/>
      <w:pPr>
        <w:tabs>
          <w:tab w:val="left" w:pos="1584"/>
        </w:tabs>
        <w:ind w:left="1584" w:hanging="1584"/>
      </w:pPr>
      <w:rPr>
        <w:rFonts w:hint="default" w:ascii="Times New Roman" w:hAnsi="Times New Roman" w:cs="Times New Roman"/>
      </w:rPr>
    </w:lvl>
  </w:abstractNum>
  <w:abstractNum w:abstractNumId="4">
    <w:nsid w:val="56898123"/>
    <w:multiLevelType w:val="singleLevel"/>
    <w:tmpl w:val="56898123"/>
    <w:lvl w:ilvl="0" w:tentative="0">
      <w:start w:val="1"/>
      <w:numFmt w:val="decimal"/>
      <w:pStyle w:val="21"/>
      <w:lvlText w:val="%1."/>
      <w:lvlJc w:val="left"/>
      <w:pPr>
        <w:tabs>
          <w:tab w:val="left" w:pos="2040"/>
        </w:tabs>
        <w:ind w:left="2040" w:hanging="36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9"/>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JiY2JkZmIyOTY3NTdjNmZkNzE4ZTgzYzMxMDhmMDMifQ=="/>
    <w:docVar w:name="KSO_WPS_MARK_KEY" w:val="edd408a1-b375-4b40-a9cb-3acf64b7781a"/>
  </w:docVars>
  <w:rsids>
    <w:rsidRoot w:val="00E1428C"/>
    <w:rsid w:val="000027DF"/>
    <w:rsid w:val="00004FB3"/>
    <w:rsid w:val="00006069"/>
    <w:rsid w:val="00006222"/>
    <w:rsid w:val="00006B64"/>
    <w:rsid w:val="00006E64"/>
    <w:rsid w:val="00007342"/>
    <w:rsid w:val="00011F29"/>
    <w:rsid w:val="00012F0F"/>
    <w:rsid w:val="00013DC0"/>
    <w:rsid w:val="000214C9"/>
    <w:rsid w:val="00021EE5"/>
    <w:rsid w:val="000247CE"/>
    <w:rsid w:val="000249D8"/>
    <w:rsid w:val="00027214"/>
    <w:rsid w:val="00031E5F"/>
    <w:rsid w:val="00033A03"/>
    <w:rsid w:val="00034FFC"/>
    <w:rsid w:val="0003522D"/>
    <w:rsid w:val="00035F29"/>
    <w:rsid w:val="000363E7"/>
    <w:rsid w:val="00040BC7"/>
    <w:rsid w:val="00043CCD"/>
    <w:rsid w:val="0004687B"/>
    <w:rsid w:val="00046AE8"/>
    <w:rsid w:val="00051BE5"/>
    <w:rsid w:val="00051C4B"/>
    <w:rsid w:val="00052E10"/>
    <w:rsid w:val="000531E3"/>
    <w:rsid w:val="00054B69"/>
    <w:rsid w:val="00055731"/>
    <w:rsid w:val="00057C9F"/>
    <w:rsid w:val="0006312A"/>
    <w:rsid w:val="00064E5C"/>
    <w:rsid w:val="0006533C"/>
    <w:rsid w:val="000674BE"/>
    <w:rsid w:val="00067D3A"/>
    <w:rsid w:val="000707B4"/>
    <w:rsid w:val="000733BC"/>
    <w:rsid w:val="000733D5"/>
    <w:rsid w:val="000743C3"/>
    <w:rsid w:val="00074E00"/>
    <w:rsid w:val="00077641"/>
    <w:rsid w:val="000811BB"/>
    <w:rsid w:val="00081A99"/>
    <w:rsid w:val="0008288C"/>
    <w:rsid w:val="000860E4"/>
    <w:rsid w:val="000863D2"/>
    <w:rsid w:val="000930EC"/>
    <w:rsid w:val="000931E9"/>
    <w:rsid w:val="0009351A"/>
    <w:rsid w:val="00093B09"/>
    <w:rsid w:val="00093F93"/>
    <w:rsid w:val="000949F1"/>
    <w:rsid w:val="0009650A"/>
    <w:rsid w:val="00096D7E"/>
    <w:rsid w:val="000A02E1"/>
    <w:rsid w:val="000A13B7"/>
    <w:rsid w:val="000A3BFD"/>
    <w:rsid w:val="000A5B2F"/>
    <w:rsid w:val="000B0744"/>
    <w:rsid w:val="000B09B6"/>
    <w:rsid w:val="000B78D1"/>
    <w:rsid w:val="000B7DF5"/>
    <w:rsid w:val="000C09DC"/>
    <w:rsid w:val="000C17F6"/>
    <w:rsid w:val="000C197E"/>
    <w:rsid w:val="000C433D"/>
    <w:rsid w:val="000C5D4C"/>
    <w:rsid w:val="000C6148"/>
    <w:rsid w:val="000C6432"/>
    <w:rsid w:val="000C660A"/>
    <w:rsid w:val="000C70B7"/>
    <w:rsid w:val="000D0543"/>
    <w:rsid w:val="000D21D5"/>
    <w:rsid w:val="000D3ACA"/>
    <w:rsid w:val="000D3C5A"/>
    <w:rsid w:val="000D4824"/>
    <w:rsid w:val="000D68E3"/>
    <w:rsid w:val="000D6B97"/>
    <w:rsid w:val="000E0E34"/>
    <w:rsid w:val="000E0E54"/>
    <w:rsid w:val="000E2F2C"/>
    <w:rsid w:val="000E474C"/>
    <w:rsid w:val="000E6565"/>
    <w:rsid w:val="000F23EA"/>
    <w:rsid w:val="000F28DF"/>
    <w:rsid w:val="000F4450"/>
    <w:rsid w:val="000F5ACE"/>
    <w:rsid w:val="000F7D4F"/>
    <w:rsid w:val="00102CB7"/>
    <w:rsid w:val="00102CE8"/>
    <w:rsid w:val="00104AF2"/>
    <w:rsid w:val="0010514D"/>
    <w:rsid w:val="001104D2"/>
    <w:rsid w:val="00115E82"/>
    <w:rsid w:val="00116E44"/>
    <w:rsid w:val="001244CE"/>
    <w:rsid w:val="0012592D"/>
    <w:rsid w:val="0012699C"/>
    <w:rsid w:val="00127475"/>
    <w:rsid w:val="00131A4E"/>
    <w:rsid w:val="00132D06"/>
    <w:rsid w:val="00135746"/>
    <w:rsid w:val="001359DC"/>
    <w:rsid w:val="00137F66"/>
    <w:rsid w:val="00141B11"/>
    <w:rsid w:val="001439B3"/>
    <w:rsid w:val="001443A6"/>
    <w:rsid w:val="00144853"/>
    <w:rsid w:val="00145153"/>
    <w:rsid w:val="0014603C"/>
    <w:rsid w:val="001463C7"/>
    <w:rsid w:val="001467F4"/>
    <w:rsid w:val="00150D31"/>
    <w:rsid w:val="00151847"/>
    <w:rsid w:val="00154178"/>
    <w:rsid w:val="00155581"/>
    <w:rsid w:val="00156591"/>
    <w:rsid w:val="001570D4"/>
    <w:rsid w:val="0015743C"/>
    <w:rsid w:val="00157B2B"/>
    <w:rsid w:val="00160309"/>
    <w:rsid w:val="0016109E"/>
    <w:rsid w:val="001620CF"/>
    <w:rsid w:val="00162A03"/>
    <w:rsid w:val="001639C2"/>
    <w:rsid w:val="00163D0B"/>
    <w:rsid w:val="001646CB"/>
    <w:rsid w:val="00170904"/>
    <w:rsid w:val="0017113F"/>
    <w:rsid w:val="001731C5"/>
    <w:rsid w:val="00173C44"/>
    <w:rsid w:val="0017626E"/>
    <w:rsid w:val="00181CDA"/>
    <w:rsid w:val="00181ED3"/>
    <w:rsid w:val="00182CCA"/>
    <w:rsid w:val="001869A8"/>
    <w:rsid w:val="00187BE1"/>
    <w:rsid w:val="001903D4"/>
    <w:rsid w:val="0019251D"/>
    <w:rsid w:val="00192DB5"/>
    <w:rsid w:val="00197945"/>
    <w:rsid w:val="001A0364"/>
    <w:rsid w:val="001A0C8B"/>
    <w:rsid w:val="001A1AC6"/>
    <w:rsid w:val="001A3EDD"/>
    <w:rsid w:val="001A47E3"/>
    <w:rsid w:val="001A67C9"/>
    <w:rsid w:val="001B2572"/>
    <w:rsid w:val="001B344D"/>
    <w:rsid w:val="001B663D"/>
    <w:rsid w:val="001B6EC8"/>
    <w:rsid w:val="001C1D5F"/>
    <w:rsid w:val="001C45F5"/>
    <w:rsid w:val="001C4662"/>
    <w:rsid w:val="001C5B8A"/>
    <w:rsid w:val="001C6AFF"/>
    <w:rsid w:val="001D279A"/>
    <w:rsid w:val="001D3500"/>
    <w:rsid w:val="001D4EC2"/>
    <w:rsid w:val="001D66F0"/>
    <w:rsid w:val="001D6723"/>
    <w:rsid w:val="001D6A81"/>
    <w:rsid w:val="001E1433"/>
    <w:rsid w:val="001E53BC"/>
    <w:rsid w:val="001E601F"/>
    <w:rsid w:val="001E70A4"/>
    <w:rsid w:val="001F120D"/>
    <w:rsid w:val="001F3AEC"/>
    <w:rsid w:val="001F4F3E"/>
    <w:rsid w:val="001F7EC5"/>
    <w:rsid w:val="002007BF"/>
    <w:rsid w:val="00201576"/>
    <w:rsid w:val="00204B7C"/>
    <w:rsid w:val="002106EA"/>
    <w:rsid w:val="002131C8"/>
    <w:rsid w:val="00214649"/>
    <w:rsid w:val="00214B6D"/>
    <w:rsid w:val="00215DD8"/>
    <w:rsid w:val="0021679D"/>
    <w:rsid w:val="002200FB"/>
    <w:rsid w:val="0022164E"/>
    <w:rsid w:val="00221C90"/>
    <w:rsid w:val="00223407"/>
    <w:rsid w:val="002244DA"/>
    <w:rsid w:val="00227E29"/>
    <w:rsid w:val="00230636"/>
    <w:rsid w:val="002330E2"/>
    <w:rsid w:val="0023425B"/>
    <w:rsid w:val="00234DAB"/>
    <w:rsid w:val="00235DF7"/>
    <w:rsid w:val="00237E0C"/>
    <w:rsid w:val="00241BB8"/>
    <w:rsid w:val="00244143"/>
    <w:rsid w:val="00244939"/>
    <w:rsid w:val="002468F0"/>
    <w:rsid w:val="00247C93"/>
    <w:rsid w:val="00250900"/>
    <w:rsid w:val="002546EC"/>
    <w:rsid w:val="00254A15"/>
    <w:rsid w:val="00254B39"/>
    <w:rsid w:val="00255AAF"/>
    <w:rsid w:val="002602DD"/>
    <w:rsid w:val="00260626"/>
    <w:rsid w:val="0026242C"/>
    <w:rsid w:val="002647BE"/>
    <w:rsid w:val="00264B9B"/>
    <w:rsid w:val="00270410"/>
    <w:rsid w:val="00274032"/>
    <w:rsid w:val="002748BD"/>
    <w:rsid w:val="0027499D"/>
    <w:rsid w:val="00275C65"/>
    <w:rsid w:val="0028324B"/>
    <w:rsid w:val="002840DC"/>
    <w:rsid w:val="002871A5"/>
    <w:rsid w:val="00290923"/>
    <w:rsid w:val="00291471"/>
    <w:rsid w:val="00292164"/>
    <w:rsid w:val="00294605"/>
    <w:rsid w:val="002947ED"/>
    <w:rsid w:val="002975D9"/>
    <w:rsid w:val="002A1054"/>
    <w:rsid w:val="002A287A"/>
    <w:rsid w:val="002A3E8C"/>
    <w:rsid w:val="002A4991"/>
    <w:rsid w:val="002A5D03"/>
    <w:rsid w:val="002A7755"/>
    <w:rsid w:val="002A79A7"/>
    <w:rsid w:val="002A7E8F"/>
    <w:rsid w:val="002A7F5E"/>
    <w:rsid w:val="002B1C13"/>
    <w:rsid w:val="002B1C92"/>
    <w:rsid w:val="002B6371"/>
    <w:rsid w:val="002B64B0"/>
    <w:rsid w:val="002C02A7"/>
    <w:rsid w:val="002C02C7"/>
    <w:rsid w:val="002C04E9"/>
    <w:rsid w:val="002C221F"/>
    <w:rsid w:val="002C29D9"/>
    <w:rsid w:val="002C41EE"/>
    <w:rsid w:val="002C4C6D"/>
    <w:rsid w:val="002C507B"/>
    <w:rsid w:val="002C72A6"/>
    <w:rsid w:val="002C7639"/>
    <w:rsid w:val="002D0144"/>
    <w:rsid w:val="002D04B2"/>
    <w:rsid w:val="002D0C68"/>
    <w:rsid w:val="002D1841"/>
    <w:rsid w:val="002D255D"/>
    <w:rsid w:val="002D6B94"/>
    <w:rsid w:val="002D714C"/>
    <w:rsid w:val="002E0E57"/>
    <w:rsid w:val="002E1B37"/>
    <w:rsid w:val="002E27F7"/>
    <w:rsid w:val="002E42CD"/>
    <w:rsid w:val="002E56B3"/>
    <w:rsid w:val="002E5F8C"/>
    <w:rsid w:val="002E7263"/>
    <w:rsid w:val="002F0CF8"/>
    <w:rsid w:val="002F2DDD"/>
    <w:rsid w:val="002F4256"/>
    <w:rsid w:val="002F5BD8"/>
    <w:rsid w:val="002F60B7"/>
    <w:rsid w:val="002F6776"/>
    <w:rsid w:val="002F6EC6"/>
    <w:rsid w:val="002F70DF"/>
    <w:rsid w:val="003009D5"/>
    <w:rsid w:val="00300A5F"/>
    <w:rsid w:val="00302E16"/>
    <w:rsid w:val="00310100"/>
    <w:rsid w:val="00310B22"/>
    <w:rsid w:val="00310EFD"/>
    <w:rsid w:val="003121B1"/>
    <w:rsid w:val="003144D6"/>
    <w:rsid w:val="00314C38"/>
    <w:rsid w:val="003164A3"/>
    <w:rsid w:val="00320476"/>
    <w:rsid w:val="00320B07"/>
    <w:rsid w:val="00320C34"/>
    <w:rsid w:val="003212C2"/>
    <w:rsid w:val="00321CBF"/>
    <w:rsid w:val="0032216A"/>
    <w:rsid w:val="003228A9"/>
    <w:rsid w:val="00322B57"/>
    <w:rsid w:val="00330686"/>
    <w:rsid w:val="0033200D"/>
    <w:rsid w:val="00334C59"/>
    <w:rsid w:val="003406AD"/>
    <w:rsid w:val="003436D0"/>
    <w:rsid w:val="00343D2E"/>
    <w:rsid w:val="00345A3C"/>
    <w:rsid w:val="0035199B"/>
    <w:rsid w:val="00355201"/>
    <w:rsid w:val="00355DE5"/>
    <w:rsid w:val="0035734A"/>
    <w:rsid w:val="00357E18"/>
    <w:rsid w:val="003602C3"/>
    <w:rsid w:val="003604DF"/>
    <w:rsid w:val="00361079"/>
    <w:rsid w:val="00364309"/>
    <w:rsid w:val="00367806"/>
    <w:rsid w:val="00367A68"/>
    <w:rsid w:val="0037007E"/>
    <w:rsid w:val="0037119F"/>
    <w:rsid w:val="0037319F"/>
    <w:rsid w:val="00375458"/>
    <w:rsid w:val="00381D8F"/>
    <w:rsid w:val="00383292"/>
    <w:rsid w:val="00385B36"/>
    <w:rsid w:val="0039137F"/>
    <w:rsid w:val="00395FAE"/>
    <w:rsid w:val="00395FE0"/>
    <w:rsid w:val="003979A3"/>
    <w:rsid w:val="003A3808"/>
    <w:rsid w:val="003A42A7"/>
    <w:rsid w:val="003A4DE4"/>
    <w:rsid w:val="003B0863"/>
    <w:rsid w:val="003B1C66"/>
    <w:rsid w:val="003B38ED"/>
    <w:rsid w:val="003B5148"/>
    <w:rsid w:val="003B75AA"/>
    <w:rsid w:val="003C6991"/>
    <w:rsid w:val="003C71ED"/>
    <w:rsid w:val="003D041B"/>
    <w:rsid w:val="003D06E5"/>
    <w:rsid w:val="003D199E"/>
    <w:rsid w:val="003D4401"/>
    <w:rsid w:val="003D63CA"/>
    <w:rsid w:val="003D64B6"/>
    <w:rsid w:val="003E0179"/>
    <w:rsid w:val="003E2B34"/>
    <w:rsid w:val="003E3257"/>
    <w:rsid w:val="003F1853"/>
    <w:rsid w:val="003F32CE"/>
    <w:rsid w:val="003F3E0C"/>
    <w:rsid w:val="003F4126"/>
    <w:rsid w:val="003F4D19"/>
    <w:rsid w:val="003F549E"/>
    <w:rsid w:val="003F5D1B"/>
    <w:rsid w:val="003F7843"/>
    <w:rsid w:val="00403B9D"/>
    <w:rsid w:val="00407224"/>
    <w:rsid w:val="00407903"/>
    <w:rsid w:val="00407BFC"/>
    <w:rsid w:val="004101B0"/>
    <w:rsid w:val="004103F6"/>
    <w:rsid w:val="00410D0B"/>
    <w:rsid w:val="0041128F"/>
    <w:rsid w:val="00412036"/>
    <w:rsid w:val="0041532A"/>
    <w:rsid w:val="00417B67"/>
    <w:rsid w:val="00422590"/>
    <w:rsid w:val="00422FCC"/>
    <w:rsid w:val="00423142"/>
    <w:rsid w:val="004247C4"/>
    <w:rsid w:val="00426626"/>
    <w:rsid w:val="00431BA5"/>
    <w:rsid w:val="00432FD1"/>
    <w:rsid w:val="0043442A"/>
    <w:rsid w:val="00434A49"/>
    <w:rsid w:val="004358AD"/>
    <w:rsid w:val="00435AA8"/>
    <w:rsid w:val="00443C88"/>
    <w:rsid w:val="0044543D"/>
    <w:rsid w:val="00446291"/>
    <w:rsid w:val="004464E9"/>
    <w:rsid w:val="00452A22"/>
    <w:rsid w:val="00454921"/>
    <w:rsid w:val="00454E44"/>
    <w:rsid w:val="004555A4"/>
    <w:rsid w:val="00456B89"/>
    <w:rsid w:val="00461B41"/>
    <w:rsid w:val="00462EA0"/>
    <w:rsid w:val="00464D34"/>
    <w:rsid w:val="00472FA9"/>
    <w:rsid w:val="0047528B"/>
    <w:rsid w:val="00476030"/>
    <w:rsid w:val="004767BD"/>
    <w:rsid w:val="0048021C"/>
    <w:rsid w:val="00480AC6"/>
    <w:rsid w:val="00481750"/>
    <w:rsid w:val="0048181A"/>
    <w:rsid w:val="00482671"/>
    <w:rsid w:val="00483895"/>
    <w:rsid w:val="00490A35"/>
    <w:rsid w:val="00495061"/>
    <w:rsid w:val="004956F7"/>
    <w:rsid w:val="00495EB8"/>
    <w:rsid w:val="00496FC3"/>
    <w:rsid w:val="00497322"/>
    <w:rsid w:val="004A12FD"/>
    <w:rsid w:val="004A1844"/>
    <w:rsid w:val="004A3046"/>
    <w:rsid w:val="004A4B9D"/>
    <w:rsid w:val="004A6679"/>
    <w:rsid w:val="004A704F"/>
    <w:rsid w:val="004A72A4"/>
    <w:rsid w:val="004A7824"/>
    <w:rsid w:val="004A7C96"/>
    <w:rsid w:val="004B0010"/>
    <w:rsid w:val="004B05CA"/>
    <w:rsid w:val="004B4B6D"/>
    <w:rsid w:val="004C1B27"/>
    <w:rsid w:val="004C201C"/>
    <w:rsid w:val="004C385B"/>
    <w:rsid w:val="004D01E3"/>
    <w:rsid w:val="004D144D"/>
    <w:rsid w:val="004D1CDD"/>
    <w:rsid w:val="004D21FC"/>
    <w:rsid w:val="004D2202"/>
    <w:rsid w:val="004D2E8C"/>
    <w:rsid w:val="004D3773"/>
    <w:rsid w:val="004D44E4"/>
    <w:rsid w:val="004D45FF"/>
    <w:rsid w:val="004D483C"/>
    <w:rsid w:val="004D5292"/>
    <w:rsid w:val="004E06BF"/>
    <w:rsid w:val="004E152F"/>
    <w:rsid w:val="004E2A00"/>
    <w:rsid w:val="004E2F63"/>
    <w:rsid w:val="004E3BF5"/>
    <w:rsid w:val="004F099F"/>
    <w:rsid w:val="004F3CB4"/>
    <w:rsid w:val="00503474"/>
    <w:rsid w:val="00503BA7"/>
    <w:rsid w:val="0050700C"/>
    <w:rsid w:val="005119D2"/>
    <w:rsid w:val="00513B39"/>
    <w:rsid w:val="00513FF3"/>
    <w:rsid w:val="0051484C"/>
    <w:rsid w:val="00514E8A"/>
    <w:rsid w:val="00515B97"/>
    <w:rsid w:val="00515D24"/>
    <w:rsid w:val="00516020"/>
    <w:rsid w:val="0052071E"/>
    <w:rsid w:val="00521230"/>
    <w:rsid w:val="00526739"/>
    <w:rsid w:val="00527470"/>
    <w:rsid w:val="00527778"/>
    <w:rsid w:val="00530A3C"/>
    <w:rsid w:val="00532491"/>
    <w:rsid w:val="00533458"/>
    <w:rsid w:val="0053376D"/>
    <w:rsid w:val="00533A7A"/>
    <w:rsid w:val="00534F0F"/>
    <w:rsid w:val="00536ADE"/>
    <w:rsid w:val="00537FB8"/>
    <w:rsid w:val="00540B38"/>
    <w:rsid w:val="00541A40"/>
    <w:rsid w:val="005420D2"/>
    <w:rsid w:val="00542B48"/>
    <w:rsid w:val="00542C35"/>
    <w:rsid w:val="0054329E"/>
    <w:rsid w:val="00543E4D"/>
    <w:rsid w:val="00545012"/>
    <w:rsid w:val="00545A0B"/>
    <w:rsid w:val="005468AD"/>
    <w:rsid w:val="00551258"/>
    <w:rsid w:val="0055169D"/>
    <w:rsid w:val="00553179"/>
    <w:rsid w:val="00554692"/>
    <w:rsid w:val="00554B19"/>
    <w:rsid w:val="00555573"/>
    <w:rsid w:val="00556006"/>
    <w:rsid w:val="005569D2"/>
    <w:rsid w:val="00561A91"/>
    <w:rsid w:val="005627F2"/>
    <w:rsid w:val="00562FB5"/>
    <w:rsid w:val="005632D0"/>
    <w:rsid w:val="00564B31"/>
    <w:rsid w:val="00570AF4"/>
    <w:rsid w:val="005710D2"/>
    <w:rsid w:val="00573B17"/>
    <w:rsid w:val="00574BC3"/>
    <w:rsid w:val="00574E68"/>
    <w:rsid w:val="00581010"/>
    <w:rsid w:val="00581AA7"/>
    <w:rsid w:val="00585AEF"/>
    <w:rsid w:val="00585EF4"/>
    <w:rsid w:val="00585FAF"/>
    <w:rsid w:val="00586D80"/>
    <w:rsid w:val="00586E7E"/>
    <w:rsid w:val="00587878"/>
    <w:rsid w:val="005909CE"/>
    <w:rsid w:val="00593A35"/>
    <w:rsid w:val="0059608C"/>
    <w:rsid w:val="0059678A"/>
    <w:rsid w:val="005A1415"/>
    <w:rsid w:val="005A380E"/>
    <w:rsid w:val="005A506D"/>
    <w:rsid w:val="005A5EAE"/>
    <w:rsid w:val="005A7731"/>
    <w:rsid w:val="005B02F9"/>
    <w:rsid w:val="005B0BAF"/>
    <w:rsid w:val="005B0E49"/>
    <w:rsid w:val="005B1F16"/>
    <w:rsid w:val="005B1F8C"/>
    <w:rsid w:val="005B21BD"/>
    <w:rsid w:val="005B48F7"/>
    <w:rsid w:val="005B5D7D"/>
    <w:rsid w:val="005B688B"/>
    <w:rsid w:val="005B71B9"/>
    <w:rsid w:val="005B71DC"/>
    <w:rsid w:val="005B76D0"/>
    <w:rsid w:val="005C06AF"/>
    <w:rsid w:val="005C0BF8"/>
    <w:rsid w:val="005C20F7"/>
    <w:rsid w:val="005C2ABD"/>
    <w:rsid w:val="005C2F55"/>
    <w:rsid w:val="005C38A7"/>
    <w:rsid w:val="005C63F5"/>
    <w:rsid w:val="005C7A1F"/>
    <w:rsid w:val="005D015B"/>
    <w:rsid w:val="005D0AD7"/>
    <w:rsid w:val="005D0C2B"/>
    <w:rsid w:val="005D2DCB"/>
    <w:rsid w:val="005D4732"/>
    <w:rsid w:val="005D7364"/>
    <w:rsid w:val="005D7993"/>
    <w:rsid w:val="005E1A14"/>
    <w:rsid w:val="005E44C9"/>
    <w:rsid w:val="005E4685"/>
    <w:rsid w:val="005E5BB9"/>
    <w:rsid w:val="005E7D8E"/>
    <w:rsid w:val="005F1266"/>
    <w:rsid w:val="005F16EC"/>
    <w:rsid w:val="005F17B2"/>
    <w:rsid w:val="005F4B25"/>
    <w:rsid w:val="005F4F51"/>
    <w:rsid w:val="005F57EA"/>
    <w:rsid w:val="005F6069"/>
    <w:rsid w:val="005F60A5"/>
    <w:rsid w:val="005F70F9"/>
    <w:rsid w:val="005F7ACA"/>
    <w:rsid w:val="006001DA"/>
    <w:rsid w:val="00603D1A"/>
    <w:rsid w:val="00605FEF"/>
    <w:rsid w:val="00606BE4"/>
    <w:rsid w:val="006078EC"/>
    <w:rsid w:val="0061376F"/>
    <w:rsid w:val="00614C21"/>
    <w:rsid w:val="00615482"/>
    <w:rsid w:val="00615983"/>
    <w:rsid w:val="00615F7F"/>
    <w:rsid w:val="00616192"/>
    <w:rsid w:val="00617ABF"/>
    <w:rsid w:val="00621D6D"/>
    <w:rsid w:val="00624F5F"/>
    <w:rsid w:val="0062611B"/>
    <w:rsid w:val="006277EC"/>
    <w:rsid w:val="00630646"/>
    <w:rsid w:val="00632BD0"/>
    <w:rsid w:val="00634A4B"/>
    <w:rsid w:val="00635ECA"/>
    <w:rsid w:val="00637DDA"/>
    <w:rsid w:val="00642E22"/>
    <w:rsid w:val="006550C1"/>
    <w:rsid w:val="00655F61"/>
    <w:rsid w:val="00663E65"/>
    <w:rsid w:val="00665DDD"/>
    <w:rsid w:val="00667586"/>
    <w:rsid w:val="006679E2"/>
    <w:rsid w:val="0067083A"/>
    <w:rsid w:val="00670CCF"/>
    <w:rsid w:val="00670E4B"/>
    <w:rsid w:val="0067155A"/>
    <w:rsid w:val="006724BC"/>
    <w:rsid w:val="006745EF"/>
    <w:rsid w:val="006746C4"/>
    <w:rsid w:val="006771C9"/>
    <w:rsid w:val="00677ABA"/>
    <w:rsid w:val="00684B51"/>
    <w:rsid w:val="00686543"/>
    <w:rsid w:val="00687A51"/>
    <w:rsid w:val="00690502"/>
    <w:rsid w:val="00691715"/>
    <w:rsid w:val="00691F70"/>
    <w:rsid w:val="0069283A"/>
    <w:rsid w:val="0069299B"/>
    <w:rsid w:val="006978FC"/>
    <w:rsid w:val="006A4C2F"/>
    <w:rsid w:val="006A5C54"/>
    <w:rsid w:val="006A5D76"/>
    <w:rsid w:val="006B2BD2"/>
    <w:rsid w:val="006B5071"/>
    <w:rsid w:val="006B6DA9"/>
    <w:rsid w:val="006B71E7"/>
    <w:rsid w:val="006C5470"/>
    <w:rsid w:val="006C5AA4"/>
    <w:rsid w:val="006C6D70"/>
    <w:rsid w:val="006C7523"/>
    <w:rsid w:val="006D041D"/>
    <w:rsid w:val="006D12EF"/>
    <w:rsid w:val="006D177E"/>
    <w:rsid w:val="006D6598"/>
    <w:rsid w:val="006D6A87"/>
    <w:rsid w:val="006D6D47"/>
    <w:rsid w:val="006E3200"/>
    <w:rsid w:val="006E3E45"/>
    <w:rsid w:val="006E4A3F"/>
    <w:rsid w:val="006E5AD6"/>
    <w:rsid w:val="006E6B2F"/>
    <w:rsid w:val="006F0802"/>
    <w:rsid w:val="006F2FDC"/>
    <w:rsid w:val="0070050A"/>
    <w:rsid w:val="00701FC9"/>
    <w:rsid w:val="00702715"/>
    <w:rsid w:val="00703177"/>
    <w:rsid w:val="007070D1"/>
    <w:rsid w:val="007110EF"/>
    <w:rsid w:val="00714C6D"/>
    <w:rsid w:val="007155C8"/>
    <w:rsid w:val="00716863"/>
    <w:rsid w:val="00717570"/>
    <w:rsid w:val="0071761D"/>
    <w:rsid w:val="007177BD"/>
    <w:rsid w:val="00717CC3"/>
    <w:rsid w:val="00720862"/>
    <w:rsid w:val="00721F06"/>
    <w:rsid w:val="00723E77"/>
    <w:rsid w:val="00725C76"/>
    <w:rsid w:val="00726914"/>
    <w:rsid w:val="007276C7"/>
    <w:rsid w:val="007300A3"/>
    <w:rsid w:val="007306B8"/>
    <w:rsid w:val="00731236"/>
    <w:rsid w:val="00731C55"/>
    <w:rsid w:val="00732582"/>
    <w:rsid w:val="00732767"/>
    <w:rsid w:val="0073472E"/>
    <w:rsid w:val="00736373"/>
    <w:rsid w:val="0073758F"/>
    <w:rsid w:val="00746F5A"/>
    <w:rsid w:val="00747E37"/>
    <w:rsid w:val="007513A7"/>
    <w:rsid w:val="00751504"/>
    <w:rsid w:val="007517B2"/>
    <w:rsid w:val="007526C6"/>
    <w:rsid w:val="0075320C"/>
    <w:rsid w:val="007536EF"/>
    <w:rsid w:val="00753BF0"/>
    <w:rsid w:val="00755FC7"/>
    <w:rsid w:val="00760802"/>
    <w:rsid w:val="00760CB0"/>
    <w:rsid w:val="00760DDB"/>
    <w:rsid w:val="0076390F"/>
    <w:rsid w:val="00765BEA"/>
    <w:rsid w:val="007666DE"/>
    <w:rsid w:val="0077291C"/>
    <w:rsid w:val="007738FD"/>
    <w:rsid w:val="00773A5D"/>
    <w:rsid w:val="00776D95"/>
    <w:rsid w:val="00781919"/>
    <w:rsid w:val="007826F0"/>
    <w:rsid w:val="00782C8B"/>
    <w:rsid w:val="00782EF3"/>
    <w:rsid w:val="00784409"/>
    <w:rsid w:val="00787BE5"/>
    <w:rsid w:val="00791CD7"/>
    <w:rsid w:val="00792E96"/>
    <w:rsid w:val="00793250"/>
    <w:rsid w:val="00794B53"/>
    <w:rsid w:val="007975A1"/>
    <w:rsid w:val="007A116D"/>
    <w:rsid w:val="007A155F"/>
    <w:rsid w:val="007A29EE"/>
    <w:rsid w:val="007A6F63"/>
    <w:rsid w:val="007B0654"/>
    <w:rsid w:val="007B10D0"/>
    <w:rsid w:val="007B2B83"/>
    <w:rsid w:val="007B4D8F"/>
    <w:rsid w:val="007B5B52"/>
    <w:rsid w:val="007B6989"/>
    <w:rsid w:val="007B77F4"/>
    <w:rsid w:val="007C1564"/>
    <w:rsid w:val="007C1C13"/>
    <w:rsid w:val="007C2E08"/>
    <w:rsid w:val="007C456E"/>
    <w:rsid w:val="007C4F92"/>
    <w:rsid w:val="007C63C9"/>
    <w:rsid w:val="007D0DD3"/>
    <w:rsid w:val="007D1241"/>
    <w:rsid w:val="007D1696"/>
    <w:rsid w:val="007D4874"/>
    <w:rsid w:val="007D5914"/>
    <w:rsid w:val="007D76AC"/>
    <w:rsid w:val="007E04C2"/>
    <w:rsid w:val="007E3A62"/>
    <w:rsid w:val="007E4448"/>
    <w:rsid w:val="007E4C1C"/>
    <w:rsid w:val="007E667A"/>
    <w:rsid w:val="007F098A"/>
    <w:rsid w:val="007F1A35"/>
    <w:rsid w:val="007F1DB3"/>
    <w:rsid w:val="007F6A4A"/>
    <w:rsid w:val="007F6C18"/>
    <w:rsid w:val="007F7F83"/>
    <w:rsid w:val="00800DC9"/>
    <w:rsid w:val="00802238"/>
    <w:rsid w:val="0080270D"/>
    <w:rsid w:val="00802DD1"/>
    <w:rsid w:val="00803663"/>
    <w:rsid w:val="00803DC1"/>
    <w:rsid w:val="0080455C"/>
    <w:rsid w:val="00806901"/>
    <w:rsid w:val="00807C9C"/>
    <w:rsid w:val="00810974"/>
    <w:rsid w:val="00811C64"/>
    <w:rsid w:val="0081445E"/>
    <w:rsid w:val="0081468A"/>
    <w:rsid w:val="0081539D"/>
    <w:rsid w:val="00820BBA"/>
    <w:rsid w:val="00825CEA"/>
    <w:rsid w:val="00826495"/>
    <w:rsid w:val="00826A8E"/>
    <w:rsid w:val="008276AF"/>
    <w:rsid w:val="00827AB4"/>
    <w:rsid w:val="008346D9"/>
    <w:rsid w:val="00834E31"/>
    <w:rsid w:val="00835269"/>
    <w:rsid w:val="00837419"/>
    <w:rsid w:val="00841969"/>
    <w:rsid w:val="0084230F"/>
    <w:rsid w:val="00843E6D"/>
    <w:rsid w:val="0084449A"/>
    <w:rsid w:val="0084496E"/>
    <w:rsid w:val="00846157"/>
    <w:rsid w:val="008479FF"/>
    <w:rsid w:val="00851F7D"/>
    <w:rsid w:val="008535D2"/>
    <w:rsid w:val="00854624"/>
    <w:rsid w:val="008619A1"/>
    <w:rsid w:val="00861D87"/>
    <w:rsid w:val="00861F35"/>
    <w:rsid w:val="0086246D"/>
    <w:rsid w:val="00862904"/>
    <w:rsid w:val="008646B1"/>
    <w:rsid w:val="008660CD"/>
    <w:rsid w:val="00870789"/>
    <w:rsid w:val="0087299F"/>
    <w:rsid w:val="00873EBB"/>
    <w:rsid w:val="0087426A"/>
    <w:rsid w:val="0087707F"/>
    <w:rsid w:val="00880AE4"/>
    <w:rsid w:val="00881756"/>
    <w:rsid w:val="0088337A"/>
    <w:rsid w:val="008858B1"/>
    <w:rsid w:val="0088599A"/>
    <w:rsid w:val="00886511"/>
    <w:rsid w:val="00887480"/>
    <w:rsid w:val="00887FD2"/>
    <w:rsid w:val="00895657"/>
    <w:rsid w:val="008966C9"/>
    <w:rsid w:val="00897A59"/>
    <w:rsid w:val="008A1958"/>
    <w:rsid w:val="008A2A50"/>
    <w:rsid w:val="008A4BAB"/>
    <w:rsid w:val="008A662B"/>
    <w:rsid w:val="008A778E"/>
    <w:rsid w:val="008A7EED"/>
    <w:rsid w:val="008B54A4"/>
    <w:rsid w:val="008B5D02"/>
    <w:rsid w:val="008B6038"/>
    <w:rsid w:val="008B7D19"/>
    <w:rsid w:val="008C113D"/>
    <w:rsid w:val="008C617D"/>
    <w:rsid w:val="008C67B4"/>
    <w:rsid w:val="008C6E04"/>
    <w:rsid w:val="008D0955"/>
    <w:rsid w:val="008D099A"/>
    <w:rsid w:val="008D13F8"/>
    <w:rsid w:val="008D19E0"/>
    <w:rsid w:val="008D231E"/>
    <w:rsid w:val="008D5920"/>
    <w:rsid w:val="008D5D69"/>
    <w:rsid w:val="008E05A2"/>
    <w:rsid w:val="008E0F02"/>
    <w:rsid w:val="008E4EE4"/>
    <w:rsid w:val="008E61F1"/>
    <w:rsid w:val="008E6ABA"/>
    <w:rsid w:val="008E6C8B"/>
    <w:rsid w:val="008E7641"/>
    <w:rsid w:val="008E7728"/>
    <w:rsid w:val="008F141B"/>
    <w:rsid w:val="008F5E85"/>
    <w:rsid w:val="008F70FC"/>
    <w:rsid w:val="00900FB2"/>
    <w:rsid w:val="009015EF"/>
    <w:rsid w:val="00901DB7"/>
    <w:rsid w:val="00904499"/>
    <w:rsid w:val="00904AA6"/>
    <w:rsid w:val="00905D01"/>
    <w:rsid w:val="00906B25"/>
    <w:rsid w:val="00906EE0"/>
    <w:rsid w:val="00911523"/>
    <w:rsid w:val="00912E3B"/>
    <w:rsid w:val="00916987"/>
    <w:rsid w:val="00916E16"/>
    <w:rsid w:val="009209D2"/>
    <w:rsid w:val="009235DA"/>
    <w:rsid w:val="00927377"/>
    <w:rsid w:val="00930118"/>
    <w:rsid w:val="009313F0"/>
    <w:rsid w:val="009325CD"/>
    <w:rsid w:val="00935232"/>
    <w:rsid w:val="009357B9"/>
    <w:rsid w:val="00937D34"/>
    <w:rsid w:val="00941FC0"/>
    <w:rsid w:val="009462EB"/>
    <w:rsid w:val="009501A5"/>
    <w:rsid w:val="0095029E"/>
    <w:rsid w:val="00951CB7"/>
    <w:rsid w:val="009540D3"/>
    <w:rsid w:val="009606F2"/>
    <w:rsid w:val="00961CEF"/>
    <w:rsid w:val="00962975"/>
    <w:rsid w:val="00963A5D"/>
    <w:rsid w:val="0096412A"/>
    <w:rsid w:val="009647E8"/>
    <w:rsid w:val="009649A5"/>
    <w:rsid w:val="009666EA"/>
    <w:rsid w:val="00970A22"/>
    <w:rsid w:val="00971AA2"/>
    <w:rsid w:val="00973D4B"/>
    <w:rsid w:val="00981AB2"/>
    <w:rsid w:val="00981C49"/>
    <w:rsid w:val="009835B6"/>
    <w:rsid w:val="0098598E"/>
    <w:rsid w:val="0099104D"/>
    <w:rsid w:val="00992A0D"/>
    <w:rsid w:val="009960BD"/>
    <w:rsid w:val="009A2102"/>
    <w:rsid w:val="009A2379"/>
    <w:rsid w:val="009A270A"/>
    <w:rsid w:val="009A2769"/>
    <w:rsid w:val="009A2912"/>
    <w:rsid w:val="009A376E"/>
    <w:rsid w:val="009A67D1"/>
    <w:rsid w:val="009A6905"/>
    <w:rsid w:val="009B0D30"/>
    <w:rsid w:val="009B2C76"/>
    <w:rsid w:val="009B47BE"/>
    <w:rsid w:val="009B4AAA"/>
    <w:rsid w:val="009C00B4"/>
    <w:rsid w:val="009C1E60"/>
    <w:rsid w:val="009C260F"/>
    <w:rsid w:val="009C2B05"/>
    <w:rsid w:val="009C44F2"/>
    <w:rsid w:val="009C5FA5"/>
    <w:rsid w:val="009C62C2"/>
    <w:rsid w:val="009C65DB"/>
    <w:rsid w:val="009C6DB3"/>
    <w:rsid w:val="009D085C"/>
    <w:rsid w:val="009D3960"/>
    <w:rsid w:val="009D5073"/>
    <w:rsid w:val="009D558F"/>
    <w:rsid w:val="009D6C42"/>
    <w:rsid w:val="009D76F6"/>
    <w:rsid w:val="009D7ECB"/>
    <w:rsid w:val="009E1273"/>
    <w:rsid w:val="009E25F3"/>
    <w:rsid w:val="009E2A30"/>
    <w:rsid w:val="009E2B98"/>
    <w:rsid w:val="009E2D5F"/>
    <w:rsid w:val="009E33FD"/>
    <w:rsid w:val="009F390E"/>
    <w:rsid w:val="009F481A"/>
    <w:rsid w:val="009F491F"/>
    <w:rsid w:val="009F5BBC"/>
    <w:rsid w:val="009F6C56"/>
    <w:rsid w:val="00A005C1"/>
    <w:rsid w:val="00A044A5"/>
    <w:rsid w:val="00A062B5"/>
    <w:rsid w:val="00A06A12"/>
    <w:rsid w:val="00A1045F"/>
    <w:rsid w:val="00A1184C"/>
    <w:rsid w:val="00A12970"/>
    <w:rsid w:val="00A13ECB"/>
    <w:rsid w:val="00A140A1"/>
    <w:rsid w:val="00A14A4A"/>
    <w:rsid w:val="00A16E4A"/>
    <w:rsid w:val="00A20293"/>
    <w:rsid w:val="00A21B17"/>
    <w:rsid w:val="00A22E72"/>
    <w:rsid w:val="00A26193"/>
    <w:rsid w:val="00A3120C"/>
    <w:rsid w:val="00A314A5"/>
    <w:rsid w:val="00A31C8C"/>
    <w:rsid w:val="00A337AF"/>
    <w:rsid w:val="00A41C16"/>
    <w:rsid w:val="00A4252F"/>
    <w:rsid w:val="00A43E5B"/>
    <w:rsid w:val="00A4492E"/>
    <w:rsid w:val="00A4524C"/>
    <w:rsid w:val="00A45CD1"/>
    <w:rsid w:val="00A51B03"/>
    <w:rsid w:val="00A51BDE"/>
    <w:rsid w:val="00A53530"/>
    <w:rsid w:val="00A5669E"/>
    <w:rsid w:val="00A57106"/>
    <w:rsid w:val="00A60435"/>
    <w:rsid w:val="00A61617"/>
    <w:rsid w:val="00A63925"/>
    <w:rsid w:val="00A63EC2"/>
    <w:rsid w:val="00A70DDB"/>
    <w:rsid w:val="00A7144E"/>
    <w:rsid w:val="00A72C00"/>
    <w:rsid w:val="00A73C9D"/>
    <w:rsid w:val="00A746F9"/>
    <w:rsid w:val="00A767FF"/>
    <w:rsid w:val="00A769D3"/>
    <w:rsid w:val="00A82845"/>
    <w:rsid w:val="00A839D1"/>
    <w:rsid w:val="00A85F9C"/>
    <w:rsid w:val="00A86330"/>
    <w:rsid w:val="00A86999"/>
    <w:rsid w:val="00A90599"/>
    <w:rsid w:val="00A9167C"/>
    <w:rsid w:val="00AA246F"/>
    <w:rsid w:val="00AA2866"/>
    <w:rsid w:val="00AA2A90"/>
    <w:rsid w:val="00AA4BD2"/>
    <w:rsid w:val="00AA664D"/>
    <w:rsid w:val="00AB0BBE"/>
    <w:rsid w:val="00AB1E43"/>
    <w:rsid w:val="00AB1E6F"/>
    <w:rsid w:val="00AB43A7"/>
    <w:rsid w:val="00AB44AD"/>
    <w:rsid w:val="00AB5F14"/>
    <w:rsid w:val="00AB70E0"/>
    <w:rsid w:val="00AB751F"/>
    <w:rsid w:val="00AC05F9"/>
    <w:rsid w:val="00AC0D38"/>
    <w:rsid w:val="00AC2232"/>
    <w:rsid w:val="00AC3BE8"/>
    <w:rsid w:val="00AC3F30"/>
    <w:rsid w:val="00AD03F1"/>
    <w:rsid w:val="00AD13A1"/>
    <w:rsid w:val="00AD16CF"/>
    <w:rsid w:val="00AD2CDE"/>
    <w:rsid w:val="00AD49B2"/>
    <w:rsid w:val="00AD4F37"/>
    <w:rsid w:val="00AD5688"/>
    <w:rsid w:val="00AD5E0C"/>
    <w:rsid w:val="00AD69B9"/>
    <w:rsid w:val="00AE040F"/>
    <w:rsid w:val="00AE0617"/>
    <w:rsid w:val="00AE1785"/>
    <w:rsid w:val="00AE385E"/>
    <w:rsid w:val="00AE6E0C"/>
    <w:rsid w:val="00AE7343"/>
    <w:rsid w:val="00AE7E5F"/>
    <w:rsid w:val="00AF0BB1"/>
    <w:rsid w:val="00AF201C"/>
    <w:rsid w:val="00AF31F9"/>
    <w:rsid w:val="00AF35AC"/>
    <w:rsid w:val="00AF3DFF"/>
    <w:rsid w:val="00AF400D"/>
    <w:rsid w:val="00AF5F84"/>
    <w:rsid w:val="00B012B5"/>
    <w:rsid w:val="00B03B6E"/>
    <w:rsid w:val="00B041B3"/>
    <w:rsid w:val="00B04FC9"/>
    <w:rsid w:val="00B07CFC"/>
    <w:rsid w:val="00B12763"/>
    <w:rsid w:val="00B12DBC"/>
    <w:rsid w:val="00B13F4C"/>
    <w:rsid w:val="00B16451"/>
    <w:rsid w:val="00B208BA"/>
    <w:rsid w:val="00B22B58"/>
    <w:rsid w:val="00B23416"/>
    <w:rsid w:val="00B24B44"/>
    <w:rsid w:val="00B2548E"/>
    <w:rsid w:val="00B30803"/>
    <w:rsid w:val="00B31C19"/>
    <w:rsid w:val="00B347B2"/>
    <w:rsid w:val="00B34F46"/>
    <w:rsid w:val="00B36C5C"/>
    <w:rsid w:val="00B37478"/>
    <w:rsid w:val="00B428F2"/>
    <w:rsid w:val="00B435FB"/>
    <w:rsid w:val="00B45E8F"/>
    <w:rsid w:val="00B46CB3"/>
    <w:rsid w:val="00B51453"/>
    <w:rsid w:val="00B51554"/>
    <w:rsid w:val="00B51739"/>
    <w:rsid w:val="00B53061"/>
    <w:rsid w:val="00B55C18"/>
    <w:rsid w:val="00B56258"/>
    <w:rsid w:val="00B56B96"/>
    <w:rsid w:val="00B57A60"/>
    <w:rsid w:val="00B64054"/>
    <w:rsid w:val="00B65A74"/>
    <w:rsid w:val="00B65DBF"/>
    <w:rsid w:val="00B7060E"/>
    <w:rsid w:val="00B70F8B"/>
    <w:rsid w:val="00B71578"/>
    <w:rsid w:val="00B720DF"/>
    <w:rsid w:val="00B7386A"/>
    <w:rsid w:val="00B74502"/>
    <w:rsid w:val="00B74B0C"/>
    <w:rsid w:val="00B7588E"/>
    <w:rsid w:val="00B76EB7"/>
    <w:rsid w:val="00B771F9"/>
    <w:rsid w:val="00B80736"/>
    <w:rsid w:val="00B81902"/>
    <w:rsid w:val="00B92EB2"/>
    <w:rsid w:val="00B96129"/>
    <w:rsid w:val="00B97308"/>
    <w:rsid w:val="00BA3508"/>
    <w:rsid w:val="00BA4274"/>
    <w:rsid w:val="00BA4B7B"/>
    <w:rsid w:val="00BA56C2"/>
    <w:rsid w:val="00BB1214"/>
    <w:rsid w:val="00BB1CA6"/>
    <w:rsid w:val="00BB41C8"/>
    <w:rsid w:val="00BB5A19"/>
    <w:rsid w:val="00BB7FAA"/>
    <w:rsid w:val="00BC0CC3"/>
    <w:rsid w:val="00BC1FD4"/>
    <w:rsid w:val="00BC3874"/>
    <w:rsid w:val="00BC6CD4"/>
    <w:rsid w:val="00BC7BC3"/>
    <w:rsid w:val="00BD0960"/>
    <w:rsid w:val="00BD3F6A"/>
    <w:rsid w:val="00BD4BED"/>
    <w:rsid w:val="00BD5610"/>
    <w:rsid w:val="00BD56DB"/>
    <w:rsid w:val="00BD7BB6"/>
    <w:rsid w:val="00BE40B8"/>
    <w:rsid w:val="00BF130A"/>
    <w:rsid w:val="00BF185F"/>
    <w:rsid w:val="00BF2C83"/>
    <w:rsid w:val="00BF40F9"/>
    <w:rsid w:val="00BF5FB2"/>
    <w:rsid w:val="00BF7E9A"/>
    <w:rsid w:val="00C003B4"/>
    <w:rsid w:val="00C0064D"/>
    <w:rsid w:val="00C00D7C"/>
    <w:rsid w:val="00C0231B"/>
    <w:rsid w:val="00C103D4"/>
    <w:rsid w:val="00C10771"/>
    <w:rsid w:val="00C1162E"/>
    <w:rsid w:val="00C13466"/>
    <w:rsid w:val="00C134F4"/>
    <w:rsid w:val="00C14370"/>
    <w:rsid w:val="00C148C0"/>
    <w:rsid w:val="00C14E6E"/>
    <w:rsid w:val="00C16B38"/>
    <w:rsid w:val="00C22980"/>
    <w:rsid w:val="00C23B0F"/>
    <w:rsid w:val="00C261EA"/>
    <w:rsid w:val="00C348D9"/>
    <w:rsid w:val="00C3671A"/>
    <w:rsid w:val="00C36875"/>
    <w:rsid w:val="00C4146A"/>
    <w:rsid w:val="00C425B0"/>
    <w:rsid w:val="00C42F30"/>
    <w:rsid w:val="00C46925"/>
    <w:rsid w:val="00C46CD6"/>
    <w:rsid w:val="00C54773"/>
    <w:rsid w:val="00C558CC"/>
    <w:rsid w:val="00C55FAC"/>
    <w:rsid w:val="00C56AA5"/>
    <w:rsid w:val="00C56C38"/>
    <w:rsid w:val="00C6161E"/>
    <w:rsid w:val="00C63337"/>
    <w:rsid w:val="00C63986"/>
    <w:rsid w:val="00C64B31"/>
    <w:rsid w:val="00C675E4"/>
    <w:rsid w:val="00C67D60"/>
    <w:rsid w:val="00C70515"/>
    <w:rsid w:val="00C804F7"/>
    <w:rsid w:val="00C81058"/>
    <w:rsid w:val="00C82B0E"/>
    <w:rsid w:val="00C84D6D"/>
    <w:rsid w:val="00C85B97"/>
    <w:rsid w:val="00C85E5E"/>
    <w:rsid w:val="00C86F1B"/>
    <w:rsid w:val="00C9096D"/>
    <w:rsid w:val="00C91BC1"/>
    <w:rsid w:val="00C93767"/>
    <w:rsid w:val="00C93D36"/>
    <w:rsid w:val="00C95930"/>
    <w:rsid w:val="00C9634D"/>
    <w:rsid w:val="00C96E7C"/>
    <w:rsid w:val="00C97D17"/>
    <w:rsid w:val="00CA069C"/>
    <w:rsid w:val="00CA1A4C"/>
    <w:rsid w:val="00CA2A8C"/>
    <w:rsid w:val="00CA3A76"/>
    <w:rsid w:val="00CA449E"/>
    <w:rsid w:val="00CB25CD"/>
    <w:rsid w:val="00CB38D7"/>
    <w:rsid w:val="00CB6600"/>
    <w:rsid w:val="00CB7762"/>
    <w:rsid w:val="00CC30E1"/>
    <w:rsid w:val="00CC3303"/>
    <w:rsid w:val="00CC423B"/>
    <w:rsid w:val="00CC56AF"/>
    <w:rsid w:val="00CD225E"/>
    <w:rsid w:val="00CD3182"/>
    <w:rsid w:val="00CD3768"/>
    <w:rsid w:val="00CD5D9B"/>
    <w:rsid w:val="00CD756F"/>
    <w:rsid w:val="00CE08D4"/>
    <w:rsid w:val="00CE299E"/>
    <w:rsid w:val="00CE3B6F"/>
    <w:rsid w:val="00CF494E"/>
    <w:rsid w:val="00D016D5"/>
    <w:rsid w:val="00D02743"/>
    <w:rsid w:val="00D0448D"/>
    <w:rsid w:val="00D074CA"/>
    <w:rsid w:val="00D10242"/>
    <w:rsid w:val="00D11C98"/>
    <w:rsid w:val="00D12B3D"/>
    <w:rsid w:val="00D13E9D"/>
    <w:rsid w:val="00D148F7"/>
    <w:rsid w:val="00D15552"/>
    <w:rsid w:val="00D15FA8"/>
    <w:rsid w:val="00D165E8"/>
    <w:rsid w:val="00D17C6C"/>
    <w:rsid w:val="00D23F94"/>
    <w:rsid w:val="00D246AB"/>
    <w:rsid w:val="00D2481B"/>
    <w:rsid w:val="00D25ED9"/>
    <w:rsid w:val="00D275F2"/>
    <w:rsid w:val="00D30EAF"/>
    <w:rsid w:val="00D32CD4"/>
    <w:rsid w:val="00D34759"/>
    <w:rsid w:val="00D41370"/>
    <w:rsid w:val="00D434B2"/>
    <w:rsid w:val="00D44626"/>
    <w:rsid w:val="00D505FA"/>
    <w:rsid w:val="00D508EE"/>
    <w:rsid w:val="00D50A14"/>
    <w:rsid w:val="00D5101F"/>
    <w:rsid w:val="00D51B74"/>
    <w:rsid w:val="00D5236E"/>
    <w:rsid w:val="00D532E1"/>
    <w:rsid w:val="00D53D1A"/>
    <w:rsid w:val="00D55A52"/>
    <w:rsid w:val="00D5633E"/>
    <w:rsid w:val="00D5795F"/>
    <w:rsid w:val="00D617EB"/>
    <w:rsid w:val="00D61D14"/>
    <w:rsid w:val="00D64133"/>
    <w:rsid w:val="00D65F8D"/>
    <w:rsid w:val="00D71A37"/>
    <w:rsid w:val="00D71C81"/>
    <w:rsid w:val="00D7394A"/>
    <w:rsid w:val="00D7641E"/>
    <w:rsid w:val="00D816AA"/>
    <w:rsid w:val="00D83BDC"/>
    <w:rsid w:val="00D851A1"/>
    <w:rsid w:val="00D8597C"/>
    <w:rsid w:val="00D92EF6"/>
    <w:rsid w:val="00D95708"/>
    <w:rsid w:val="00D96A6E"/>
    <w:rsid w:val="00DA3130"/>
    <w:rsid w:val="00DA58E4"/>
    <w:rsid w:val="00DB06D2"/>
    <w:rsid w:val="00DB0E66"/>
    <w:rsid w:val="00DB2655"/>
    <w:rsid w:val="00DB2B03"/>
    <w:rsid w:val="00DB495E"/>
    <w:rsid w:val="00DB4F16"/>
    <w:rsid w:val="00DC2653"/>
    <w:rsid w:val="00DC4C2A"/>
    <w:rsid w:val="00DC6996"/>
    <w:rsid w:val="00DC6C13"/>
    <w:rsid w:val="00DC7E9F"/>
    <w:rsid w:val="00DD0B99"/>
    <w:rsid w:val="00DD195C"/>
    <w:rsid w:val="00DD40E9"/>
    <w:rsid w:val="00DD426E"/>
    <w:rsid w:val="00DD600D"/>
    <w:rsid w:val="00DD6E72"/>
    <w:rsid w:val="00DD7797"/>
    <w:rsid w:val="00DE2FA0"/>
    <w:rsid w:val="00DE6465"/>
    <w:rsid w:val="00DE6711"/>
    <w:rsid w:val="00DF3105"/>
    <w:rsid w:val="00DF3DE4"/>
    <w:rsid w:val="00DF3E87"/>
    <w:rsid w:val="00DF756F"/>
    <w:rsid w:val="00E0036C"/>
    <w:rsid w:val="00E00B2E"/>
    <w:rsid w:val="00E023DF"/>
    <w:rsid w:val="00E05508"/>
    <w:rsid w:val="00E0551F"/>
    <w:rsid w:val="00E05E14"/>
    <w:rsid w:val="00E1428C"/>
    <w:rsid w:val="00E14366"/>
    <w:rsid w:val="00E1739C"/>
    <w:rsid w:val="00E179B2"/>
    <w:rsid w:val="00E24F24"/>
    <w:rsid w:val="00E32272"/>
    <w:rsid w:val="00E32B08"/>
    <w:rsid w:val="00E3344C"/>
    <w:rsid w:val="00E35707"/>
    <w:rsid w:val="00E35DD8"/>
    <w:rsid w:val="00E37623"/>
    <w:rsid w:val="00E422F7"/>
    <w:rsid w:val="00E433EB"/>
    <w:rsid w:val="00E477EF"/>
    <w:rsid w:val="00E5194C"/>
    <w:rsid w:val="00E51B45"/>
    <w:rsid w:val="00E55B5E"/>
    <w:rsid w:val="00E56B57"/>
    <w:rsid w:val="00E57385"/>
    <w:rsid w:val="00E60384"/>
    <w:rsid w:val="00E60777"/>
    <w:rsid w:val="00E62DA0"/>
    <w:rsid w:val="00E64C57"/>
    <w:rsid w:val="00E65CB1"/>
    <w:rsid w:val="00E66F14"/>
    <w:rsid w:val="00E7103C"/>
    <w:rsid w:val="00E71AF5"/>
    <w:rsid w:val="00E72DEE"/>
    <w:rsid w:val="00E73AB1"/>
    <w:rsid w:val="00E73C3B"/>
    <w:rsid w:val="00E74758"/>
    <w:rsid w:val="00E74A45"/>
    <w:rsid w:val="00E74F32"/>
    <w:rsid w:val="00E82529"/>
    <w:rsid w:val="00E83270"/>
    <w:rsid w:val="00E839E0"/>
    <w:rsid w:val="00E846EF"/>
    <w:rsid w:val="00E849D1"/>
    <w:rsid w:val="00E84B4C"/>
    <w:rsid w:val="00E86621"/>
    <w:rsid w:val="00E93AC5"/>
    <w:rsid w:val="00E94579"/>
    <w:rsid w:val="00E9459D"/>
    <w:rsid w:val="00E96448"/>
    <w:rsid w:val="00E967EF"/>
    <w:rsid w:val="00E96FDF"/>
    <w:rsid w:val="00E97110"/>
    <w:rsid w:val="00E9798C"/>
    <w:rsid w:val="00EA0B57"/>
    <w:rsid w:val="00EA1035"/>
    <w:rsid w:val="00EA1F98"/>
    <w:rsid w:val="00EA3C4B"/>
    <w:rsid w:val="00EA5D83"/>
    <w:rsid w:val="00EB1DC5"/>
    <w:rsid w:val="00EB1F25"/>
    <w:rsid w:val="00EB340B"/>
    <w:rsid w:val="00EB41D1"/>
    <w:rsid w:val="00EB4ED8"/>
    <w:rsid w:val="00EB54DF"/>
    <w:rsid w:val="00EB5C12"/>
    <w:rsid w:val="00EC014B"/>
    <w:rsid w:val="00EC20A8"/>
    <w:rsid w:val="00EC4DA7"/>
    <w:rsid w:val="00EC5B1A"/>
    <w:rsid w:val="00EC6112"/>
    <w:rsid w:val="00EC7446"/>
    <w:rsid w:val="00ED0886"/>
    <w:rsid w:val="00ED1774"/>
    <w:rsid w:val="00ED2EED"/>
    <w:rsid w:val="00ED361D"/>
    <w:rsid w:val="00ED3C83"/>
    <w:rsid w:val="00ED51F7"/>
    <w:rsid w:val="00ED5BE9"/>
    <w:rsid w:val="00ED6978"/>
    <w:rsid w:val="00ED7A88"/>
    <w:rsid w:val="00EE0752"/>
    <w:rsid w:val="00EE0BE9"/>
    <w:rsid w:val="00EE2198"/>
    <w:rsid w:val="00EE3A0B"/>
    <w:rsid w:val="00EE5ADB"/>
    <w:rsid w:val="00EE627E"/>
    <w:rsid w:val="00EF0F24"/>
    <w:rsid w:val="00EF17C7"/>
    <w:rsid w:val="00EF2803"/>
    <w:rsid w:val="00EF32E8"/>
    <w:rsid w:val="00EF3C12"/>
    <w:rsid w:val="00EF6658"/>
    <w:rsid w:val="00F00CF3"/>
    <w:rsid w:val="00F01411"/>
    <w:rsid w:val="00F01B5D"/>
    <w:rsid w:val="00F06553"/>
    <w:rsid w:val="00F11E42"/>
    <w:rsid w:val="00F12347"/>
    <w:rsid w:val="00F13525"/>
    <w:rsid w:val="00F14271"/>
    <w:rsid w:val="00F16830"/>
    <w:rsid w:val="00F209DC"/>
    <w:rsid w:val="00F22592"/>
    <w:rsid w:val="00F23ECA"/>
    <w:rsid w:val="00F24DD9"/>
    <w:rsid w:val="00F2528C"/>
    <w:rsid w:val="00F32735"/>
    <w:rsid w:val="00F348A6"/>
    <w:rsid w:val="00F35C73"/>
    <w:rsid w:val="00F36F9F"/>
    <w:rsid w:val="00F424D0"/>
    <w:rsid w:val="00F42EEF"/>
    <w:rsid w:val="00F42EF2"/>
    <w:rsid w:val="00F433FF"/>
    <w:rsid w:val="00F4414C"/>
    <w:rsid w:val="00F442E0"/>
    <w:rsid w:val="00F44F9D"/>
    <w:rsid w:val="00F451A9"/>
    <w:rsid w:val="00F473B3"/>
    <w:rsid w:val="00F50AB2"/>
    <w:rsid w:val="00F51457"/>
    <w:rsid w:val="00F52884"/>
    <w:rsid w:val="00F5291A"/>
    <w:rsid w:val="00F549CF"/>
    <w:rsid w:val="00F56D41"/>
    <w:rsid w:val="00F57D8B"/>
    <w:rsid w:val="00F602FC"/>
    <w:rsid w:val="00F60EAE"/>
    <w:rsid w:val="00F63670"/>
    <w:rsid w:val="00F65276"/>
    <w:rsid w:val="00F721D0"/>
    <w:rsid w:val="00F73718"/>
    <w:rsid w:val="00F73F1B"/>
    <w:rsid w:val="00F742B5"/>
    <w:rsid w:val="00F776EA"/>
    <w:rsid w:val="00F80CE5"/>
    <w:rsid w:val="00F8253D"/>
    <w:rsid w:val="00F82C93"/>
    <w:rsid w:val="00F91B0F"/>
    <w:rsid w:val="00F9388E"/>
    <w:rsid w:val="00F94A0B"/>
    <w:rsid w:val="00F95688"/>
    <w:rsid w:val="00F978EA"/>
    <w:rsid w:val="00FA2083"/>
    <w:rsid w:val="00FA22E2"/>
    <w:rsid w:val="00FA335C"/>
    <w:rsid w:val="00FA5344"/>
    <w:rsid w:val="00FB157B"/>
    <w:rsid w:val="00FB5B08"/>
    <w:rsid w:val="00FC3FDF"/>
    <w:rsid w:val="00FC4282"/>
    <w:rsid w:val="00FC4C5B"/>
    <w:rsid w:val="00FC5E5A"/>
    <w:rsid w:val="00FC64B2"/>
    <w:rsid w:val="00FC688A"/>
    <w:rsid w:val="00FC79ED"/>
    <w:rsid w:val="00FD0A4D"/>
    <w:rsid w:val="00FD2FA0"/>
    <w:rsid w:val="00FD551E"/>
    <w:rsid w:val="00FD5EAB"/>
    <w:rsid w:val="00FE1227"/>
    <w:rsid w:val="00FE21A8"/>
    <w:rsid w:val="00FE3405"/>
    <w:rsid w:val="00FE4859"/>
    <w:rsid w:val="00FE4936"/>
    <w:rsid w:val="00FE5300"/>
    <w:rsid w:val="00FE534E"/>
    <w:rsid w:val="00FE6E46"/>
    <w:rsid w:val="00FE7FAD"/>
    <w:rsid w:val="00FF2809"/>
    <w:rsid w:val="00FF2F4D"/>
    <w:rsid w:val="00FF35AC"/>
    <w:rsid w:val="00FF3F0A"/>
    <w:rsid w:val="00FF7076"/>
    <w:rsid w:val="012873D3"/>
    <w:rsid w:val="01401F5A"/>
    <w:rsid w:val="01C51F26"/>
    <w:rsid w:val="021B6523"/>
    <w:rsid w:val="021C496A"/>
    <w:rsid w:val="02861C5D"/>
    <w:rsid w:val="02864E82"/>
    <w:rsid w:val="028E5BF7"/>
    <w:rsid w:val="029175FA"/>
    <w:rsid w:val="02A46519"/>
    <w:rsid w:val="02C34EEE"/>
    <w:rsid w:val="02F30FA1"/>
    <w:rsid w:val="030663D5"/>
    <w:rsid w:val="0319135E"/>
    <w:rsid w:val="031D75DC"/>
    <w:rsid w:val="03441469"/>
    <w:rsid w:val="034F46D6"/>
    <w:rsid w:val="03784CB1"/>
    <w:rsid w:val="04051239"/>
    <w:rsid w:val="04160C9C"/>
    <w:rsid w:val="04736AA8"/>
    <w:rsid w:val="04CC6B4B"/>
    <w:rsid w:val="053E2C54"/>
    <w:rsid w:val="06125A85"/>
    <w:rsid w:val="0654321E"/>
    <w:rsid w:val="068C1FDE"/>
    <w:rsid w:val="06B0131B"/>
    <w:rsid w:val="06ED1BCA"/>
    <w:rsid w:val="06F91383"/>
    <w:rsid w:val="079A247E"/>
    <w:rsid w:val="079B2882"/>
    <w:rsid w:val="07B71116"/>
    <w:rsid w:val="07F27FE4"/>
    <w:rsid w:val="08190C3F"/>
    <w:rsid w:val="08405380"/>
    <w:rsid w:val="084C7301"/>
    <w:rsid w:val="08980A8D"/>
    <w:rsid w:val="08A07782"/>
    <w:rsid w:val="09572537"/>
    <w:rsid w:val="09694699"/>
    <w:rsid w:val="09992B4F"/>
    <w:rsid w:val="09E8138B"/>
    <w:rsid w:val="0A1E7311"/>
    <w:rsid w:val="0A6071C9"/>
    <w:rsid w:val="0A8E1F88"/>
    <w:rsid w:val="0AA572D2"/>
    <w:rsid w:val="0AD03B89"/>
    <w:rsid w:val="0AD74C6D"/>
    <w:rsid w:val="0AF60B0D"/>
    <w:rsid w:val="0B067BB8"/>
    <w:rsid w:val="0B124F09"/>
    <w:rsid w:val="0B370759"/>
    <w:rsid w:val="0B896BF3"/>
    <w:rsid w:val="0B8B296C"/>
    <w:rsid w:val="0B8E5FB8"/>
    <w:rsid w:val="0B8F7378"/>
    <w:rsid w:val="0B9818EB"/>
    <w:rsid w:val="0BA5348D"/>
    <w:rsid w:val="0BC31006"/>
    <w:rsid w:val="0C152FCB"/>
    <w:rsid w:val="0C26412E"/>
    <w:rsid w:val="0C9B41C4"/>
    <w:rsid w:val="0CBF239A"/>
    <w:rsid w:val="0CF757AC"/>
    <w:rsid w:val="0D2C751C"/>
    <w:rsid w:val="0D57008A"/>
    <w:rsid w:val="0D7D135A"/>
    <w:rsid w:val="0D9E4C87"/>
    <w:rsid w:val="0DA56F93"/>
    <w:rsid w:val="0DB52476"/>
    <w:rsid w:val="0DCE1A94"/>
    <w:rsid w:val="0DD95C10"/>
    <w:rsid w:val="0DDC0C86"/>
    <w:rsid w:val="0DDC3FD5"/>
    <w:rsid w:val="0E7E1C83"/>
    <w:rsid w:val="0E7E5E5F"/>
    <w:rsid w:val="0F603F8D"/>
    <w:rsid w:val="0F747D3A"/>
    <w:rsid w:val="1049527D"/>
    <w:rsid w:val="106A2B50"/>
    <w:rsid w:val="10B34976"/>
    <w:rsid w:val="110F725F"/>
    <w:rsid w:val="11163121"/>
    <w:rsid w:val="11285B62"/>
    <w:rsid w:val="11380EA0"/>
    <w:rsid w:val="11B30526"/>
    <w:rsid w:val="12214824"/>
    <w:rsid w:val="12315DC0"/>
    <w:rsid w:val="12362D47"/>
    <w:rsid w:val="12DD0C75"/>
    <w:rsid w:val="12FA67BA"/>
    <w:rsid w:val="13304B67"/>
    <w:rsid w:val="134566BC"/>
    <w:rsid w:val="135774FE"/>
    <w:rsid w:val="135F0966"/>
    <w:rsid w:val="13A46379"/>
    <w:rsid w:val="13AD66FE"/>
    <w:rsid w:val="13F310AE"/>
    <w:rsid w:val="13FA243C"/>
    <w:rsid w:val="14192430"/>
    <w:rsid w:val="142011A6"/>
    <w:rsid w:val="144C6CB5"/>
    <w:rsid w:val="14564609"/>
    <w:rsid w:val="14583120"/>
    <w:rsid w:val="15215C70"/>
    <w:rsid w:val="152754B3"/>
    <w:rsid w:val="15495F87"/>
    <w:rsid w:val="154D06FF"/>
    <w:rsid w:val="1574342C"/>
    <w:rsid w:val="15965C16"/>
    <w:rsid w:val="15A444A6"/>
    <w:rsid w:val="161326E2"/>
    <w:rsid w:val="16277A0B"/>
    <w:rsid w:val="162E6FC6"/>
    <w:rsid w:val="164125A5"/>
    <w:rsid w:val="16852D6C"/>
    <w:rsid w:val="16884649"/>
    <w:rsid w:val="16C94348"/>
    <w:rsid w:val="17517F11"/>
    <w:rsid w:val="17B24919"/>
    <w:rsid w:val="17B4163D"/>
    <w:rsid w:val="17C9694A"/>
    <w:rsid w:val="17F94FFE"/>
    <w:rsid w:val="1813218C"/>
    <w:rsid w:val="181745F5"/>
    <w:rsid w:val="182F467F"/>
    <w:rsid w:val="185B7983"/>
    <w:rsid w:val="18AF29F3"/>
    <w:rsid w:val="18DC65B5"/>
    <w:rsid w:val="190805F5"/>
    <w:rsid w:val="19371006"/>
    <w:rsid w:val="19660714"/>
    <w:rsid w:val="197C2955"/>
    <w:rsid w:val="19E82C89"/>
    <w:rsid w:val="1A4268EB"/>
    <w:rsid w:val="1A444411"/>
    <w:rsid w:val="1A5279E9"/>
    <w:rsid w:val="1AD43112"/>
    <w:rsid w:val="1B925650"/>
    <w:rsid w:val="1BEB63D8"/>
    <w:rsid w:val="1C78157F"/>
    <w:rsid w:val="1C8B1F64"/>
    <w:rsid w:val="1CCE7DB9"/>
    <w:rsid w:val="1CD25790"/>
    <w:rsid w:val="1D050C0D"/>
    <w:rsid w:val="1D3544E5"/>
    <w:rsid w:val="1D741B48"/>
    <w:rsid w:val="1D787557"/>
    <w:rsid w:val="1E036392"/>
    <w:rsid w:val="1E097B16"/>
    <w:rsid w:val="1E53284B"/>
    <w:rsid w:val="1E5F512D"/>
    <w:rsid w:val="1E7D07A5"/>
    <w:rsid w:val="1E892E63"/>
    <w:rsid w:val="1EE70F94"/>
    <w:rsid w:val="1F4F3A29"/>
    <w:rsid w:val="1F9B16E8"/>
    <w:rsid w:val="20085EE1"/>
    <w:rsid w:val="20255070"/>
    <w:rsid w:val="202B6819"/>
    <w:rsid w:val="208B7D93"/>
    <w:rsid w:val="20EE6FC1"/>
    <w:rsid w:val="20EF1D98"/>
    <w:rsid w:val="214D3689"/>
    <w:rsid w:val="21606878"/>
    <w:rsid w:val="2193780B"/>
    <w:rsid w:val="219C0FD7"/>
    <w:rsid w:val="21B65647"/>
    <w:rsid w:val="21FA130C"/>
    <w:rsid w:val="22027AEB"/>
    <w:rsid w:val="22271B75"/>
    <w:rsid w:val="2235090D"/>
    <w:rsid w:val="22547340"/>
    <w:rsid w:val="226570FE"/>
    <w:rsid w:val="22847FC3"/>
    <w:rsid w:val="22926E01"/>
    <w:rsid w:val="230A5C39"/>
    <w:rsid w:val="23545E69"/>
    <w:rsid w:val="23A42D0F"/>
    <w:rsid w:val="23A60FED"/>
    <w:rsid w:val="24062928"/>
    <w:rsid w:val="24141BE4"/>
    <w:rsid w:val="244217C3"/>
    <w:rsid w:val="24446463"/>
    <w:rsid w:val="24462A2D"/>
    <w:rsid w:val="246B6A3F"/>
    <w:rsid w:val="24AF1021"/>
    <w:rsid w:val="255E9A8F"/>
    <w:rsid w:val="25625F13"/>
    <w:rsid w:val="25761FE8"/>
    <w:rsid w:val="25A55F80"/>
    <w:rsid w:val="261B3EF8"/>
    <w:rsid w:val="26B36D0C"/>
    <w:rsid w:val="26C70FC3"/>
    <w:rsid w:val="271F7DFA"/>
    <w:rsid w:val="27221D75"/>
    <w:rsid w:val="272F3A51"/>
    <w:rsid w:val="27333F23"/>
    <w:rsid w:val="27C63A92"/>
    <w:rsid w:val="27E17743"/>
    <w:rsid w:val="27E47234"/>
    <w:rsid w:val="27F00097"/>
    <w:rsid w:val="27F8287A"/>
    <w:rsid w:val="280803EC"/>
    <w:rsid w:val="281C69CE"/>
    <w:rsid w:val="282E0237"/>
    <w:rsid w:val="28643197"/>
    <w:rsid w:val="286F16B2"/>
    <w:rsid w:val="28B44E58"/>
    <w:rsid w:val="28C01D17"/>
    <w:rsid w:val="28C661CF"/>
    <w:rsid w:val="28E76E28"/>
    <w:rsid w:val="29217386"/>
    <w:rsid w:val="29362D86"/>
    <w:rsid w:val="293E0BC6"/>
    <w:rsid w:val="29A11347"/>
    <w:rsid w:val="29D3144C"/>
    <w:rsid w:val="2A27165A"/>
    <w:rsid w:val="2A29350A"/>
    <w:rsid w:val="2A2F3040"/>
    <w:rsid w:val="2A4E3D69"/>
    <w:rsid w:val="2AE200DD"/>
    <w:rsid w:val="2AE755C2"/>
    <w:rsid w:val="2B4F0E68"/>
    <w:rsid w:val="2B5F21E3"/>
    <w:rsid w:val="2B7566BF"/>
    <w:rsid w:val="2B987F6F"/>
    <w:rsid w:val="2BAD5B8F"/>
    <w:rsid w:val="2BAE36BF"/>
    <w:rsid w:val="2BB313F7"/>
    <w:rsid w:val="2BCB3F2A"/>
    <w:rsid w:val="2C102611"/>
    <w:rsid w:val="2C29369E"/>
    <w:rsid w:val="2C35294C"/>
    <w:rsid w:val="2C4604BD"/>
    <w:rsid w:val="2C9B7CA1"/>
    <w:rsid w:val="2CF27CFD"/>
    <w:rsid w:val="2D5914BC"/>
    <w:rsid w:val="2D821071"/>
    <w:rsid w:val="2DC14C40"/>
    <w:rsid w:val="2DCD2FDA"/>
    <w:rsid w:val="2DD81DDD"/>
    <w:rsid w:val="2DD87F45"/>
    <w:rsid w:val="2E057444"/>
    <w:rsid w:val="2E216B3B"/>
    <w:rsid w:val="2E4A46A0"/>
    <w:rsid w:val="2E513149"/>
    <w:rsid w:val="2E7D5CEC"/>
    <w:rsid w:val="2EB07E70"/>
    <w:rsid w:val="2EB23ECC"/>
    <w:rsid w:val="2EF72DA2"/>
    <w:rsid w:val="2EF83FC5"/>
    <w:rsid w:val="2F0267D5"/>
    <w:rsid w:val="2F3515C3"/>
    <w:rsid w:val="2F391C13"/>
    <w:rsid w:val="2F3F38D4"/>
    <w:rsid w:val="2F7970D7"/>
    <w:rsid w:val="2FE64400"/>
    <w:rsid w:val="301339CC"/>
    <w:rsid w:val="3083145F"/>
    <w:rsid w:val="3085324C"/>
    <w:rsid w:val="30A7668A"/>
    <w:rsid w:val="30E958BB"/>
    <w:rsid w:val="30F20D3F"/>
    <w:rsid w:val="31320866"/>
    <w:rsid w:val="313B43AB"/>
    <w:rsid w:val="317407C0"/>
    <w:rsid w:val="31AB7E01"/>
    <w:rsid w:val="32207518"/>
    <w:rsid w:val="32A45578"/>
    <w:rsid w:val="32B3311C"/>
    <w:rsid w:val="3312555B"/>
    <w:rsid w:val="33274478"/>
    <w:rsid w:val="334502B8"/>
    <w:rsid w:val="3384079C"/>
    <w:rsid w:val="33AA6EA7"/>
    <w:rsid w:val="33DC5692"/>
    <w:rsid w:val="33E54C86"/>
    <w:rsid w:val="342F6C69"/>
    <w:rsid w:val="34A00986"/>
    <w:rsid w:val="34D8684E"/>
    <w:rsid w:val="34FF1114"/>
    <w:rsid w:val="35386E11"/>
    <w:rsid w:val="35BD291C"/>
    <w:rsid w:val="35EA1EB9"/>
    <w:rsid w:val="36BE3D73"/>
    <w:rsid w:val="36E44AE2"/>
    <w:rsid w:val="37741972"/>
    <w:rsid w:val="377443BF"/>
    <w:rsid w:val="37C45D5C"/>
    <w:rsid w:val="37F93E62"/>
    <w:rsid w:val="380A6843"/>
    <w:rsid w:val="380F3DCD"/>
    <w:rsid w:val="389E2A5F"/>
    <w:rsid w:val="38BD73CD"/>
    <w:rsid w:val="39243934"/>
    <w:rsid w:val="39535BFE"/>
    <w:rsid w:val="398B7F95"/>
    <w:rsid w:val="39A96F72"/>
    <w:rsid w:val="39B5458C"/>
    <w:rsid w:val="39CE38A0"/>
    <w:rsid w:val="3A1C4963"/>
    <w:rsid w:val="3A5570FB"/>
    <w:rsid w:val="3A563FC1"/>
    <w:rsid w:val="3A97759B"/>
    <w:rsid w:val="3A990BD3"/>
    <w:rsid w:val="3AC86541"/>
    <w:rsid w:val="3AF953E5"/>
    <w:rsid w:val="3B1E5EB2"/>
    <w:rsid w:val="3B4E2FFF"/>
    <w:rsid w:val="3B6049CB"/>
    <w:rsid w:val="3B7A5064"/>
    <w:rsid w:val="3B8107CA"/>
    <w:rsid w:val="3B9C47C1"/>
    <w:rsid w:val="3BAC29ED"/>
    <w:rsid w:val="3BB367AF"/>
    <w:rsid w:val="3BB40923"/>
    <w:rsid w:val="3BD03227"/>
    <w:rsid w:val="3C024B7D"/>
    <w:rsid w:val="3C4E0CC8"/>
    <w:rsid w:val="3C7F4EBC"/>
    <w:rsid w:val="3C862210"/>
    <w:rsid w:val="3D205A10"/>
    <w:rsid w:val="3D5671AA"/>
    <w:rsid w:val="3D8E2068"/>
    <w:rsid w:val="3DFF4595"/>
    <w:rsid w:val="3E1D7CAF"/>
    <w:rsid w:val="3E750F66"/>
    <w:rsid w:val="3E7E66A3"/>
    <w:rsid w:val="3EAD286A"/>
    <w:rsid w:val="3F676329"/>
    <w:rsid w:val="3F676452"/>
    <w:rsid w:val="3FE63663"/>
    <w:rsid w:val="3FE756BB"/>
    <w:rsid w:val="408353E4"/>
    <w:rsid w:val="40972C3D"/>
    <w:rsid w:val="40B777E0"/>
    <w:rsid w:val="40C24977"/>
    <w:rsid w:val="40C96B6F"/>
    <w:rsid w:val="40E26775"/>
    <w:rsid w:val="40FF1D3F"/>
    <w:rsid w:val="41445C3F"/>
    <w:rsid w:val="41655958"/>
    <w:rsid w:val="418954B3"/>
    <w:rsid w:val="4194717D"/>
    <w:rsid w:val="42661790"/>
    <w:rsid w:val="42AC628E"/>
    <w:rsid w:val="42E163F2"/>
    <w:rsid w:val="43087E22"/>
    <w:rsid w:val="43240916"/>
    <w:rsid w:val="435528D9"/>
    <w:rsid w:val="4357078B"/>
    <w:rsid w:val="4379029A"/>
    <w:rsid w:val="43A46303"/>
    <w:rsid w:val="43A7763B"/>
    <w:rsid w:val="43AC108E"/>
    <w:rsid w:val="43CA2CF3"/>
    <w:rsid w:val="43E42978"/>
    <w:rsid w:val="43F42D41"/>
    <w:rsid w:val="440A1978"/>
    <w:rsid w:val="441962C2"/>
    <w:rsid w:val="4440689F"/>
    <w:rsid w:val="447E0969"/>
    <w:rsid w:val="44D2503A"/>
    <w:rsid w:val="44DA1D47"/>
    <w:rsid w:val="45647867"/>
    <w:rsid w:val="4582210E"/>
    <w:rsid w:val="45C86CE6"/>
    <w:rsid w:val="45F14B9E"/>
    <w:rsid w:val="45FA5F64"/>
    <w:rsid w:val="460743C1"/>
    <w:rsid w:val="46144D30"/>
    <w:rsid w:val="46790A77"/>
    <w:rsid w:val="467F21AA"/>
    <w:rsid w:val="46BF4C9C"/>
    <w:rsid w:val="47883ED1"/>
    <w:rsid w:val="47986C63"/>
    <w:rsid w:val="47D6229D"/>
    <w:rsid w:val="47FE7A46"/>
    <w:rsid w:val="48374FFD"/>
    <w:rsid w:val="487E1EBD"/>
    <w:rsid w:val="489C235A"/>
    <w:rsid w:val="48EE6CFE"/>
    <w:rsid w:val="49264B98"/>
    <w:rsid w:val="49602681"/>
    <w:rsid w:val="4961028C"/>
    <w:rsid w:val="497C0C22"/>
    <w:rsid w:val="49BF2FBD"/>
    <w:rsid w:val="4AB80DFE"/>
    <w:rsid w:val="4AFA3073"/>
    <w:rsid w:val="4B477F40"/>
    <w:rsid w:val="4BE66A88"/>
    <w:rsid w:val="4BEA240B"/>
    <w:rsid w:val="4BEE392E"/>
    <w:rsid w:val="4C1F5F2B"/>
    <w:rsid w:val="4C46012D"/>
    <w:rsid w:val="4CB532A8"/>
    <w:rsid w:val="4CCC1976"/>
    <w:rsid w:val="4CD174D7"/>
    <w:rsid w:val="4D4B48F3"/>
    <w:rsid w:val="4DE6018E"/>
    <w:rsid w:val="4DF27B79"/>
    <w:rsid w:val="4E1729CD"/>
    <w:rsid w:val="4E296E9F"/>
    <w:rsid w:val="4EE942B4"/>
    <w:rsid w:val="4F0227BF"/>
    <w:rsid w:val="4F31106F"/>
    <w:rsid w:val="4F55619D"/>
    <w:rsid w:val="4F633558"/>
    <w:rsid w:val="4F8E1D24"/>
    <w:rsid w:val="50257DA7"/>
    <w:rsid w:val="50266D04"/>
    <w:rsid w:val="50504182"/>
    <w:rsid w:val="505C5D66"/>
    <w:rsid w:val="50753163"/>
    <w:rsid w:val="50817137"/>
    <w:rsid w:val="509E5922"/>
    <w:rsid w:val="50B11EC2"/>
    <w:rsid w:val="50C37CBB"/>
    <w:rsid w:val="50C71A45"/>
    <w:rsid w:val="510451A5"/>
    <w:rsid w:val="51410B71"/>
    <w:rsid w:val="51A554F3"/>
    <w:rsid w:val="51ED50E8"/>
    <w:rsid w:val="523D7A9D"/>
    <w:rsid w:val="52C15655"/>
    <w:rsid w:val="52C250C7"/>
    <w:rsid w:val="52CB62CE"/>
    <w:rsid w:val="52E1539C"/>
    <w:rsid w:val="530B344E"/>
    <w:rsid w:val="5314011E"/>
    <w:rsid w:val="53B44FB9"/>
    <w:rsid w:val="53C733E2"/>
    <w:rsid w:val="53FF0DCE"/>
    <w:rsid w:val="54066594"/>
    <w:rsid w:val="54154F71"/>
    <w:rsid w:val="544C01DA"/>
    <w:rsid w:val="54826A6F"/>
    <w:rsid w:val="548D4BE8"/>
    <w:rsid w:val="548E6FCC"/>
    <w:rsid w:val="54B41BB8"/>
    <w:rsid w:val="54BC3371"/>
    <w:rsid w:val="54EC13E3"/>
    <w:rsid w:val="55985036"/>
    <w:rsid w:val="559F4096"/>
    <w:rsid w:val="55D70E52"/>
    <w:rsid w:val="55E54A69"/>
    <w:rsid w:val="55F00D79"/>
    <w:rsid w:val="560358E7"/>
    <w:rsid w:val="56682C5A"/>
    <w:rsid w:val="56905D0D"/>
    <w:rsid w:val="5737456A"/>
    <w:rsid w:val="573D3418"/>
    <w:rsid w:val="576378C6"/>
    <w:rsid w:val="578C3B2F"/>
    <w:rsid w:val="57CE5A99"/>
    <w:rsid w:val="57E1275E"/>
    <w:rsid w:val="57FD3B20"/>
    <w:rsid w:val="583730A7"/>
    <w:rsid w:val="589D4368"/>
    <w:rsid w:val="58CB74D0"/>
    <w:rsid w:val="595F6971"/>
    <w:rsid w:val="597C1F53"/>
    <w:rsid w:val="597F295B"/>
    <w:rsid w:val="59896DA8"/>
    <w:rsid w:val="5A170196"/>
    <w:rsid w:val="5A36306F"/>
    <w:rsid w:val="5A473E48"/>
    <w:rsid w:val="5A5C174F"/>
    <w:rsid w:val="5A6E45B7"/>
    <w:rsid w:val="5A7D0C9E"/>
    <w:rsid w:val="5A851901"/>
    <w:rsid w:val="5B0740EA"/>
    <w:rsid w:val="5B247141"/>
    <w:rsid w:val="5B603133"/>
    <w:rsid w:val="5B9837E7"/>
    <w:rsid w:val="5BA734AB"/>
    <w:rsid w:val="5BB168EF"/>
    <w:rsid w:val="5BB40E40"/>
    <w:rsid w:val="5BC30933"/>
    <w:rsid w:val="5BE95C7A"/>
    <w:rsid w:val="5BEF76E9"/>
    <w:rsid w:val="5C0D2A63"/>
    <w:rsid w:val="5C3D2493"/>
    <w:rsid w:val="5C5D0A1B"/>
    <w:rsid w:val="5C5F065B"/>
    <w:rsid w:val="5CB079DC"/>
    <w:rsid w:val="5CBD7200"/>
    <w:rsid w:val="5CC70097"/>
    <w:rsid w:val="5CE337FB"/>
    <w:rsid w:val="5D437F7D"/>
    <w:rsid w:val="5D706898"/>
    <w:rsid w:val="5D7B40D5"/>
    <w:rsid w:val="5DCFAE16"/>
    <w:rsid w:val="5E8C7702"/>
    <w:rsid w:val="5EA21F2F"/>
    <w:rsid w:val="5EA91689"/>
    <w:rsid w:val="5F0822F6"/>
    <w:rsid w:val="5F0A286B"/>
    <w:rsid w:val="5F1662FE"/>
    <w:rsid w:val="5F20459A"/>
    <w:rsid w:val="5F3A0F0C"/>
    <w:rsid w:val="5F57386C"/>
    <w:rsid w:val="5F803FFB"/>
    <w:rsid w:val="5FB50B08"/>
    <w:rsid w:val="5FDD3055"/>
    <w:rsid w:val="60134695"/>
    <w:rsid w:val="60464B44"/>
    <w:rsid w:val="60625971"/>
    <w:rsid w:val="60BB3DF4"/>
    <w:rsid w:val="60F670B5"/>
    <w:rsid w:val="61FE0917"/>
    <w:rsid w:val="62287742"/>
    <w:rsid w:val="62375736"/>
    <w:rsid w:val="62834BFD"/>
    <w:rsid w:val="62B95263"/>
    <w:rsid w:val="63070B25"/>
    <w:rsid w:val="631521FA"/>
    <w:rsid w:val="63312CBB"/>
    <w:rsid w:val="634C5B54"/>
    <w:rsid w:val="635A4871"/>
    <w:rsid w:val="635F44F0"/>
    <w:rsid w:val="639A641D"/>
    <w:rsid w:val="645C6FAC"/>
    <w:rsid w:val="64CE4547"/>
    <w:rsid w:val="65007790"/>
    <w:rsid w:val="65071890"/>
    <w:rsid w:val="65362175"/>
    <w:rsid w:val="655A4F13"/>
    <w:rsid w:val="65624D19"/>
    <w:rsid w:val="65735178"/>
    <w:rsid w:val="657A7089"/>
    <w:rsid w:val="65B6317D"/>
    <w:rsid w:val="66416381"/>
    <w:rsid w:val="6688682D"/>
    <w:rsid w:val="66AB22D9"/>
    <w:rsid w:val="66D41533"/>
    <w:rsid w:val="66DC6D4D"/>
    <w:rsid w:val="673D49E3"/>
    <w:rsid w:val="674072DB"/>
    <w:rsid w:val="675532C8"/>
    <w:rsid w:val="679F7DEF"/>
    <w:rsid w:val="67EB657A"/>
    <w:rsid w:val="680633E1"/>
    <w:rsid w:val="68226616"/>
    <w:rsid w:val="6844104D"/>
    <w:rsid w:val="68474112"/>
    <w:rsid w:val="684921C0"/>
    <w:rsid w:val="68576F69"/>
    <w:rsid w:val="68B00491"/>
    <w:rsid w:val="68B735CD"/>
    <w:rsid w:val="68B84DB4"/>
    <w:rsid w:val="69005E96"/>
    <w:rsid w:val="69027022"/>
    <w:rsid w:val="694035C3"/>
    <w:rsid w:val="69CE6E20"/>
    <w:rsid w:val="6A0E53A0"/>
    <w:rsid w:val="6A16113C"/>
    <w:rsid w:val="6A2054D5"/>
    <w:rsid w:val="6A4F42B1"/>
    <w:rsid w:val="6A693B40"/>
    <w:rsid w:val="6AB53B3C"/>
    <w:rsid w:val="6AF74155"/>
    <w:rsid w:val="6AFD34C8"/>
    <w:rsid w:val="6B0B7C86"/>
    <w:rsid w:val="6B80414A"/>
    <w:rsid w:val="6B883D6D"/>
    <w:rsid w:val="6B97675D"/>
    <w:rsid w:val="6BBB540D"/>
    <w:rsid w:val="6C3F7AD0"/>
    <w:rsid w:val="6CC12C6C"/>
    <w:rsid w:val="6CCE6403"/>
    <w:rsid w:val="6CDA7624"/>
    <w:rsid w:val="6CE81713"/>
    <w:rsid w:val="6D003795"/>
    <w:rsid w:val="6D070BEB"/>
    <w:rsid w:val="6D084FE0"/>
    <w:rsid w:val="6D0B6015"/>
    <w:rsid w:val="6D3276C6"/>
    <w:rsid w:val="6D7B2E1B"/>
    <w:rsid w:val="6D7B76B4"/>
    <w:rsid w:val="6D8F2D6B"/>
    <w:rsid w:val="6D9143ED"/>
    <w:rsid w:val="6DB74CDB"/>
    <w:rsid w:val="6DB83DEC"/>
    <w:rsid w:val="6DB91B96"/>
    <w:rsid w:val="6DB932C1"/>
    <w:rsid w:val="6E1437DA"/>
    <w:rsid w:val="6E1F0847"/>
    <w:rsid w:val="6E3520A2"/>
    <w:rsid w:val="6E3A43BC"/>
    <w:rsid w:val="6EF6485A"/>
    <w:rsid w:val="6F394D3C"/>
    <w:rsid w:val="6F572DF1"/>
    <w:rsid w:val="6F724F97"/>
    <w:rsid w:val="6F7264A0"/>
    <w:rsid w:val="6FA843BB"/>
    <w:rsid w:val="6FBC771B"/>
    <w:rsid w:val="6FF4591D"/>
    <w:rsid w:val="70A66401"/>
    <w:rsid w:val="713F6A92"/>
    <w:rsid w:val="71877781"/>
    <w:rsid w:val="71B66B18"/>
    <w:rsid w:val="72202137"/>
    <w:rsid w:val="722C52AF"/>
    <w:rsid w:val="728C5ACB"/>
    <w:rsid w:val="72944086"/>
    <w:rsid w:val="72954F16"/>
    <w:rsid w:val="72D82ABE"/>
    <w:rsid w:val="733B0CDF"/>
    <w:rsid w:val="7350785D"/>
    <w:rsid w:val="7354438F"/>
    <w:rsid w:val="73852C46"/>
    <w:rsid w:val="738702F3"/>
    <w:rsid w:val="73A07A74"/>
    <w:rsid w:val="73C86E78"/>
    <w:rsid w:val="73CB43D1"/>
    <w:rsid w:val="73E07E7C"/>
    <w:rsid w:val="747D391D"/>
    <w:rsid w:val="74CD211B"/>
    <w:rsid w:val="74DD1DA7"/>
    <w:rsid w:val="752C1393"/>
    <w:rsid w:val="7547449C"/>
    <w:rsid w:val="755548B4"/>
    <w:rsid w:val="7580588A"/>
    <w:rsid w:val="75D06459"/>
    <w:rsid w:val="762C6FE5"/>
    <w:rsid w:val="7630052F"/>
    <w:rsid w:val="7634380D"/>
    <w:rsid w:val="76375191"/>
    <w:rsid w:val="7639386A"/>
    <w:rsid w:val="76575EBB"/>
    <w:rsid w:val="766069C2"/>
    <w:rsid w:val="7686683E"/>
    <w:rsid w:val="76877ABF"/>
    <w:rsid w:val="76A84E99"/>
    <w:rsid w:val="76E12833"/>
    <w:rsid w:val="76E4232A"/>
    <w:rsid w:val="76F55A77"/>
    <w:rsid w:val="77633752"/>
    <w:rsid w:val="77646A47"/>
    <w:rsid w:val="778B45A3"/>
    <w:rsid w:val="77E638B0"/>
    <w:rsid w:val="77EF7281"/>
    <w:rsid w:val="786170B2"/>
    <w:rsid w:val="788D4480"/>
    <w:rsid w:val="78A32008"/>
    <w:rsid w:val="78C57F86"/>
    <w:rsid w:val="78D11888"/>
    <w:rsid w:val="78F53F2C"/>
    <w:rsid w:val="796912D5"/>
    <w:rsid w:val="796C36EE"/>
    <w:rsid w:val="79C344AC"/>
    <w:rsid w:val="79DA1E2B"/>
    <w:rsid w:val="79F62C66"/>
    <w:rsid w:val="7A6014EF"/>
    <w:rsid w:val="7A9B4AFD"/>
    <w:rsid w:val="7ADB314B"/>
    <w:rsid w:val="7AE04C06"/>
    <w:rsid w:val="7AFD2666"/>
    <w:rsid w:val="7AFD7B90"/>
    <w:rsid w:val="7AFE6E3A"/>
    <w:rsid w:val="7B2033F0"/>
    <w:rsid w:val="7B2D0AFC"/>
    <w:rsid w:val="7B4A02D1"/>
    <w:rsid w:val="7B4A6DD9"/>
    <w:rsid w:val="7BF45114"/>
    <w:rsid w:val="7C4A67DB"/>
    <w:rsid w:val="7CA848E7"/>
    <w:rsid w:val="7CDB5685"/>
    <w:rsid w:val="7CE915AD"/>
    <w:rsid w:val="7D0821F2"/>
    <w:rsid w:val="7D3A560F"/>
    <w:rsid w:val="7DCF0593"/>
    <w:rsid w:val="7DD74128"/>
    <w:rsid w:val="7DD944B9"/>
    <w:rsid w:val="7E1F194A"/>
    <w:rsid w:val="7E441142"/>
    <w:rsid w:val="7E7A1CAE"/>
    <w:rsid w:val="7EC34622"/>
    <w:rsid w:val="7F493897"/>
    <w:rsid w:val="7FA833B8"/>
    <w:rsid w:val="FDF61C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uiPriority="39" w:name="toc 2"/>
    <w:lsdException w:uiPriority="39" w:name="toc 3"/>
    <w:lsdException w:uiPriority="39" w:name="toc 4"/>
    <w:lsdException w:uiPriority="39" w:name="toc 5"/>
    <w:lsdException w:qFormat="1" w:unhideWhenUsed="0" w:uiPriority="0" w:semiHidden="0"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0"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99" w:semiHidden="0"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0"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47"/>
    <w:qFormat/>
    <w:uiPriority w:val="0"/>
    <w:pPr>
      <w:keepNext/>
      <w:keepLines/>
      <w:spacing w:before="340" w:after="330" w:line="578" w:lineRule="auto"/>
      <w:outlineLvl w:val="0"/>
    </w:pPr>
    <w:rPr>
      <w:kern w:val="44"/>
      <w:sz w:val="44"/>
      <w:szCs w:val="44"/>
    </w:rPr>
  </w:style>
  <w:style w:type="paragraph" w:styleId="3">
    <w:name w:val="heading 2"/>
    <w:basedOn w:val="1"/>
    <w:next w:val="1"/>
    <w:link w:val="48"/>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9"/>
    <w:qFormat/>
    <w:uiPriority w:val="0"/>
    <w:pPr>
      <w:keepNext/>
      <w:keepLines/>
      <w:spacing w:before="260" w:after="260" w:line="416" w:lineRule="auto"/>
      <w:outlineLvl w:val="2"/>
    </w:pPr>
    <w:rPr>
      <w:b/>
      <w:bCs/>
      <w:sz w:val="32"/>
      <w:szCs w:val="32"/>
    </w:rPr>
  </w:style>
  <w:style w:type="paragraph" w:styleId="5">
    <w:name w:val="heading 4"/>
    <w:basedOn w:val="1"/>
    <w:next w:val="1"/>
    <w:link w:val="50"/>
    <w:qFormat/>
    <w:uiPriority w:val="0"/>
    <w:pPr>
      <w:keepNext/>
      <w:jc w:val="center"/>
      <w:outlineLvl w:val="3"/>
    </w:pPr>
    <w:rPr>
      <w:rFonts w:eastAsia="新宋体"/>
      <w:sz w:val="30"/>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51"/>
    <w:qFormat/>
    <w:uiPriority w:val="0"/>
    <w:pPr>
      <w:ind w:firstLine="420"/>
    </w:pPr>
    <w:rPr>
      <w:szCs w:val="20"/>
    </w:rPr>
  </w:style>
  <w:style w:type="paragraph" w:styleId="7">
    <w:name w:val="Document Map"/>
    <w:basedOn w:val="1"/>
    <w:next w:val="1"/>
    <w:link w:val="52"/>
    <w:semiHidden/>
    <w:qFormat/>
    <w:uiPriority w:val="0"/>
    <w:pPr>
      <w:shd w:val="clear" w:color="auto" w:fill="000080"/>
    </w:pPr>
  </w:style>
  <w:style w:type="paragraph" w:styleId="8">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9">
    <w:name w:val="annotation text"/>
    <w:basedOn w:val="1"/>
    <w:link w:val="53"/>
    <w:unhideWhenUsed/>
    <w:qFormat/>
    <w:uiPriority w:val="99"/>
    <w:pPr>
      <w:jc w:val="left"/>
    </w:pPr>
  </w:style>
  <w:style w:type="paragraph" w:styleId="10">
    <w:name w:val="Body Text"/>
    <w:basedOn w:val="1"/>
    <w:next w:val="1"/>
    <w:qFormat/>
    <w:uiPriority w:val="0"/>
    <w:pPr>
      <w:spacing w:line="400" w:lineRule="exact"/>
    </w:pPr>
    <w:rPr>
      <w:rFonts w:ascii="楷体_GB2312"/>
      <w:sz w:val="28"/>
    </w:rPr>
  </w:style>
  <w:style w:type="paragraph" w:styleId="11">
    <w:name w:val="Body Text Indent"/>
    <w:basedOn w:val="1"/>
    <w:next w:val="12"/>
    <w:link w:val="54"/>
    <w:qFormat/>
    <w:uiPriority w:val="0"/>
    <w:pPr>
      <w:spacing w:after="120"/>
      <w:ind w:left="420" w:leftChars="200"/>
    </w:pPr>
  </w:style>
  <w:style w:type="paragraph" w:styleId="12">
    <w:name w:val="envelope return"/>
    <w:basedOn w:val="1"/>
    <w:unhideWhenUsed/>
    <w:qFormat/>
    <w:uiPriority w:val="99"/>
    <w:pPr>
      <w:snapToGrid w:val="0"/>
    </w:pPr>
    <w:rPr>
      <w:rFonts w:ascii="Arial" w:hAnsi="Arial"/>
    </w:rPr>
  </w:style>
  <w:style w:type="paragraph" w:styleId="13">
    <w:name w:val="Block Text"/>
    <w:basedOn w:val="1"/>
    <w:next w:val="10"/>
    <w:qFormat/>
    <w:uiPriority w:val="99"/>
    <w:pPr>
      <w:ind w:left="1440" w:leftChars="700" w:right="700" w:rightChars="700"/>
    </w:pPr>
    <w:rPr>
      <w:color w:val="FF0000"/>
      <w:sz w:val="18"/>
    </w:rPr>
  </w:style>
  <w:style w:type="paragraph" w:styleId="14">
    <w:name w:val="index 4"/>
    <w:basedOn w:val="1"/>
    <w:next w:val="1"/>
    <w:semiHidden/>
    <w:qFormat/>
    <w:uiPriority w:val="0"/>
    <w:pPr>
      <w:ind w:left="1260"/>
    </w:pPr>
  </w:style>
  <w:style w:type="paragraph" w:styleId="15">
    <w:name w:val="Plain Text"/>
    <w:basedOn w:val="1"/>
    <w:qFormat/>
    <w:uiPriority w:val="0"/>
    <w:rPr>
      <w:rFonts w:ascii="宋体" w:hAnsi="Courier New"/>
      <w:szCs w:val="20"/>
    </w:rPr>
  </w:style>
  <w:style w:type="paragraph" w:styleId="16">
    <w:name w:val="Date"/>
    <w:basedOn w:val="1"/>
    <w:next w:val="1"/>
    <w:link w:val="55"/>
    <w:qFormat/>
    <w:uiPriority w:val="0"/>
    <w:pPr>
      <w:ind w:left="100" w:leftChars="2500"/>
    </w:pPr>
  </w:style>
  <w:style w:type="paragraph" w:styleId="17">
    <w:name w:val="Body Text Indent 2"/>
    <w:basedOn w:val="1"/>
    <w:unhideWhenUsed/>
    <w:qFormat/>
    <w:uiPriority w:val="0"/>
    <w:pPr>
      <w:spacing w:line="500" w:lineRule="exact"/>
      <w:ind w:firstLine="560" w:firstLineChars="200"/>
    </w:pPr>
    <w:rPr>
      <w:rFonts w:eastAsia="仿宋_GB2312"/>
      <w:kern w:val="0"/>
      <w:sz w:val="28"/>
      <w:szCs w:val="20"/>
    </w:rPr>
  </w:style>
  <w:style w:type="paragraph" w:styleId="18">
    <w:name w:val="Balloon Text"/>
    <w:basedOn w:val="1"/>
    <w:link w:val="56"/>
    <w:semiHidden/>
    <w:qFormat/>
    <w:uiPriority w:val="0"/>
    <w:rPr>
      <w:sz w:val="18"/>
      <w:szCs w:val="18"/>
    </w:rPr>
  </w:style>
  <w:style w:type="paragraph" w:styleId="19">
    <w:name w:val="footer"/>
    <w:basedOn w:val="1"/>
    <w:link w:val="57"/>
    <w:qFormat/>
    <w:uiPriority w:val="99"/>
    <w:pPr>
      <w:tabs>
        <w:tab w:val="center" w:pos="4153"/>
        <w:tab w:val="right" w:pos="8306"/>
      </w:tabs>
      <w:snapToGrid w:val="0"/>
      <w:jc w:val="left"/>
    </w:pPr>
    <w:rPr>
      <w:sz w:val="18"/>
      <w:szCs w:val="18"/>
    </w:rPr>
  </w:style>
  <w:style w:type="paragraph" w:styleId="20">
    <w:name w:val="header"/>
    <w:basedOn w:val="1"/>
    <w:link w:val="58"/>
    <w:qFormat/>
    <w:uiPriority w:val="0"/>
    <w:pPr>
      <w:pBdr>
        <w:bottom w:val="single" w:color="auto" w:sz="6" w:space="1"/>
      </w:pBdr>
      <w:tabs>
        <w:tab w:val="center" w:pos="4153"/>
        <w:tab w:val="right" w:pos="8306"/>
      </w:tabs>
      <w:snapToGrid w:val="0"/>
      <w:jc w:val="center"/>
    </w:pPr>
    <w:rPr>
      <w:sz w:val="18"/>
      <w:szCs w:val="18"/>
    </w:rPr>
  </w:style>
  <w:style w:type="paragraph" w:styleId="21">
    <w:name w:val="List Number 5"/>
    <w:basedOn w:val="1"/>
    <w:unhideWhenUsed/>
    <w:qFormat/>
    <w:uiPriority w:val="99"/>
    <w:pPr>
      <w:numPr>
        <w:ilvl w:val="0"/>
        <w:numId w:val="1"/>
      </w:numPr>
    </w:pPr>
  </w:style>
  <w:style w:type="paragraph" w:styleId="22">
    <w:name w:val="footnote text"/>
    <w:basedOn w:val="1"/>
    <w:unhideWhenUsed/>
    <w:qFormat/>
    <w:uiPriority w:val="99"/>
    <w:pPr>
      <w:snapToGrid w:val="0"/>
      <w:jc w:val="left"/>
    </w:pPr>
    <w:rPr>
      <w:sz w:val="18"/>
      <w:szCs w:val="18"/>
    </w:rPr>
  </w:style>
  <w:style w:type="paragraph" w:styleId="23">
    <w:name w:val="Body Text Indent 3"/>
    <w:basedOn w:val="1"/>
    <w:link w:val="61"/>
    <w:qFormat/>
    <w:uiPriority w:val="0"/>
    <w:pPr>
      <w:spacing w:line="520" w:lineRule="exact"/>
      <w:ind w:firstLine="539" w:firstLineChars="184"/>
    </w:pPr>
    <w:rPr>
      <w:rFonts w:ascii="宋体"/>
      <w:b/>
      <w:spacing w:val="6"/>
      <w:sz w:val="28"/>
    </w:rPr>
  </w:style>
  <w:style w:type="paragraph" w:styleId="24">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5">
    <w:name w:val="Title"/>
    <w:basedOn w:val="1"/>
    <w:next w:val="1"/>
    <w:qFormat/>
    <w:uiPriority w:val="10"/>
    <w:pPr>
      <w:spacing w:before="240" w:after="60"/>
      <w:jc w:val="center"/>
      <w:outlineLvl w:val="0"/>
    </w:pPr>
    <w:rPr>
      <w:rFonts w:ascii="Cambria" w:hAnsi="Cambria"/>
      <w:b/>
      <w:bCs/>
      <w:sz w:val="32"/>
      <w:szCs w:val="32"/>
    </w:rPr>
  </w:style>
  <w:style w:type="paragraph" w:styleId="26">
    <w:name w:val="annotation subject"/>
    <w:basedOn w:val="9"/>
    <w:next w:val="9"/>
    <w:link w:val="62"/>
    <w:unhideWhenUsed/>
    <w:qFormat/>
    <w:uiPriority w:val="99"/>
    <w:rPr>
      <w:b/>
      <w:bCs/>
    </w:rPr>
  </w:style>
  <w:style w:type="paragraph" w:styleId="27">
    <w:name w:val="Body Text First Indent"/>
    <w:basedOn w:val="10"/>
    <w:unhideWhenUsed/>
    <w:qFormat/>
    <w:uiPriority w:val="99"/>
    <w:pPr>
      <w:spacing w:line="440" w:lineRule="exact"/>
      <w:ind w:firstLine="420" w:firstLineChars="100"/>
    </w:pPr>
    <w:rPr>
      <w:rFonts w:ascii="宋体" w:hAnsi="Times New Roman" w:eastAsia="宋体"/>
      <w:sz w:val="24"/>
      <w:szCs w:val="28"/>
    </w:rPr>
  </w:style>
  <w:style w:type="paragraph" w:styleId="28">
    <w:name w:val="Body Text First Indent 2"/>
    <w:basedOn w:val="11"/>
    <w:next w:val="23"/>
    <w:unhideWhenUsed/>
    <w:qFormat/>
    <w:uiPriority w:val="99"/>
    <w:pPr>
      <w:ind w:firstLine="200" w:firstLineChars="200"/>
    </w:p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basedOn w:val="31"/>
    <w:qFormat/>
    <w:uiPriority w:val="22"/>
    <w:rPr>
      <w:b/>
      <w:bCs/>
    </w:rPr>
  </w:style>
  <w:style w:type="character" w:styleId="33">
    <w:name w:val="page number"/>
    <w:qFormat/>
    <w:uiPriority w:val="0"/>
  </w:style>
  <w:style w:type="character" w:styleId="34">
    <w:name w:val="Emphasis"/>
    <w:qFormat/>
    <w:uiPriority w:val="0"/>
    <w:rPr>
      <w:b/>
      <w:bCs/>
    </w:rPr>
  </w:style>
  <w:style w:type="character" w:styleId="35">
    <w:name w:val="HTML Definition"/>
    <w:unhideWhenUsed/>
    <w:qFormat/>
    <w:uiPriority w:val="99"/>
  </w:style>
  <w:style w:type="character" w:styleId="36">
    <w:name w:val="HTML Typewriter"/>
    <w:unhideWhenUsed/>
    <w:qFormat/>
    <w:uiPriority w:val="99"/>
    <w:rPr>
      <w:rFonts w:hint="default" w:ascii="monospace" w:hAnsi="monospace" w:eastAsia="monospace" w:cs="monospace"/>
      <w:sz w:val="20"/>
    </w:rPr>
  </w:style>
  <w:style w:type="character" w:styleId="37">
    <w:name w:val="HTML Acronym"/>
    <w:unhideWhenUsed/>
    <w:qFormat/>
    <w:uiPriority w:val="99"/>
  </w:style>
  <w:style w:type="character" w:styleId="38">
    <w:name w:val="HTML Variable"/>
    <w:unhideWhenUsed/>
    <w:qFormat/>
    <w:uiPriority w:val="99"/>
  </w:style>
  <w:style w:type="character" w:styleId="39">
    <w:name w:val="Hyperlink"/>
    <w:unhideWhenUsed/>
    <w:qFormat/>
    <w:uiPriority w:val="99"/>
    <w:rPr>
      <w:color w:val="0000FF"/>
      <w:u w:val="none"/>
    </w:rPr>
  </w:style>
  <w:style w:type="character" w:styleId="40">
    <w:name w:val="HTML Code"/>
    <w:unhideWhenUsed/>
    <w:qFormat/>
    <w:uiPriority w:val="99"/>
    <w:rPr>
      <w:rFonts w:hint="default" w:ascii="monospace" w:hAnsi="monospace" w:eastAsia="monospace" w:cs="monospace"/>
      <w:sz w:val="20"/>
    </w:rPr>
  </w:style>
  <w:style w:type="character" w:styleId="41">
    <w:name w:val="annotation reference"/>
    <w:unhideWhenUsed/>
    <w:qFormat/>
    <w:uiPriority w:val="99"/>
    <w:rPr>
      <w:sz w:val="21"/>
      <w:szCs w:val="21"/>
    </w:rPr>
  </w:style>
  <w:style w:type="character" w:styleId="42">
    <w:name w:val="HTML Cite"/>
    <w:unhideWhenUsed/>
    <w:qFormat/>
    <w:uiPriority w:val="99"/>
  </w:style>
  <w:style w:type="character" w:styleId="43">
    <w:name w:val="HTML Keyboard"/>
    <w:unhideWhenUsed/>
    <w:qFormat/>
    <w:uiPriority w:val="99"/>
    <w:rPr>
      <w:rFonts w:ascii="monospace" w:hAnsi="monospace" w:eastAsia="monospace" w:cs="monospace"/>
      <w:sz w:val="20"/>
    </w:rPr>
  </w:style>
  <w:style w:type="character" w:styleId="44">
    <w:name w:val="HTML Sample"/>
    <w:unhideWhenUsed/>
    <w:qFormat/>
    <w:uiPriority w:val="99"/>
    <w:rPr>
      <w:rFonts w:hint="default" w:ascii="monospace" w:hAnsi="monospace" w:eastAsia="monospace" w:cs="monospace"/>
    </w:rPr>
  </w:style>
  <w:style w:type="paragraph" w:customStyle="1" w:styleId="45">
    <w:name w:val="style4"/>
    <w:basedOn w:val="1"/>
    <w:next w:val="46"/>
    <w:qFormat/>
    <w:uiPriority w:val="0"/>
    <w:pPr>
      <w:widowControl/>
      <w:spacing w:before="280" w:after="280"/>
    </w:pPr>
    <w:rPr>
      <w:rFonts w:ascii="宋体"/>
      <w:sz w:val="18"/>
    </w:rPr>
  </w:style>
  <w:style w:type="paragraph" w:customStyle="1" w:styleId="46">
    <w:name w:val="2"/>
    <w:next w:val="1"/>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47">
    <w:name w:val="标题 1 Char"/>
    <w:link w:val="2"/>
    <w:qFormat/>
    <w:uiPriority w:val="0"/>
    <w:rPr>
      <w:b/>
      <w:bCs/>
      <w:kern w:val="44"/>
      <w:sz w:val="44"/>
      <w:szCs w:val="44"/>
    </w:rPr>
  </w:style>
  <w:style w:type="character" w:customStyle="1" w:styleId="48">
    <w:name w:val="标题 2 Char"/>
    <w:link w:val="3"/>
    <w:qFormat/>
    <w:uiPriority w:val="0"/>
    <w:rPr>
      <w:rFonts w:ascii="Arial" w:hAnsi="Arial" w:eastAsia="黑体"/>
      <w:b/>
      <w:bCs/>
      <w:kern w:val="2"/>
      <w:sz w:val="32"/>
      <w:szCs w:val="32"/>
    </w:rPr>
  </w:style>
  <w:style w:type="character" w:customStyle="1" w:styleId="49">
    <w:name w:val="标题 3 Char"/>
    <w:link w:val="4"/>
    <w:qFormat/>
    <w:uiPriority w:val="0"/>
    <w:rPr>
      <w:b/>
      <w:bCs/>
      <w:kern w:val="2"/>
      <w:sz w:val="32"/>
      <w:szCs w:val="32"/>
    </w:rPr>
  </w:style>
  <w:style w:type="character" w:customStyle="1" w:styleId="50">
    <w:name w:val="标题 4 Char"/>
    <w:link w:val="5"/>
    <w:qFormat/>
    <w:uiPriority w:val="0"/>
    <w:rPr>
      <w:rFonts w:eastAsia="新宋体"/>
      <w:kern w:val="2"/>
      <w:sz w:val="30"/>
      <w:szCs w:val="21"/>
    </w:rPr>
  </w:style>
  <w:style w:type="character" w:customStyle="1" w:styleId="51">
    <w:name w:val="正文缩进 Char"/>
    <w:link w:val="6"/>
    <w:qFormat/>
    <w:uiPriority w:val="0"/>
    <w:rPr>
      <w:kern w:val="2"/>
      <w:sz w:val="21"/>
    </w:rPr>
  </w:style>
  <w:style w:type="character" w:customStyle="1" w:styleId="52">
    <w:name w:val="文档结构图 Char"/>
    <w:link w:val="7"/>
    <w:semiHidden/>
    <w:qFormat/>
    <w:uiPriority w:val="0"/>
    <w:rPr>
      <w:kern w:val="2"/>
      <w:sz w:val="21"/>
      <w:szCs w:val="24"/>
      <w:shd w:val="clear" w:color="auto" w:fill="000080"/>
    </w:rPr>
  </w:style>
  <w:style w:type="character" w:customStyle="1" w:styleId="53">
    <w:name w:val="批注文字 Char"/>
    <w:link w:val="9"/>
    <w:qFormat/>
    <w:uiPriority w:val="99"/>
    <w:rPr>
      <w:kern w:val="2"/>
      <w:sz w:val="21"/>
      <w:szCs w:val="24"/>
    </w:rPr>
  </w:style>
  <w:style w:type="character" w:customStyle="1" w:styleId="54">
    <w:name w:val="正文文本缩进 Char"/>
    <w:link w:val="11"/>
    <w:qFormat/>
    <w:uiPriority w:val="0"/>
    <w:rPr>
      <w:kern w:val="2"/>
      <w:sz w:val="21"/>
      <w:szCs w:val="24"/>
    </w:rPr>
  </w:style>
  <w:style w:type="character" w:customStyle="1" w:styleId="55">
    <w:name w:val="日期 Char"/>
    <w:link w:val="16"/>
    <w:qFormat/>
    <w:uiPriority w:val="0"/>
    <w:rPr>
      <w:kern w:val="2"/>
      <w:sz w:val="21"/>
      <w:szCs w:val="24"/>
    </w:rPr>
  </w:style>
  <w:style w:type="character" w:customStyle="1" w:styleId="56">
    <w:name w:val="批注框文本 Char"/>
    <w:link w:val="18"/>
    <w:semiHidden/>
    <w:qFormat/>
    <w:uiPriority w:val="0"/>
    <w:rPr>
      <w:kern w:val="2"/>
      <w:sz w:val="18"/>
      <w:szCs w:val="18"/>
    </w:rPr>
  </w:style>
  <w:style w:type="character" w:customStyle="1" w:styleId="57">
    <w:name w:val="页脚 Char"/>
    <w:link w:val="19"/>
    <w:qFormat/>
    <w:uiPriority w:val="99"/>
    <w:rPr>
      <w:kern w:val="2"/>
      <w:sz w:val="18"/>
      <w:szCs w:val="18"/>
    </w:rPr>
  </w:style>
  <w:style w:type="character" w:customStyle="1" w:styleId="58">
    <w:name w:val="页眉 Char"/>
    <w:link w:val="20"/>
    <w:qFormat/>
    <w:uiPriority w:val="0"/>
    <w:rPr>
      <w:kern w:val="2"/>
      <w:sz w:val="18"/>
      <w:szCs w:val="18"/>
    </w:rPr>
  </w:style>
  <w:style w:type="paragraph" w:customStyle="1" w:styleId="59">
    <w:name w:val="TOC 1"/>
    <w:basedOn w:val="1"/>
    <w:next w:val="1"/>
    <w:qFormat/>
    <w:uiPriority w:val="0"/>
    <w:pPr>
      <w:tabs>
        <w:tab w:val="right" w:leader="dot" w:pos="8296"/>
      </w:tabs>
      <w:spacing w:line="360" w:lineRule="auto"/>
    </w:pPr>
  </w:style>
  <w:style w:type="paragraph" w:customStyle="1" w:styleId="60">
    <w:name w:val="TOC 6"/>
    <w:basedOn w:val="1"/>
    <w:next w:val="1"/>
    <w:qFormat/>
    <w:uiPriority w:val="0"/>
    <w:pPr>
      <w:ind w:left="2100"/>
    </w:pPr>
  </w:style>
  <w:style w:type="character" w:customStyle="1" w:styleId="61">
    <w:name w:val="正文文本缩进 3 Char"/>
    <w:link w:val="23"/>
    <w:qFormat/>
    <w:uiPriority w:val="0"/>
    <w:rPr>
      <w:rFonts w:ascii="宋体"/>
      <w:b/>
      <w:spacing w:val="6"/>
      <w:kern w:val="2"/>
      <w:sz w:val="28"/>
      <w:szCs w:val="24"/>
    </w:rPr>
  </w:style>
  <w:style w:type="character" w:customStyle="1" w:styleId="62">
    <w:name w:val="批注主题 Char"/>
    <w:link w:val="26"/>
    <w:semiHidden/>
    <w:qFormat/>
    <w:uiPriority w:val="99"/>
    <w:rPr>
      <w:b/>
      <w:bCs/>
      <w:kern w:val="2"/>
      <w:sz w:val="21"/>
      <w:szCs w:val="24"/>
    </w:rPr>
  </w:style>
  <w:style w:type="paragraph" w:customStyle="1" w:styleId="63">
    <w:name w:val="正文文本首行缩进"/>
    <w:basedOn w:val="10"/>
    <w:next w:val="60"/>
    <w:qFormat/>
    <w:uiPriority w:val="0"/>
    <w:pPr>
      <w:spacing w:line="360" w:lineRule="auto"/>
      <w:ind w:firstLine="200" w:firstLineChars="200"/>
    </w:pPr>
    <w:rPr>
      <w:rFonts w:ascii="仿宋_GB2312" w:eastAsia="仿宋_GB2312"/>
      <w:kern w:val="0"/>
      <w:sz w:val="30"/>
      <w:szCs w:val="30"/>
    </w:rPr>
  </w:style>
  <w:style w:type="paragraph" w:customStyle="1" w:styleId="64">
    <w:name w:val="正文文本首行缩进 2"/>
    <w:basedOn w:val="11"/>
    <w:next w:val="1"/>
    <w:link w:val="65"/>
    <w:unhideWhenUsed/>
    <w:qFormat/>
    <w:uiPriority w:val="99"/>
    <w:pPr>
      <w:ind w:firstLine="200" w:firstLineChars="200"/>
    </w:pPr>
  </w:style>
  <w:style w:type="character" w:customStyle="1" w:styleId="65">
    <w:name w:val="正文文本首行缩进 2 字符"/>
    <w:link w:val="64"/>
    <w:qFormat/>
    <w:uiPriority w:val="99"/>
  </w:style>
  <w:style w:type="character" w:customStyle="1" w:styleId="66">
    <w:name w:val="访问过的超链接"/>
    <w:unhideWhenUsed/>
    <w:qFormat/>
    <w:uiPriority w:val="99"/>
    <w:rPr>
      <w:color w:val="800080"/>
      <w:u w:val="none"/>
    </w:rPr>
  </w:style>
  <w:style w:type="paragraph" w:customStyle="1" w:styleId="67">
    <w:name w:val="正文缩进1"/>
    <w:basedOn w:val="1"/>
    <w:qFormat/>
    <w:uiPriority w:val="0"/>
    <w:pPr>
      <w:widowControl/>
      <w:ind w:firstLine="420"/>
      <w:jc w:val="left"/>
    </w:pPr>
    <w:rPr>
      <w:kern w:val="0"/>
    </w:rPr>
  </w:style>
  <w:style w:type="paragraph" w:customStyle="1" w:styleId="68">
    <w:name w:val="Default"/>
    <w:basedOn w:val="1"/>
    <w:next w:val="10"/>
    <w:qFormat/>
    <w:uiPriority w:val="0"/>
    <w:pPr>
      <w:autoSpaceDE w:val="0"/>
      <w:autoSpaceDN w:val="0"/>
      <w:adjustRightInd w:val="0"/>
      <w:jc w:val="left"/>
    </w:pPr>
    <w:rPr>
      <w:rFonts w:ascii="Arial" w:hAnsi="Arial" w:eastAsia="PMingLiU"/>
      <w:kern w:val="0"/>
      <w:sz w:val="20"/>
      <w:szCs w:val="20"/>
    </w:rPr>
  </w:style>
  <w:style w:type="character" w:customStyle="1" w:styleId="69">
    <w:name w:val="正文缩进2格 Char"/>
    <w:link w:val="70"/>
    <w:qFormat/>
    <w:locked/>
    <w:uiPriority w:val="0"/>
    <w:rPr>
      <w:rFonts w:ascii="仿宋_GB2312" w:hAnsi="宋体" w:eastAsia="仿宋_GB2312"/>
      <w:kern w:val="2"/>
      <w:sz w:val="31"/>
      <w:szCs w:val="28"/>
    </w:rPr>
  </w:style>
  <w:style w:type="paragraph" w:customStyle="1" w:styleId="70">
    <w:name w:val="正文缩进2格"/>
    <w:basedOn w:val="1"/>
    <w:link w:val="69"/>
    <w:qFormat/>
    <w:uiPriority w:val="0"/>
    <w:pPr>
      <w:spacing w:line="600" w:lineRule="exact"/>
      <w:ind w:firstLine="639" w:firstLineChars="206"/>
    </w:pPr>
    <w:rPr>
      <w:rFonts w:ascii="仿宋_GB2312" w:hAnsi="宋体" w:eastAsia="仿宋_GB2312"/>
      <w:sz w:val="31"/>
      <w:szCs w:val="28"/>
    </w:rPr>
  </w:style>
  <w:style w:type="character" w:customStyle="1" w:styleId="71">
    <w:name w:val="标题 3.1 Char"/>
    <w:link w:val="72"/>
    <w:qFormat/>
    <w:locked/>
    <w:uiPriority w:val="0"/>
    <w:rPr>
      <w:rFonts w:ascii="宋体" w:hAnsi="宋体"/>
      <w:b/>
      <w:bCs/>
      <w:color w:val="000000"/>
      <w:kern w:val="2"/>
      <w:sz w:val="32"/>
      <w:szCs w:val="32"/>
    </w:rPr>
  </w:style>
  <w:style w:type="paragraph" w:customStyle="1" w:styleId="72">
    <w:name w:val="标题 3.1"/>
    <w:basedOn w:val="4"/>
    <w:link w:val="71"/>
    <w:qFormat/>
    <w:uiPriority w:val="0"/>
    <w:pPr>
      <w:tabs>
        <w:tab w:val="left" w:pos="1440"/>
        <w:tab w:val="left" w:pos="1620"/>
      </w:tabs>
      <w:spacing w:line="600" w:lineRule="exact"/>
    </w:pPr>
    <w:rPr>
      <w:rFonts w:ascii="宋体" w:hAnsi="宋体"/>
      <w:color w:val="000000"/>
    </w:rPr>
  </w:style>
  <w:style w:type="paragraph" w:customStyle="1" w:styleId="73">
    <w:name w:val="Char"/>
    <w:basedOn w:val="1"/>
    <w:qFormat/>
    <w:uiPriority w:val="0"/>
    <w:rPr>
      <w:rFonts w:ascii="Tahoma" w:hAnsi="Tahoma"/>
      <w:sz w:val="24"/>
      <w:szCs w:val="20"/>
    </w:rPr>
  </w:style>
  <w:style w:type="paragraph" w:customStyle="1" w:styleId="74">
    <w:name w:val="正文缩进4格"/>
    <w:basedOn w:val="70"/>
    <w:qFormat/>
    <w:uiPriority w:val="0"/>
    <w:pPr>
      <w:ind w:left="2" w:firstLine="538" w:firstLineChars="192"/>
    </w:pPr>
    <w:rPr>
      <w:color w:val="000000"/>
      <w:sz w:val="28"/>
    </w:rPr>
  </w:style>
  <w:style w:type="paragraph" w:customStyle="1" w:styleId="75">
    <w:name w:val="Char Char Char Char"/>
    <w:basedOn w:val="1"/>
    <w:qFormat/>
    <w:uiPriority w:val="0"/>
    <w:rPr>
      <w:rFonts w:ascii="Tahoma" w:hAnsi="Tahoma"/>
      <w:sz w:val="24"/>
      <w:szCs w:val="20"/>
    </w:rPr>
  </w:style>
  <w:style w:type="paragraph" w:customStyle="1" w:styleId="76">
    <w:name w:val="Char1"/>
    <w:basedOn w:val="1"/>
    <w:qFormat/>
    <w:uiPriority w:val="0"/>
    <w:pPr>
      <w:tabs>
        <w:tab w:val="left" w:pos="840"/>
      </w:tabs>
      <w:ind w:left="840" w:hanging="420"/>
    </w:pPr>
    <w:rPr>
      <w:sz w:val="24"/>
    </w:rPr>
  </w:style>
  <w:style w:type="paragraph" w:customStyle="1" w:styleId="7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8">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79">
    <w:name w:val="Char Char 字元 字元 字元 Char Char Char Char"/>
    <w:basedOn w:val="1"/>
    <w:qFormat/>
    <w:uiPriority w:val="0"/>
    <w:pPr>
      <w:adjustRightInd w:val="0"/>
      <w:spacing w:line="360" w:lineRule="auto"/>
    </w:pPr>
    <w:rPr>
      <w:kern w:val="0"/>
      <w:sz w:val="24"/>
      <w:szCs w:val="20"/>
    </w:rPr>
  </w:style>
  <w:style w:type="paragraph" w:customStyle="1" w:styleId="80">
    <w:name w:val="para"/>
    <w:basedOn w:val="1"/>
    <w:qFormat/>
    <w:uiPriority w:val="0"/>
    <w:pPr>
      <w:widowControl/>
      <w:spacing w:before="100" w:beforeAutospacing="1" w:after="100" w:afterAutospacing="1"/>
      <w:jc w:val="left"/>
    </w:pPr>
    <w:rPr>
      <w:rFonts w:ascii="Arial" w:hAnsi="Arial" w:cs="Arial"/>
      <w:kern w:val="0"/>
      <w:sz w:val="18"/>
      <w:szCs w:val="18"/>
    </w:rPr>
  </w:style>
  <w:style w:type="paragraph" w:customStyle="1" w:styleId="81">
    <w:name w:val="Char2"/>
    <w:basedOn w:val="1"/>
    <w:qFormat/>
    <w:uiPriority w:val="0"/>
    <w:rPr>
      <w:rFonts w:ascii="Tahoma" w:hAnsi="Tahoma"/>
      <w:sz w:val="24"/>
      <w:szCs w:val="20"/>
    </w:rPr>
  </w:style>
  <w:style w:type="paragraph" w:customStyle="1" w:styleId="82">
    <w:name w:val="msonormalcxsplast"/>
    <w:basedOn w:val="1"/>
    <w:qFormat/>
    <w:uiPriority w:val="0"/>
    <w:pPr>
      <w:widowControl/>
      <w:spacing w:before="100" w:beforeAutospacing="1" w:after="100" w:afterAutospacing="1"/>
      <w:jc w:val="left"/>
    </w:pPr>
    <w:rPr>
      <w:rFonts w:ascii="宋体" w:hAnsi="宋体" w:cs="宋体"/>
      <w:kern w:val="0"/>
      <w:sz w:val="24"/>
    </w:rPr>
  </w:style>
  <w:style w:type="character" w:customStyle="1" w:styleId="83">
    <w:name w:val="普通正文 Char"/>
    <w:link w:val="84"/>
    <w:qFormat/>
    <w:uiPriority w:val="0"/>
    <w:rPr>
      <w:rFonts w:ascii="Arial" w:hAnsi="Arial"/>
      <w:sz w:val="24"/>
      <w:szCs w:val="24"/>
    </w:rPr>
  </w:style>
  <w:style w:type="paragraph" w:customStyle="1" w:styleId="84">
    <w:name w:val="普通正文"/>
    <w:basedOn w:val="1"/>
    <w:link w:val="83"/>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85">
    <w:name w:val="mini-outputtext1"/>
    <w:qFormat/>
    <w:uiPriority w:val="0"/>
  </w:style>
  <w:style w:type="character" w:customStyle="1" w:styleId="86">
    <w:name w:val="font31"/>
    <w:qFormat/>
    <w:uiPriority w:val="0"/>
    <w:rPr>
      <w:rFonts w:hint="eastAsia" w:ascii="宋体" w:hAnsi="宋体" w:eastAsia="宋体" w:cs="宋体"/>
      <w:color w:val="000000"/>
      <w:sz w:val="21"/>
      <w:szCs w:val="21"/>
      <w:u w:val="none"/>
    </w:rPr>
  </w:style>
  <w:style w:type="character" w:customStyle="1" w:styleId="87">
    <w:name w:val="font61"/>
    <w:qFormat/>
    <w:uiPriority w:val="0"/>
    <w:rPr>
      <w:rFonts w:hint="default" w:ascii="Times New Roman" w:hAnsi="Times New Roman" w:cs="Times New Roman"/>
      <w:color w:val="000000"/>
      <w:sz w:val="21"/>
      <w:szCs w:val="21"/>
      <w:u w:val="none"/>
    </w:rPr>
  </w:style>
  <w:style w:type="character" w:customStyle="1" w:styleId="88">
    <w:name w:val="font01"/>
    <w:qFormat/>
    <w:uiPriority w:val="0"/>
    <w:rPr>
      <w:rFonts w:hint="default" w:ascii="等线" w:hAnsi="等线" w:eastAsia="等线" w:cs="等线"/>
      <w:color w:val="000000"/>
      <w:sz w:val="22"/>
      <w:szCs w:val="22"/>
      <w:u w:val="none"/>
    </w:rPr>
  </w:style>
  <w:style w:type="character" w:customStyle="1" w:styleId="89">
    <w:name w:val="font51"/>
    <w:qFormat/>
    <w:uiPriority w:val="0"/>
    <w:rPr>
      <w:rFonts w:hint="default" w:ascii="等线" w:hAnsi="等线" w:eastAsia="等线" w:cs="等线"/>
      <w:b/>
      <w:bCs/>
      <w:color w:val="000000"/>
      <w:sz w:val="22"/>
      <w:szCs w:val="22"/>
      <w:u w:val="none"/>
    </w:rPr>
  </w:style>
  <w:style w:type="paragraph" w:customStyle="1" w:styleId="90">
    <w:name w:val="普通(网站) Char"/>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91">
    <w:name w:val="sh1"/>
    <w:basedOn w:val="25"/>
    <w:qFormat/>
    <w:uiPriority w:val="0"/>
    <w:pPr>
      <w:adjustRightInd w:val="0"/>
      <w:spacing w:before="0"/>
    </w:pPr>
    <w:rPr>
      <w:rFonts w:ascii="Arial" w:hAnsi="Arial"/>
      <w:bCs w:val="0"/>
    </w:rPr>
  </w:style>
  <w:style w:type="paragraph" w:customStyle="1" w:styleId="92">
    <w:name w:val="无间隔1"/>
    <w:qFormat/>
    <w:uiPriority w:val="99"/>
    <w:pPr>
      <w:widowControl w:val="0"/>
      <w:spacing w:line="300" w:lineRule="auto"/>
    </w:pPr>
    <w:rPr>
      <w:rFonts w:ascii="Times New Roman" w:hAnsi="Times New Roman" w:eastAsia="华文仿宋" w:cs="Times New Roman"/>
      <w:kern w:val="2"/>
      <w:sz w:val="24"/>
      <w:szCs w:val="21"/>
      <w:lang w:val="en-US" w:eastAsia="zh-CN" w:bidi="ar-SA"/>
    </w:rPr>
  </w:style>
  <w:style w:type="paragraph" w:customStyle="1" w:styleId="93">
    <w:name w:val="正文1"/>
    <w:basedOn w:val="1"/>
    <w:qFormat/>
    <w:uiPriority w:val="0"/>
    <w:pPr>
      <w:spacing w:line="360" w:lineRule="auto"/>
      <w:ind w:firstLine="361"/>
    </w:pPr>
    <w:rPr>
      <w:rFonts w:ascii="宋体" w:hAnsi="宋体"/>
    </w:rPr>
  </w:style>
  <w:style w:type="paragraph" w:customStyle="1" w:styleId="94">
    <w:name w:val="首行缩进"/>
    <w:basedOn w:val="1"/>
    <w:qFormat/>
    <w:uiPriority w:val="0"/>
    <w:pPr>
      <w:ind w:firstLine="480" w:firstLineChars="200"/>
    </w:pPr>
    <w:rPr>
      <w:rFonts w:ascii="Calibri" w:hAnsi="Calibri"/>
      <w:szCs w:val="21"/>
    </w:rPr>
  </w:style>
  <w:style w:type="paragraph" w:customStyle="1" w:styleId="95">
    <w:name w:val="Table Paragraph"/>
    <w:basedOn w:val="1"/>
    <w:qFormat/>
    <w:uiPriority w:val="1"/>
    <w:rPr>
      <w:rFonts w:ascii="宋体" w:hAnsi="宋体" w:cs="宋体"/>
      <w:lang w:val="zh-CN" w:bidi="zh-CN"/>
    </w:rPr>
  </w:style>
  <w:style w:type="paragraph" w:customStyle="1" w:styleId="96">
    <w:name w:val="Revision"/>
    <w:unhideWhenUsed/>
    <w:qFormat/>
    <w:uiPriority w:val="99"/>
    <w:rPr>
      <w:rFonts w:ascii="Times New Roman" w:hAnsi="Times New Roman" w:eastAsia="宋体" w:cs="Times New Roman"/>
      <w:kern w:val="2"/>
      <w:sz w:val="21"/>
      <w:szCs w:val="24"/>
      <w:lang w:val="en-US" w:eastAsia="zh-CN" w:bidi="ar-SA"/>
    </w:rPr>
  </w:style>
  <w:style w:type="table" w:customStyle="1" w:styleId="97">
    <w:name w:val="Table Normal"/>
    <w:unhideWhenUsed/>
    <w:qFormat/>
    <w:uiPriority w:val="0"/>
    <w:tblPr>
      <w:tblCellMar>
        <w:top w:w="0" w:type="dxa"/>
        <w:left w:w="0" w:type="dxa"/>
        <w:bottom w:w="0" w:type="dxa"/>
        <w:right w:w="0" w:type="dxa"/>
      </w:tblCellMar>
    </w:tblPr>
  </w:style>
  <w:style w:type="table" w:customStyle="1" w:styleId="98">
    <w:name w:val="网格型4"/>
    <w:basedOn w:val="2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9">
    <w:name w:val="列表段落"/>
    <w:basedOn w:val="1"/>
    <w:qFormat/>
    <w:uiPriority w:val="34"/>
    <w:pPr>
      <w:ind w:firstLine="420" w:firstLineChars="200"/>
    </w:pPr>
  </w:style>
  <w:style w:type="paragraph" w:customStyle="1" w:styleId="100">
    <w:name w:val="Table Text"/>
    <w:basedOn w:val="1"/>
    <w:semiHidden/>
    <w:qFormat/>
    <w:uiPriority w:val="0"/>
    <w:rPr>
      <w:rFonts w:ascii="宋体" w:hAnsi="宋体" w:cs="宋体"/>
      <w:sz w:val="19"/>
      <w:szCs w:val="19"/>
      <w:lang w:eastAsia="en-US"/>
    </w:rPr>
  </w:style>
  <w:style w:type="paragraph" w:customStyle="1" w:styleId="101">
    <w:name w:val="*正文"/>
    <w:basedOn w:val="1"/>
    <w:qFormat/>
    <w:uiPriority w:val="0"/>
    <w:pPr>
      <w:spacing w:line="360" w:lineRule="auto"/>
    </w:pPr>
    <w:rPr>
      <w:sz w:val="24"/>
    </w:rPr>
  </w:style>
  <w:style w:type="paragraph" w:customStyle="1" w:styleId="102">
    <w:name w:val="2 级标题"/>
    <w:qFormat/>
    <w:uiPriority w:val="0"/>
    <w:pPr>
      <w:keepNext/>
      <w:keepLines/>
      <w:widowControl w:val="0"/>
      <w:numPr>
        <w:ilvl w:val="1"/>
        <w:numId w:val="2"/>
      </w:numPr>
      <w:tabs>
        <w:tab w:val="left" w:pos="567"/>
      </w:tabs>
      <w:spacing w:before="120" w:after="120" w:line="360" w:lineRule="auto"/>
      <w:ind w:right="13" w:rightChars="13"/>
      <w:outlineLvl w:val="1"/>
    </w:pPr>
    <w:rPr>
      <w:rFonts w:ascii="Arial" w:hAnsi="Arial" w:eastAsia="黑体" w:cs="Times New Roman"/>
      <w:b/>
      <w:bCs/>
      <w:kern w:val="2"/>
      <w:sz w:val="32"/>
      <w:szCs w:val="32"/>
      <w:lang w:val="en-US" w:eastAsia="zh-CN" w:bidi="ar-SA"/>
    </w:rPr>
  </w:style>
  <w:style w:type="paragraph" w:customStyle="1" w:styleId="103">
    <w:name w:val="列出段落1"/>
    <w:basedOn w:val="1"/>
    <w:qFormat/>
    <w:uiPriority w:val="34"/>
    <w:pPr>
      <w:widowControl/>
      <w:ind w:left="720"/>
      <w:contextualSpacing/>
      <w:jc w:val="left"/>
    </w:pPr>
    <w:rPr>
      <w:kern w:val="0"/>
      <w:sz w:val="24"/>
      <w:lang w:eastAsia="en-US" w:bidi="en-US"/>
    </w:rPr>
  </w:style>
  <w:style w:type="paragraph" w:customStyle="1" w:styleId="104">
    <w:name w:val="样式 正文（缩进） + (中文) 楷体_GB2312"/>
    <w:basedOn w:val="105"/>
    <w:qFormat/>
    <w:uiPriority w:val="0"/>
    <w:pPr>
      <w:ind w:left="-2" w:leftChars="-1" w:firstLine="567" w:firstLineChars="0"/>
      <w:jc w:val="left"/>
    </w:pPr>
    <w:rPr>
      <w:rFonts w:eastAsia="楷体_GB2312"/>
      <w:sz w:val="28"/>
      <w:szCs w:val="28"/>
    </w:rPr>
  </w:style>
  <w:style w:type="paragraph" w:customStyle="1" w:styleId="105">
    <w:name w:val="正文（缩进）"/>
    <w:basedOn w:val="1"/>
    <w:qFormat/>
    <w:uiPriority w:val="0"/>
    <w:pPr>
      <w:spacing w:beforeLines="50" w:afterLines="50" w:line="360" w:lineRule="auto"/>
      <w:ind w:firstLine="480" w:firstLineChars="200"/>
    </w:pPr>
    <w:rPr>
      <w:sz w:val="24"/>
    </w:rPr>
  </w:style>
  <w:style w:type="paragraph" w:customStyle="1" w:styleId="106">
    <w:name w:val="样式 样式 样式 样式 首行缩进:  2 字符 + 首行缩进:  2 字符2 + 首行缩进:  2 字符 + 楷体_GB2312"/>
    <w:basedOn w:val="1"/>
    <w:qFormat/>
    <w:uiPriority w:val="0"/>
    <w:pPr>
      <w:spacing w:before="100" w:after="100" w:line="360" w:lineRule="auto"/>
      <w:ind w:firstLine="480" w:firstLineChars="200"/>
    </w:pPr>
    <w:rPr>
      <w:rFonts w:ascii="楷体_GB2312" w:hAnsi="楷体_GB2312" w:eastAsia="楷体_GB2312" w:cs="宋体"/>
      <w:sz w:val="24"/>
    </w:rPr>
  </w:style>
  <w:style w:type="paragraph" w:customStyle="1" w:styleId="107">
    <w:name w:val="正文表标题"/>
    <w:next w:val="108"/>
    <w:qFormat/>
    <w:uiPriority w:val="0"/>
    <w:pPr>
      <w:numPr>
        <w:ilvl w:val="0"/>
        <w:numId w:val="3"/>
      </w:numPr>
      <w:spacing w:beforeLines="50" w:afterLines="50"/>
      <w:jc w:val="center"/>
    </w:pPr>
    <w:rPr>
      <w:rFonts w:ascii="黑体" w:hAnsi="Times New Roman" w:eastAsia="黑体" w:cs="Times New Roman"/>
      <w:sz w:val="21"/>
      <w:lang w:val="en-US" w:eastAsia="zh-CN" w:bidi="ar-SA"/>
    </w:rPr>
  </w:style>
  <w:style w:type="paragraph" w:customStyle="1" w:styleId="108">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109">
    <w:name w:val="二级无"/>
    <w:basedOn w:val="110"/>
    <w:qFormat/>
    <w:uiPriority w:val="0"/>
    <w:pPr>
      <w:spacing w:beforeLines="0" w:afterLines="0"/>
    </w:pPr>
    <w:rPr>
      <w:rFonts w:ascii="宋体" w:eastAsia="宋体"/>
    </w:rPr>
  </w:style>
  <w:style w:type="paragraph" w:customStyle="1" w:styleId="110">
    <w:name w:val="二级条标题"/>
    <w:basedOn w:val="111"/>
    <w:next w:val="108"/>
    <w:qFormat/>
    <w:uiPriority w:val="0"/>
    <w:pPr>
      <w:numPr>
        <w:ilvl w:val="0"/>
        <w:numId w:val="0"/>
      </w:numPr>
      <w:spacing w:before="50" w:after="50"/>
      <w:ind w:left="850"/>
      <w:outlineLvl w:val="3"/>
    </w:pPr>
  </w:style>
  <w:style w:type="paragraph" w:customStyle="1" w:styleId="111">
    <w:name w:val="一级条标题"/>
    <w:next w:val="108"/>
    <w:qFormat/>
    <w:uiPriority w:val="0"/>
    <w:pPr>
      <w:numPr>
        <w:ilvl w:val="1"/>
        <w:numId w:val="4"/>
      </w:numPr>
      <w:spacing w:beforeLines="50" w:afterLines="50"/>
      <w:outlineLvl w:val="2"/>
    </w:pPr>
    <w:rPr>
      <w:rFonts w:ascii="黑体" w:hAnsi="Times New Roman" w:eastAsia="黑体" w:cs="Times New Roman"/>
      <w:sz w:val="21"/>
      <w:szCs w:val="21"/>
      <w:lang w:val="en-US" w:eastAsia="zh-CN" w:bidi="ar-SA"/>
    </w:rPr>
  </w:style>
  <w:style w:type="paragraph" w:customStyle="1" w:styleId="112">
    <w:name w:val="三级无"/>
    <w:basedOn w:val="113"/>
    <w:qFormat/>
    <w:uiPriority w:val="0"/>
    <w:pPr>
      <w:numPr>
        <w:numId w:val="3"/>
      </w:numPr>
      <w:tabs>
        <w:tab w:val="left" w:pos="1984"/>
      </w:tabs>
      <w:spacing w:beforeLines="0" w:afterLines="0"/>
    </w:pPr>
    <w:rPr>
      <w:rFonts w:ascii="宋体" w:eastAsia="宋体"/>
    </w:rPr>
  </w:style>
  <w:style w:type="paragraph" w:customStyle="1" w:styleId="113">
    <w:name w:val="三级条标题"/>
    <w:basedOn w:val="110"/>
    <w:next w:val="108"/>
    <w:qFormat/>
    <w:uiPriority w:val="0"/>
    <w:pPr>
      <w:numPr>
        <w:ilvl w:val="3"/>
      </w:numPr>
      <w:ind w:left="850"/>
      <w:outlineLvl w:val="4"/>
    </w:pPr>
  </w:style>
  <w:style w:type="paragraph" w:customStyle="1" w:styleId="114">
    <w:name w:val="ListBullet2"/>
    <w:basedOn w:val="1"/>
    <w:qFormat/>
    <w:uiPriority w:val="0"/>
    <w:pPr>
      <w:numPr>
        <w:ilvl w:val="0"/>
        <w:numId w:val="5"/>
      </w:numPr>
    </w:pPr>
  </w:style>
  <w:style w:type="paragraph" w:customStyle="1" w:styleId="115">
    <w:name w:val="正文首行缩进1"/>
    <w:basedOn w:val="116"/>
    <w:qFormat/>
    <w:uiPriority w:val="0"/>
    <w:pPr>
      <w:spacing w:line="360" w:lineRule="auto"/>
      <w:ind w:firstLine="200"/>
    </w:pPr>
    <w:rPr>
      <w:rFonts w:ascii="仿宋_GB2312" w:hAnsi="Times New Roman" w:eastAsia="仿宋_GB2312"/>
      <w:sz w:val="30"/>
      <w:szCs w:val="30"/>
    </w:rPr>
  </w:style>
  <w:style w:type="paragraph" w:customStyle="1" w:styleId="116">
    <w:name w:val="正文文本1"/>
    <w:basedOn w:val="1"/>
    <w:next w:val="1"/>
    <w:qFormat/>
    <w:uiPriority w:val="0"/>
    <w:rPr>
      <w:rFonts w:ascii="楷体_GB2312" w:hAnsi="Arial" w:eastAsia="楷体_GB2312"/>
      <w:sz w:val="28"/>
      <w:szCs w:val="28"/>
    </w:rPr>
  </w:style>
  <w:style w:type="paragraph" w:customStyle="1" w:styleId="117">
    <w:name w:val="正文文本11"/>
    <w:basedOn w:val="1"/>
    <w:next w:val="1"/>
    <w:qFormat/>
    <w:uiPriority w:val="0"/>
    <w:rPr>
      <w:rFonts w:ascii="楷体_GB2312" w:hAnsi="Arial" w:eastAsia="楷体_GB2312"/>
      <w:sz w:val="28"/>
      <w:szCs w:val="28"/>
    </w:rPr>
  </w:style>
  <w:style w:type="character" w:customStyle="1" w:styleId="118">
    <w:name w:val="NormalCharacter"/>
    <w:qFormat/>
    <w:uiPriority w:val="0"/>
    <w:rPr>
      <w:rFonts w:ascii="Calibri" w:hAnsi="Calibri" w:eastAsia="宋体" w:cs="Times New Roman"/>
    </w:rPr>
  </w:style>
  <w:style w:type="paragraph" w:customStyle="1" w:styleId="119">
    <w:name w:val="正文首行缩进 21"/>
    <w:basedOn w:val="11"/>
    <w:unhideWhenUsed/>
    <w:qFormat/>
    <w:uiPriority w:val="99"/>
    <w:pPr>
      <w:ind w:firstLine="200"/>
    </w:pPr>
  </w:style>
  <w:style w:type="paragraph" w:styleId="120">
    <w:name w:val="List Paragraph"/>
    <w:basedOn w:val="1"/>
    <w:qFormat/>
    <w:uiPriority w:val="34"/>
    <w:pPr>
      <w:ind w:firstLine="420" w:firstLineChars="200"/>
    </w:pPr>
  </w:style>
  <w:style w:type="paragraph" w:customStyle="1" w:styleId="121">
    <w:name w:val="正文文本缩进 21"/>
    <w:basedOn w:val="1"/>
    <w:qFormat/>
    <w:uiPriority w:val="0"/>
    <w:pPr>
      <w:spacing w:after="120" w:line="480" w:lineRule="auto"/>
      <w:ind w:left="420"/>
    </w:pPr>
  </w:style>
  <w:style w:type="paragraph" w:customStyle="1" w:styleId="122">
    <w:name w:val="sh4"/>
    <w:basedOn w:val="1"/>
    <w:qFormat/>
    <w:uiPriority w:val="0"/>
    <w:pPr>
      <w:spacing w:line="460" w:lineRule="exact"/>
      <w:ind w:firstLine="420" w:firstLineChars="200"/>
    </w:pPr>
    <w:rPr>
      <w:rFonts w:ascii="宋体" w:hAnsi="宋体" w:eastAsia="宋体" w:cs="Times New Roman"/>
      <w:kern w:val="0"/>
      <w:szCs w:val="21"/>
      <w:lang w:val="zh-CN" w:eastAsia="zh-CN"/>
    </w:rPr>
  </w:style>
  <w:style w:type="character" w:customStyle="1" w:styleId="123">
    <w:name w:val="样式 小四 加粗"/>
    <w:basedOn w:val="31"/>
    <w:autoRedefine/>
    <w:qFormat/>
    <w:uiPriority w:val="0"/>
    <w:rPr>
      <w:rFonts w:eastAsia="黑体"/>
      <w:b/>
      <w:bCs/>
      <w:sz w:val="24"/>
    </w:rPr>
  </w:style>
  <w:style w:type="paragraph" w:customStyle="1" w:styleId="124">
    <w:name w:val="标题 41"/>
    <w:basedOn w:val="1"/>
    <w:next w:val="1"/>
    <w:qFormat/>
    <w:uiPriority w:val="0"/>
    <w:pPr>
      <w:keepNext/>
      <w:jc w:val="center"/>
      <w:outlineLvl w:val="3"/>
    </w:pPr>
    <w:rPr>
      <w:rFonts w:eastAsia="新宋体"/>
      <w:sz w:val="30"/>
      <w:szCs w:val="21"/>
    </w:rPr>
  </w:style>
  <w:style w:type="paragraph" w:customStyle="1" w:styleId="125">
    <w:name w:val="正文首行缩进11"/>
    <w:basedOn w:val="116"/>
    <w:qFormat/>
    <w:uiPriority w:val="0"/>
    <w:pPr>
      <w:spacing w:line="360" w:lineRule="auto"/>
      <w:ind w:firstLine="200"/>
    </w:pPr>
    <w:rPr>
      <w:rFonts w:ascii="FangSong_GB2312" w:eastAsia="FangSong_GB2312"/>
      <w:sz w:val="30"/>
      <w:szCs w:val="3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0290beaf-cb14-4faf-8b2a-e5c9eb8b0f23</errorID>
      <errorWord>2026年03月</errorWord>
      <group>L1_Knowledge</group>
      <groupName>知识性问题</groupName>
      <ability>L2_Time</ability>
      <abilityName>日期时间</abilityName>
      <candidateList>
        <item>2026年3月</item>
      </candidateList>
      <explain>根据日常书写习惯，月份一般会省略前导零。</explain>
      <paraID>2E6DA2DB</paraID>
      <start>0</start>
      <end>8</end>
      <status>unmodified</status>
      <modifiedWord/>
      <trackRevisions>false</trackRevisions>
    </reviewItem>
    <reviewItem>
      <errorID>105ae24c-8378-42b6-b212-6305d2844cea</errorID>
      <errorWord>(</errorWord>
      <group>L1_Format</group>
      <groupName>格式问题</groupName>
      <ability>L2_HalfPunc</ability>
      <abilityName>全半角检查</abilityName>
      <candidateList>
        <item>（</item>
      </candidateList>
      <explain>文本全半角错误。</explain>
      <paraID>275760D0</paraID>
      <start>65</start>
      <end>66</end>
      <status>unmodified</status>
      <modifiedWord/>
      <trackRevisions>false</trackRevisions>
    </reviewItem>
    <reviewItem>
      <errorID>adc0e767-fa72-467d-bdce-6a8928a46d17</errorID>
      <errorWord>:</errorWord>
      <group>L1_Format</group>
      <groupName>格式问题</groupName>
      <ability>L2_HalfPunc</ability>
      <abilityName>全半角检查</abilityName>
      <candidateList>
        <item>：</item>
      </candidateList>
      <explain>文本全半角错误。</explain>
      <paraID>275760D0</paraID>
      <start>70</start>
      <end>71</end>
      <status>unmodified</status>
      <modifiedWord/>
      <trackRevisions>false</trackRevisions>
    </reviewItem>
    <reviewItem>
      <errorID>fe9609a8-71e5-4d73-a204-2314e4ca5a01</errorID>
      <errorWord>)</errorWord>
      <group>L1_Format</group>
      <groupName>格式问题</groupName>
      <ability>L2_HalfPunc</ability>
      <abilityName>全半角检查</abilityName>
      <candidateList>
        <item>）</item>
      </candidateList>
      <explain>文本全半角错误。</explain>
      <paraID>275760D0</paraID>
      <start>83</start>
      <end>84</end>
      <status>unmodified</status>
      <modifiedWord/>
      <trackRevisions>false</trackRevisions>
    </reviewItem>
    <reviewItem>
      <errorID>4145ec20-8b0c-43ce-90b0-ac076237db60</errorID>
      <errorWord>(南通市自然资源和规划学会）的（《南通市自然资源（国土、林业、海洋）和规划志》出版服务项目)</errorWord>
      <group>L1_AI</group>
      <groupName>深度校对</groupName>
      <ability>L2_AI_Punc</ability>
      <abilityName>标点纠错</abilityName>
      <candidateList>
        <item>（南通市自然资源和规划学会）的（《南通市自然资源（国土、林业、海洋）和规划志》出版服务项目）</item>
      </candidateList>
      <explain/>
      <paraID>4AA42A34</paraID>
      <start>0</start>
      <end>46</end>
      <status>unmodified</status>
      <modifiedWord/>
      <trackRevisions>false</trackRevisions>
    </reviewItem>
    <reviewItem>
      <errorID>b0138a3c-216a-4e55-9132-c09c6894abe4</errorID>
      <errorWord>2026年03月27日</errorWord>
      <group>L1_Knowledge</group>
      <groupName>知识性问题</groupName>
      <ability>L2_Time</ability>
      <abilityName>日期时间</abilityName>
      <candidateList>
        <item>2026年3月27日</item>
      </candidateList>
      <explain>根据日常书写习惯，月份一般会省略前导零。</explain>
      <paraID>4AA42A34</paraID>
      <start>76</start>
      <end>87</end>
      <status>unmodified</status>
      <modifiedWord/>
      <trackRevisions>false</trackRevisions>
    </reviewItem>
    <reviewItem>
      <errorID>16f834f9-1891-4718-9bc3-4b6e3cb775a8</errorID>
      <errorWord>:</errorWord>
      <group>L1_Format</group>
      <groupName>格式问题</groupName>
      <ability>L2_HalfPunc</ability>
      <abilityName>全半角检查</abilityName>
      <candidateList>
        <item>：</item>
      </candidateList>
      <explain>文本全半角错误。</explain>
      <paraID>176FFAF3</paraID>
      <start>4</start>
      <end>5</end>
      <status>unmodified</status>
      <modifiedWord/>
      <trackRevisions>false</trackRevisions>
    </reviewItem>
    <reviewItem>
      <errorID>e4a6ec0f-338c-4235-8328-ee31009cd0a7</errorID>
      <errorWord>复印加盖公章，如为与印刷企业合作的，须同时提供有效的双方合作协议复印</errorWord>
      <group>L1_AI</group>
      <groupName>深度校对</groupName>
      <ability>L2_AI_Grammar</ability>
      <abilityName>语法纠错</abilityName>
      <candidateList>
        <item>复印件加盖公章，如为与印刷企业合作的，须同时提供有效的双方合作协议复印件</item>
      </candidateList>
      <explain/>
      <paraID>56F4B1F9</paraID>
      <start>55</start>
      <end>89</end>
      <status>unmodified</status>
      <modifiedWord/>
      <trackRevisions>false</trackRevisions>
    </reviewItem>
    <reviewItem>
      <errorID>ce7ab442-8f3a-4cf8-9570-0c0766f771cb</errorID>
      <errorWord>效应</errorWord>
      <group>L1_AI</group>
      <groupName>深度校对</groupName>
      <ability>L2_AI_Word</ability>
      <abilityName>字词纠错</abilityName>
      <candidateList>
        <item>响应</item>
      </candidateList>
      <explain/>
      <paraID>261C4FFE</paraID>
      <start>62</start>
      <end>64</end>
      <status>modified</status>
      <modifiedWord>响应</modifiedWord>
      <trackRevisions>false</trackRevisions>
    </reviewItem>
    <reviewItem>
      <errorID>f96b0334-2e40-4fc7-baac-a06545b07f38</errorID>
      <errorWord>2026年03月16日</errorWord>
      <group>L1_Knowledge</group>
      <groupName>知识性问题</groupName>
      <ability>L2_Time</ability>
      <abilityName>日期时间</abilityName>
      <candidateList>
        <item>2026年3月16日</item>
      </candidateList>
      <explain>根据日常书写习惯，月份一般会省略前导零。</explain>
      <paraID>1EA7B8CE</paraID>
      <start>3</start>
      <end>14</end>
      <status>unmodified</status>
      <modifiedWord/>
      <trackRevisions>false</trackRevisions>
    </reviewItem>
    <reviewItem>
      <errorID>c9715982-9fe0-4d21-b460-bbbd4a0bdf87</errorID>
      <errorWord>2026年03月26日</errorWord>
      <group>L1_Knowledge</group>
      <groupName>知识性问题</groupName>
      <ability>L2_Time</ability>
      <abilityName>日期时间</abilityName>
      <candidateList>
        <item>2026年3月26日</item>
      </candidateList>
      <explain>根据日常书写习惯，月份一般会省略前导零。</explain>
      <paraID>1EA7B8CE</paraID>
      <start>15</start>
      <end>26</end>
      <status>unmodified</status>
      <modifiedWord/>
      <trackRevisions>false</trackRevisions>
    </reviewItem>
    <reviewItem>
      <errorID>3f674b2f-1111-42aa-a71f-d9b8f4657ffc</errorID>
      <errorWord>2026年03月27日</errorWord>
      <group>L1_Knowledge</group>
      <groupName>知识性问题</groupName>
      <ability>L2_Time</ability>
      <abilityName>日期时间</abilityName>
      <candidateList>
        <item>2026年3月27日</item>
      </candidateList>
      <explain>根据日常书写习惯，月份一般会省略前导零。</explain>
      <paraID>57E38A86</paraID>
      <start>0</start>
      <end>11</end>
      <status>unmodified</status>
      <modifiedWord/>
      <trackRevisions>false</trackRevisions>
    </reviewItem>
    <reviewItem>
      <errorID>b980c823-bb67-489b-8b7d-8294edff2e11</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6EDD99EA</paraID>
      <start>62</start>
      <end>66</end>
      <status>modified</status>
      <modifiedWord>其他部分</modifiedWord>
      <trackRevisions>false</trackRevisions>
    </reviewItem>
    <reviewItem>
      <errorID>49e57664-3e94-4cb1-a06d-6e36f530c08f</errorID>
      <errorWord>本</errorWord>
      <group>L1_AI</group>
      <groupName>深度校对</groupName>
      <ability>L2_AI_Word</ability>
      <abilityName>字词纠错</abilityName>
      <candidateList>
        <item> 本</item>
      </candidateList>
      <explain/>
      <paraID>1EDD5718</paraID>
      <start>3</start>
      <end>4</end>
      <status>unmodified</status>
      <modifiedWord/>
      <trackRevisions>false</trackRevisions>
    </reviewItem>
    <reviewItem>
      <errorID>f0e8a45d-e912-4b5e-b9d9-1e7c1009072b</errorID>
      <errorWord>[2011]534号</errorWord>
      <group>L1_Knowledge</group>
      <groupName>知识性问题</groupName>
      <ability>L2_Knowledge</ability>
      <abilityName>其他知识</abilityName>
      <candidateList>
        <item>〔2011〕534号</item>
      </candidateList>
      <explain>发文字号格式错误。</explain>
      <paraID>1EDD5718</paraID>
      <start>15</start>
      <end>25</end>
      <status>modified</status>
      <modifiedWord>〔2011〕534号</modifiedWord>
      <trackRevisions>false</trackRevisions>
    </reviewItem>
    <reviewItem>
      <errorID>783bda10-1d46-4b4e-84cb-492dae9436d6</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58387579</paraID>
      <start>41</start>
      <end>45</end>
      <status>modified</status>
      <modifiedWord>其他部分</modifiedWord>
      <trackRevisions>false</trackRevisions>
    </reviewItem>
    <reviewItem>
      <errorID>dcc75984-7ab6-4025-9347-a13c6a8bd105</errorID>
      <errorWord>间</errorWord>
      <group>L1_Word</group>
      <groupName>字词问题</groupName>
      <ability>L2_Typo</ability>
      <abilityName>字词错误</abilityName>
      <candidateList>
        <item>间之</item>
      </candidateList>
      <explain/>
      <paraID>3671D963</paraID>
      <start>14</start>
      <end>15</end>
      <status>unmodified</status>
      <modifiedWord/>
      <trackRevisions>false</trackRevisions>
    </reviewItem>
    <reviewItem>
      <errorID>27391500-c910-43d8-a468-4bd553011bef</errorID>
      <errorWord>纸质</errorWord>
      <group>L1_AI</group>
      <groupName>深度校对</groupName>
      <ability>L2_AI_Word</ability>
      <abilityName>字词纠错</abilityName>
      <candidateList>
        <item> 纸质</item>
      </candidateList>
      <explain/>
      <paraID>464B9DAB</paraID>
      <start>3</start>
      <end>5</end>
      <status>unmodified</status>
      <modifiedWord/>
      <trackRevisions>false</trackRevisions>
    </reviewItem>
    <reviewItem>
      <errorID>89a0b6f7-1efe-42a0-9688-25fa043365ba</errorID>
      <errorWord>【资格审查文件、商务技术文件、价格文件】</errorWord>
      <group>L1_AI</group>
      <groupName>深度校对</groupName>
      <ability>L2_AI_Punc</ability>
      <abilityName>标点纠错</abilityName>
      <candidateList>
        <item>（资格审查文件、商务技术文件、价格文件）</item>
      </candidateList>
      <explain/>
      <paraID>464B9DAB</paraID>
      <start>14</start>
      <end>34</end>
      <status>unmodified</status>
      <modifiedWord/>
      <trackRevisions>false</trackRevisions>
    </reviewItem>
    <reviewItem>
      <errorID>e7f2f9e5-514e-4c8a-bbea-e4f092777e48</errorID>
      <errorWord>,</errorWord>
      <group>L1_Format</group>
      <groupName>格式问题</groupName>
      <ability>L2_HalfPunc</ability>
      <abilityName>全半角检查</abilityName>
      <candidateList>
        <item>，</item>
      </candidateList>
      <explain>文本全半角错误。</explain>
      <paraID> 98B6D40</paraID>
      <start>41</start>
      <end>42</end>
      <status>unmodified</status>
      <modifiedWord/>
      <trackRevisions>false</trackRevisions>
    </reviewItem>
    <reviewItem>
      <errorID>e906020b-a736-4476-b6aa-b10f462de732</errorID>
      <errorWord>供应商</errorWord>
      <group>L1_AI</group>
      <groupName>深度校对</groupName>
      <ability>L2_AI_Grammar</ability>
      <abilityName>语法纠错</abilityName>
      <candidateList>
        <item>其</item>
      </candidateList>
      <explain/>
      <paraID>341AA663</paraID>
      <start>59</start>
      <end>62</end>
      <status>unmodified</status>
      <modifiedWord/>
      <trackRevisions>false</trackRevisions>
    </reviewItem>
    <reviewItem>
      <errorID>46498d85-206d-4f70-8189-7895f6862ed8</errorID>
      <errorWord>新</errorWord>
      <group>L1_AI</group>
      <groupName>深度校对</groupName>
      <ability>L2_AI_Word</ability>
      <abilityName>字词纠错</abilityName>
      <candidateList>
        <item>的新</item>
      </candidateList>
      <explain/>
      <paraID>341AA663</paraID>
      <start>75</start>
      <end>76</end>
      <status>unmodified</status>
      <modifiedWord/>
      <trackRevisions>false</trackRevisions>
    </reviewItem>
    <reviewItem>
      <errorID>afb1023d-2427-4c8b-a95b-aba967f4934d</errorID>
      <errorWord>涉及到</errorWord>
      <group>L1_Grammar</group>
      <groupName>语法问题</groupName>
      <ability>L2_Grammar</ability>
      <abilityName>语法错误</abilityName>
      <candidateList>
        <item>涉及</item>
      </candidateList>
      <explain>〈动〉牵涉到；关联到：案子～好几个人｜这个问题～面很广。</explain>
      <paraID>1F0D4A53</paraID>
      <start>12</start>
      <end>15</end>
      <status>unmodified</status>
      <modifiedWord/>
      <trackRevisions>false</trackRevisions>
    </reviewItem>
    <reviewItem>
      <errorID>20a74272-4d43-4bac-9c67-aa18fd0973c4</errorID>
      <errorWord>有助于对</errorWord>
      <group>L1_Grammar</group>
      <groupName>语法问题</groupName>
      <ability>L2_Grammar</ability>
      <abilityName>语法错误</abilityName>
      <candidateList>
        <item>有助于</item>
      </candidateList>
      <explain/>
      <paraID>39CB2935</paraID>
      <start>9</start>
      <end>13</end>
      <status>unmodified</status>
      <modifiedWord/>
      <trackRevisions>false</trackRevisions>
    </reviewItem>
    <reviewItem>
      <errorID>26df7e45-ca67-4c06-ad7b-e84ad71be775</errorID>
      <errorWord>做出</errorWord>
      <group>L1_Word</group>
      <groupName>字词问题</groupName>
      <ability>L2_Typo</ability>
      <abilityName>字词错误</abilityName>
      <candidateList>
        <item>作出</item>
      </candidateList>
      <explain/>
      <paraID>5BE8B2DD</paraID>
      <start>23</start>
      <end>25</end>
      <status>modified</status>
      <modifiedWord>作出</modifiedWord>
      <trackRevisions>false</trackRevisions>
    </reviewItem>
    <reviewItem>
      <errorID>1917156a-90aa-4dea-af12-f5b955a7d177</errorID>
      <errorWord>供应商人</errorWord>
      <group>L1_Word</group>
      <groupName>字词问题</groupName>
      <ability>L2_Typo</ability>
      <abilityName>字词错误</abilityName>
      <candidateList>
        <item>供应商</item>
      </candidateList>
      <explain/>
      <paraID>70CCD0B7</paraID>
      <start>19</start>
      <end>22</end>
      <status>modified</status>
      <modifiedWord>供应商</modifiedWord>
      <trackRevisions>false</trackRevisions>
    </reviewItem>
    <reviewItem>
      <errorID>ceb4ba66-0ba3-4634-b490-993b430daa53</errorID>
      <errorWord>(</errorWord>
      <group>L1_Format</group>
      <groupName>格式问题</groupName>
      <ability>L2_HalfPunc</ability>
      <abilityName>全半角检查</abilityName>
      <candidateList>
        <item>（</item>
      </candidateList>
      <explain>文本全半角错误。</explain>
      <paraID>1C0D6766</paraID>
      <start>5</start>
      <end>6</end>
      <status>unmodified</status>
      <modifiedWord/>
      <trackRevisions>false</trackRevisions>
    </reviewItem>
    <reviewItem>
      <errorID>903100db-7c7c-4d1f-8777-65c53dd0cad4</errorID>
      <errorWord>)</errorWord>
      <group>L1_Format</group>
      <groupName>格式问题</groupName>
      <ability>L2_HalfPunc</ability>
      <abilityName>全半角检查</abilityName>
      <candidateList>
        <item>）</item>
      </candidateList>
      <explain>文本全半角错误。</explain>
      <paraID>1C0D6766</paraID>
      <start>8</start>
      <end>9</end>
      <status>unmodified</status>
      <modifiedWord/>
      <trackRevisions>false</trackRevisions>
    </reviewItem>
    <reviewItem>
      <errorID>7ee65fba-70b6-4c37-b747-07e7c4fd3679</errorID>
      <errorWord>(</errorWord>
      <group>L1_Format</group>
      <groupName>格式问题</groupName>
      <ability>L2_HalfPunc</ability>
      <abilityName>全半角检查</abilityName>
      <candidateList>
        <item>（</item>
      </candidateList>
      <explain>文本全半角错误。</explain>
      <paraID>1C0D6766</paraID>
      <start>27</start>
      <end>28</end>
      <status>unmodified</status>
      <modifiedWord/>
      <trackRevisions>false</trackRevisions>
    </reviewItem>
    <reviewItem>
      <errorID>054ca84d-0e2f-4409-a5a3-215152890319</errorID>
      <errorWord>)</errorWord>
      <group>L1_Format</group>
      <groupName>格式问题</groupName>
      <ability>L2_HalfPunc</ability>
      <abilityName>全半角检查</abilityName>
      <candidateList>
        <item>）</item>
      </candidateList>
      <explain>文本全半角错误。</explain>
      <paraID>1C0D6766</paraID>
      <start>30</start>
      <end>31</end>
      <status>unmodified</status>
      <modifiedWord/>
      <trackRevisions>false</trackRevisions>
    </reviewItem>
    <reviewItem>
      <errorID>5eb59f8e-6458-4618-88db-f91e1ebe9c77</errorID>
      <errorWord>&lt;</errorWord>
      <group>L1_Format</group>
      <groupName>格式问题</groupName>
      <ability>L2_HalfPunc</ability>
      <abilityName>全半角检查</abilityName>
      <candidateList>
        <item>〈</item>
      </candidateList>
      <explain>文本全半角错误。</explain>
      <paraID>1C0D6766</paraID>
      <start>33</start>
      <end>34</end>
      <status>unmodified</status>
      <modifiedWord/>
      <trackRevisions>false</trackRevisions>
    </reviewItem>
    <reviewItem>
      <errorID>5fee0bcf-2a28-4587-baa9-3c0310290f31</errorID>
      <errorWord>(</errorWord>
      <group>L1_Format</group>
      <groupName>格式问题</groupName>
      <ability>L2_HalfPunc</ability>
      <abilityName>全半角检查</abilityName>
      <candidateList>
        <item>（</item>
      </candidateList>
      <explain>文本全半角错误。</explain>
      <paraID>1867990D</paraID>
      <start>5</start>
      <end>6</end>
      <status>unmodified</status>
      <modifiedWord/>
      <trackRevisions>false</trackRevisions>
    </reviewItem>
    <reviewItem>
      <errorID>14b22b72-d185-4a75-9d12-c31e860dbc7a</errorID>
      <errorWord>)</errorWord>
      <group>L1_Format</group>
      <groupName>格式问题</groupName>
      <ability>L2_HalfPunc</ability>
      <abilityName>全半角检查</abilityName>
      <candidateList>
        <item>）</item>
      </candidateList>
      <explain>文本全半角错误。</explain>
      <paraID>1867990D</paraID>
      <start>8</start>
      <end>9</end>
      <status>unmodified</status>
      <modifiedWord/>
      <trackRevisions>false</trackRevisions>
    </reviewItem>
    <reviewItem>
      <errorID>f60cd840-9bf2-47a9-8b4c-f276b26c3ef6</errorID>
      <errorWord>(</errorWord>
      <group>L1_Format</group>
      <groupName>格式问题</groupName>
      <ability>L2_HalfPunc</ability>
      <abilityName>全半角检查</abilityName>
      <candidateList>
        <item>（</item>
      </candidateList>
      <explain>文本全半角错误。</explain>
      <paraID>1867990D</paraID>
      <start>29</start>
      <end>30</end>
      <status>unmodified</status>
      <modifiedWord/>
      <trackRevisions>false</trackRevisions>
    </reviewItem>
    <reviewItem>
      <errorID>d3326f20-e5e2-4992-b65a-d76017c03b9c</errorID>
      <errorWord>)</errorWord>
      <group>L1_Format</group>
      <groupName>格式问题</groupName>
      <ability>L2_HalfPunc</ability>
      <abilityName>全半角检查</abilityName>
      <candidateList>
        <item>）</item>
      </candidateList>
      <explain>文本全半角错误。</explain>
      <paraID>1867990D</paraID>
      <start>32</start>
      <end>33</end>
      <status>unmodified</status>
      <modifiedWord/>
      <trackRevisions>false</trackRevisions>
    </reviewItem>
    <reviewItem>
      <errorID>52c586d7-2353-4745-b004-6d5ddd5473b9</errorID>
      <errorWord>&lt;</errorWord>
      <group>L1_Format</group>
      <groupName>格式问题</groupName>
      <ability>L2_HalfPunc</ability>
      <abilityName>全半角检查</abilityName>
      <candidateList>
        <item>〈</item>
      </candidateList>
      <explain>文本全半角错误。</explain>
      <paraID>1867990D</paraID>
      <start>35</start>
      <end>36</end>
      <status>unmodified</status>
      <modifiedWord/>
      <trackRevisions>false</trackRevisions>
    </reviewItem>
    <reviewItem>
      <errorID>652080ca-f0ba-424b-a57d-9938dd70dde9</errorID>
      <errorWord>(</errorWord>
      <group>L1_Format</group>
      <groupName>格式问题</groupName>
      <ability>L2_HalfPunc</ability>
      <abilityName>全半角检查</abilityName>
      <candidateList>
        <item>（</item>
      </candidateList>
      <explain>文本全半角错误。</explain>
      <paraID>25D961D0</paraID>
      <start>14</start>
      <end>15</end>
      <status>unmodified</status>
      <modifiedWord/>
      <trackRevisions>false</trackRevisions>
    </reviewItem>
    <reviewItem>
      <errorID>efd3e746-a2a8-47dc-9cb3-442288dc8c4e</errorID>
      <errorWord>)</errorWord>
      <group>L1_Format</group>
      <groupName>格式问题</groupName>
      <ability>L2_HalfPunc</ability>
      <abilityName>全半角检查</abilityName>
      <candidateList>
        <item>）</item>
      </candidateList>
      <explain>文本全半角错误。</explain>
      <paraID>25D961D0</paraID>
      <start>17</start>
      <end>18</end>
      <status>unmodified</status>
      <modifiedWord/>
      <trackRevisions>false</trackRevisions>
    </reviewItem>
    <reviewItem>
      <errorID>14fa303b-b46d-4833-bde2-4f7d85759a5c</errorID>
      <errorWord>(</errorWord>
      <group>L1_Format</group>
      <groupName>格式问题</groupName>
      <ability>L2_HalfPunc</ability>
      <abilityName>全半角检查</abilityName>
      <candidateList>
        <item>（</item>
      </candidateList>
      <explain>文本全半角错误。</explain>
      <paraID>25D961D0</paraID>
      <start>83</start>
      <end>84</end>
      <status>unmodified</status>
      <modifiedWord/>
      <trackRevisions>false</trackRevisions>
    </reviewItem>
    <reviewItem>
      <errorID>03d49228-3895-431f-a046-e9eb97082792</errorID>
      <errorWord>)</errorWord>
      <group>L1_Format</group>
      <groupName>格式问题</groupName>
      <ability>L2_HalfPunc</ability>
      <abilityName>全半角检查</abilityName>
      <candidateList>
        <item>）</item>
      </candidateList>
      <explain>文本全半角错误。</explain>
      <paraID>25D961D0</paraID>
      <start>86</start>
      <end>87</end>
      <status>unmodified</status>
      <modifiedWord/>
      <trackRevisions>false</trackRevisions>
    </reviewItem>
    <reviewItem>
      <errorID>4ed84cf0-ad2b-40cf-a4fe-174023e8a604</errorID>
      <errorWord>(</errorWord>
      <group>L1_Format</group>
      <groupName>格式问题</groupName>
      <ability>L2_HalfPunc</ability>
      <abilityName>全半角检查</abilityName>
      <candidateList>
        <item>（</item>
      </candidateList>
      <explain>文本全半角错误。</explain>
      <paraID>25D961D0</paraID>
      <start>152</start>
      <end>153</end>
      <status>unmodified</status>
      <modifiedWord/>
      <trackRevisions>false</trackRevisions>
    </reviewItem>
    <reviewItem>
      <errorID>b3e3ecc3-e7b6-4a23-a601-654e84b895d5</errorID>
      <errorWord>)</errorWord>
      <group>L1_Format</group>
      <groupName>格式问题</groupName>
      <ability>L2_HalfPunc</ability>
      <abilityName>全半角检查</abilityName>
      <candidateList>
        <item>）</item>
      </candidateList>
      <explain>文本全半角错误。</explain>
      <paraID>25D961D0</paraID>
      <start>155</start>
      <end>156</end>
      <status>unmodified</status>
      <modifiedWord/>
      <trackRevisions>false</trackRevisions>
    </reviewItem>
    <reviewItem>
      <errorID>b8296862-eb9f-4da2-a44d-f7300a7d551e</errorID>
      <errorWord>(</errorWord>
      <group>L1_Format</group>
      <groupName>格式问题</groupName>
      <ability>L2_HalfPunc</ability>
      <abilityName>全半角检查</abilityName>
      <candidateList>
        <item>（</item>
      </candidateList>
      <explain>文本全半角错误。</explain>
      <paraID>25D961D0</paraID>
      <start>213</start>
      <end>214</end>
      <status>unmodified</status>
      <modifiedWord/>
      <trackRevisions>false</trackRevisions>
    </reviewItem>
    <reviewItem>
      <errorID>1a583db8-47c6-4e92-b7ab-75636035cb7a</errorID>
      <errorWord>)</errorWord>
      <group>L1_Format</group>
      <groupName>格式问题</groupName>
      <ability>L2_HalfPunc</ability>
      <abilityName>全半角检查</abilityName>
      <candidateList>
        <item>）</item>
      </candidateList>
      <explain>文本全半角错误。</explain>
      <paraID>25D961D0</paraID>
      <start>216</start>
      <end>217</end>
      <status>unmodified</status>
      <modifiedWord/>
      <trackRevisions>false</trackRevisions>
    </reviewItem>
    <reviewItem>
      <errorID>4b43d2a4-0dbb-4d13-840a-5405d4ab6960</errorID>
      <errorWord>不</errorWord>
      <group>L1_Word</group>
      <groupName>字词问题</groupName>
      <ability>L2_Typo</ability>
      <abilityName>字词错误</abilityName>
      <candidateList>
        <item>不符</item>
      </candidateList>
      <explain/>
      <paraID>18DC05F3</paraID>
      <start>46</start>
      <end>48</end>
      <status>modified</status>
      <modifiedWord>不符</modifiedWord>
      <trackRevisions>false</trackRevisions>
    </reviewItem>
    <reviewItem>
      <errorID>689ab34b-b1a2-4aae-a873-77e075d87ad8</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3D77D135</paraID>
      <start>20</start>
      <end>22</end>
      <status>modified</status>
      <modifiedWord>响应</modifiedWord>
      <trackRevisions>false</trackRevisions>
    </reviewItem>
    <reviewItem>
      <errorID>232bf77e-95fe-4da0-8e09-880878ec7d7e</errorID>
      <errorWord>保持通讯畅通</errorWord>
      <group>L1_Word</group>
      <groupName>字词问题</groupName>
      <ability>L2_Typo</ability>
      <abilityName>字词错误</abilityName>
      <candidateList>
        <item>保持通信畅通</item>
      </candidateList>
      <explain/>
      <paraID>2FDF33D9</paraID>
      <start>14</start>
      <end>20</end>
      <status>unmodified</status>
      <modifiedWord/>
      <trackRevisions>false</trackRevisions>
    </reviewItem>
    <reviewItem>
      <errorID>de26b9b7-f250-45a4-8c80-0b8319fb70f7</errorID>
      <errorWord>法律、法规</errorWord>
      <group>L1_Word</group>
      <groupName>字词问题</groupName>
      <ability>L2_Typo</ability>
      <abilityName>字词错误</abilityName>
      <candidateList>
        <item>法律法规</item>
      </candidateList>
      <explain/>
      <paraID>51F26789</paraID>
      <start>8</start>
      <end>13</end>
      <status>unmodified</status>
      <modifiedWord/>
      <trackRevisions>false</trackRevisions>
    </reviewItem>
    <reviewItem>
      <errorID>a7323ae2-df6e-4817-b847-52a5dbb82d42</errorID>
      <errorWord>法律、法规</errorWord>
      <group>L1_Word</group>
      <groupName>字词问题</groupName>
      <ability>L2_Typo</ability>
      <abilityName>字词错误</abilityName>
      <candidateList>
        <item>法律法规</item>
      </candidateList>
      <explain/>
      <paraID>2F5A63B2</paraID>
      <start>8</start>
      <end>13</end>
      <status>unmodified</status>
      <modifiedWord/>
      <trackRevisions>false</trackRevisions>
    </reviewItem>
    <reviewItem>
      <errorID>41dc083d-5296-4d60-acc4-efecded5132e</errorID>
      <errorWord>人</errorWord>
      <group>L1_Word</group>
      <groupName>字词问题</groupName>
      <ability>L2_Typo</ability>
      <abilityName>字词错误</abilityName>
      <candidateList>
        <item>人方</item>
      </candidateList>
      <explain/>
      <paraID>52D2EE73</paraID>
      <start>30</start>
      <end>32</end>
      <status>modified</status>
      <modifiedWord>人方</modifiedWord>
      <trackRevisions>false</trackRevisions>
    </reviewItem>
    <reviewItem>
      <errorID>7e5057d3-dca2-4212-818f-4b72a327da97</errorID>
      <errorWord>涉及到</errorWord>
      <group>L1_Grammar</group>
      <groupName>语法问题</groupName>
      <ability>L2_Grammar</ability>
      <abilityName>语法错误</abilityName>
      <candidateList>
        <item>涉及</item>
      </candidateList>
      <explain>〈动〉牵涉到；关联到：案子～好几个人｜这个问题～面很广。</explain>
      <paraID>6BAC6B37</paraID>
      <start>9</start>
      <end>12</end>
      <status>unmodified</status>
      <modifiedWord/>
      <trackRevisions>false</trackRevisions>
    </reviewItem>
    <reviewItem>
      <errorID>c591d7df-d36d-45e1-930a-76b1c8cce58b</errorID>
      <errorWord>等和</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6BAC6B37</paraID>
      <start>25</start>
      <end>27</end>
      <status>unmodified</status>
      <modifiedWord/>
      <trackRevisions>false</trackRevisions>
    </reviewItem>
    <reviewItem>
      <errorID>8167a40c-1546-472c-8a2d-f41053d8a6c0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644E96EA</paraID>
      <start>0</start>
      <end>2</end>
      <status>unmodified</status>
      <modifiedWord/>
      <trackRevisions>false</trackRevisions>
    </reviewItem>
    <reviewItem>
      <errorID>2ad4a728-4e93-48de-9f11-3f0b31eff823</errorID>
      <errorWord>:</errorWord>
      <group>L1_Format</group>
      <groupName>格式问题</groupName>
      <ability>L2_HalfPunc</ability>
      <abilityName>全半角检查</abilityName>
      <candidateList>
        <item>：</item>
      </candidateList>
      <explain>文本全半角错误。</explain>
      <paraID>2DDBEA71</paraID>
      <start>37</start>
      <end>38</end>
      <status>unmodified</status>
      <modifiedWord/>
      <trackRevisions>false</trackRevisions>
    </reviewItem>
    <reviewItem>
      <errorID>320403c9-8963-4c98-9a5c-a6209319ec3b</errorID>
      <errorWord>;</errorWord>
      <group>L1_Format</group>
      <groupName>格式问题</groupName>
      <ability>L2_HalfPunc</ability>
      <abilityName>全半角检查</abilityName>
      <candidateList>
        <item>；</item>
      </candidateList>
      <explain>文本全半角错误。</explain>
      <paraID>2DDBEA71</paraID>
      <start>84</start>
      <end>85</end>
      <status>unmodified</status>
      <modifiedWord/>
      <trackRevisions>false</trackRevisions>
    </reviewItem>
    <reviewItem>
      <errorID>e2a29fb5-ee53-4a55-b914-3dc2c6e11eee</errorID>
      <errorWord>、以及</errorWord>
      <group>L1_Punc</group>
      <groupName>标点问题</groupName>
      <ability>L2_Punc</ability>
      <abilityName>标点符号检查</abilityName>
      <candidateList>
        <item>，以及</item>
      </candidateList>
      <explain>连接词前后不宜使用顿号，建议使用逗号。</explain>
      <paraID>70A8C0E0</paraID>
      <start>30</start>
      <end>33</end>
      <status>unmodified</status>
      <modifiedWord/>
      <trackRevisions>false</trackRevisions>
    </reviewItem>
    <reviewItem>
      <errorID>9d071ba1-334f-492c-857c-0d0e0f10a2a6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53C4FDAF</paraID>
      <start>32</start>
      <end>33</end>
      <status>unmodified</status>
      <modifiedWord/>
      <trackRevisions>false</trackRevisions>
    </reviewItem>
    <reviewItem>
      <errorID>96c44e89-5fd2-44ab-8c7e-1b6f0baa018b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57CB04F6</paraID>
      <start>0</start>
      <end>2</end>
      <status>unmodified</status>
      <modifiedWord/>
      <trackRevisions>false</trackRevisions>
    </reviewItem>
    <reviewItem>
      <errorID>038bf273-1edd-4f9d-b417-a6ed995821f0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4FE91538</paraID>
      <start>0</start>
      <end>2</end>
      <status>unmodified</status>
      <modifiedWord/>
      <trackRevisions>false</trackRevisions>
    </reviewItem>
    <reviewItem>
      <errorID>355ce8ee-9c4b-49f5-bf03-3e9d04a075ea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7979CA0E</paraID>
      <start>0</start>
      <end>2</end>
      <status>unmodified</status>
      <modifiedWord/>
      <trackRevisions>false</trackRevisions>
    </reviewItem>
    <reviewItem>
      <errorID>f2344cad-d9fa-428c-bd8d-c99db59476d7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244F3038</paraID>
      <start>0</start>
      <end>2</end>
      <status>unmodified</status>
      <modifiedWord/>
      <trackRevisions>false</trackRevisions>
    </reviewItem>
    <reviewItem>
      <errorID>3636d064-0a1e-4cb0-b677-e64d07674b0d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7FE7D395</paraID>
      <start>0</start>
      <end>2</end>
      <status>unmodified</status>
      <modifiedWord/>
      <trackRevisions>false</trackRevisions>
    </reviewItem>
    <reviewItem>
      <errorID>522a2dfc-cc1e-44e2-9dfa-f2191794229b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1C196324</paraID>
      <start>0</start>
      <end>2</end>
      <status>unmodified</status>
      <modifiedWord/>
      <trackRevisions>false</trackRevisions>
    </reviewItem>
    <reviewItem>
      <errorID>93213022-b10f-45a8-911d-cc1d2165580b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3B6688C7</paraID>
      <start>0</start>
      <end>2</end>
      <status>unmodified</status>
      <modifiedWord/>
      <trackRevisions>false</trackRevisions>
    </reviewItem>
    <reviewItem>
      <errorID>7c2c7495-e229-471e-b488-ee843f25285e</errorID>
      <errorWord>达</errorWord>
      <group>L1_Word</group>
      <groupName>字词问题</groupName>
      <ability>L2_Typo</ability>
      <abilityName>字词错误</abilityName>
      <candidateList>
        <item>达到</item>
      </candidateList>
      <explain>〈动〉到（多指抽象事物或程度）：达得到｜达不到｜目的没有～｜～国际水平。</explain>
      <paraID>46675751</paraID>
      <start>88</start>
      <end>89</end>
      <status>unmodified</status>
      <modifiedWord/>
      <trackRevisions>false</trackRevisions>
    </reviewItem>
    <reviewItem>
      <errorID>8ee5db74-0c3a-4056-a0b7-29f260268713</errorID>
      <errorWord>涉及到</errorWord>
      <group>L1_Grammar</group>
      <groupName>语法问题</groupName>
      <ability>L2_Grammar</ability>
      <abilityName>语法错误</abilityName>
      <candidateList>
        <item>涉及</item>
      </candidateList>
      <explain>〈动〉牵涉到；关联到：案子～好几个人｜这个问题～面很广。</explain>
      <paraID>34A17DCB</paraID>
      <start>96</start>
      <end>99</end>
      <status>unmodified</status>
      <modifiedWord/>
      <trackRevisions>false</trackRevisions>
    </reviewItem>
    <reviewItem>
      <errorID>5bc31181-4da2-4d7c-8be1-3333479e304c</errorID>
      <errorWord>下</errorWord>
      <group>L1_Word</group>
      <groupName>字词问题</groupName>
      <ability>L2_Typo</ability>
      <abilityName>字词错误</abilityName>
      <candidateList>
        <item>下简</item>
      </candidateList>
      <explain/>
      <paraID>4DB4E6FE</paraID>
      <start>6</start>
      <end>7</end>
      <status>unmodified</status>
      <modifiedWord/>
      <trackRevisions>false</trackRevisions>
    </reviewItem>
    <reviewItem>
      <errorID>e119297f-72ee-458d-b9f5-09c3308c2322</errorID>
      <errorWord>下</errorWord>
      <group>L1_Word</group>
      <groupName>字词问题</groupName>
      <ability>L2_Typo</ability>
      <abilityName>字词错误</abilityName>
      <candidateList>
        <item>下简</item>
      </candidateList>
      <explain/>
      <paraID> 145CCA3</paraID>
      <start>8</start>
      <end>9</end>
      <status>unmodified</status>
      <modifiedWord/>
      <trackRevisions>false</trackRevisions>
    </reviewItem>
    <reviewItem>
      <errorID>0598d868-1817-4738-9b68-0938cfb4f4a8</errorID>
      <errorWord>、以及</errorWord>
      <group>L1_Punc</group>
      <groupName>标点问题</groupName>
      <ability>L2_Punc</ability>
      <abilityName>标点符号检查</abilityName>
      <candidateList>
        <item>，以及</item>
      </candidateList>
      <explain>连接词前后不宜使用顿号，建议使用逗号。</explain>
      <paraID>69147F28</paraID>
      <start>30</start>
      <end>33</end>
      <status>unmodified</status>
      <modifiedWord/>
      <trackRevisions>false</trackRevisions>
    </reviewItem>
    <reviewItem>
      <errorID>b4328625-6003-4748-b46d-2afb9aeef477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6605F56A</paraID>
      <start>31</start>
      <end>32</end>
      <status>unmodified</status>
      <modifiedWord/>
      <trackRevisions>false</trackRevisions>
    </reviewItem>
    <reviewItem>
      <errorID>632db3f7-c345-4273-80bc-058b0abbe209</errorID>
      <errorWord>达</errorWord>
      <group>L1_Word</group>
      <groupName>字词问题</groupName>
      <ability>L2_Typo</ability>
      <abilityName>字词错误</abilityName>
      <candidateList>
        <item>达到</item>
      </candidateList>
      <explain>〈动〉到（多指抽象事物或程度）：达得到｜达不到｜目的没有～｜～国际水平。</explain>
      <paraID>4A1D2340</paraID>
      <start>82</start>
      <end>83</end>
      <status>unmodified</status>
      <modifiedWord/>
      <trackRevisions>false</trackRevisions>
    </reviewItem>
    <reviewItem>
      <errorID>aed5f09c-ef5a-4d77-965e-1299449419c3</errorID>
      <errorWord>法律、法规</errorWord>
      <group>L1_Word</group>
      <groupName>字词问题</groupName>
      <ability>L2_Typo</ability>
      <abilityName>字词错误</abilityName>
      <candidateList>
        <item>法律法规</item>
      </candidateList>
      <explain/>
      <paraID>7AA0A6CA</paraID>
      <start>11</start>
      <end>16</end>
      <status>unmodified</status>
      <modifiedWord/>
      <trackRevisions>false</trackRevisions>
    </reviewItem>
    <reviewItem>
      <errorID>05a35bc9-2662-4dbf-b8a3-827f4569c34c</errorID>
      <errorWord>全</errorWord>
      <group>L1_Word</group>
      <groupName>字词问题</groupName>
      <ability>L2_Typo</ability>
      <abilityName>字词错误</abilityName>
      <candidateList>
        <item>全过</item>
      </candidateList>
      <explain/>
      <paraID>5143DE1D</paraID>
      <start>29</start>
      <end>30</end>
      <status>unmodified</status>
      <modifiedWord/>
      <trackRevisions>false</trackRevisions>
    </reviewItem>
    <reviewItem>
      <errorID>4d8285f9-ac26-4e78-a482-21ad9b77000e</errorID>
      <errorWord>涉及到</errorWord>
      <group>L1_Grammar</group>
      <groupName>语法问题</groupName>
      <ability>L2_Grammar</ability>
      <abilityName>语法错误</abilityName>
      <candidateList>
        <item>涉及</item>
      </candidateList>
      <explain>〈动〉牵涉到；关联到：案子～好几个人｜这个问题～面很广。</explain>
      <paraID> 846D5B2</paraID>
      <start>99</start>
      <end>102</end>
      <status>unmodified</status>
      <modifiedWord/>
      <trackRevisions>false</trackRevisions>
    </reviewItem>
    <reviewItem>
      <errorID>6a875d68-e56c-4422-bc6a-dddfa12a79ab</errorID>
      <errorWord>是由于乙方的过错造成</errorWord>
      <group>L1_Grammar</group>
      <groupName>语法问题</groupName>
      <ability>L2_Grammar</ability>
      <abilityName>语法错误</abilityName>
      <candidateList>
        <item>是由于乙方的过错</item>
      </candidateList>
      <explain/>
      <paraID>4CEFA591</paraID>
      <start>40</start>
      <end>50</end>
      <status>unmodified</status>
      <modifiedWord/>
      <trackRevisions>false</trackRevisions>
    </reviewItem>
    <reviewItem>
      <errorID>e2edaf2d-f176-4404-9a64-5bfe8bc641e4</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7174AC59</paraID>
      <start>0</start>
      <end>1</end>
      <status>modified</status>
      <modifiedWord>账</modifiedWord>
      <trackRevisions>false</trackRevisions>
    </reviewItem>
    <reviewItem>
      <errorID>bb4c3fbe-1cac-4016-9891-3966a17171d4</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633E1158</paraID>
      <start>0</start>
      <end>1</end>
      <status>modified</status>
      <modifiedWord>账</modifiedWord>
      <trackRevisions>false</trackRevisions>
    </reviewItem>
    <reviewItem>
      <errorID>96c2a754-615b-4781-b9d5-de6b460cbfe6</errorID>
      <errorWord>所有的</errorWord>
      <group>L1_Word</group>
      <groupName>字词问题</groupName>
      <ability>L2_Typo</ability>
      <abilityName>字词错误</abilityName>
      <candidateList>
        <item>所有</item>
      </candidateList>
      <explain/>
      <paraID>344068C8</paraID>
      <start>47</start>
      <end>50</end>
      <status>unmodified</status>
      <modifiedWord/>
      <trackRevisions>false</trackRevisions>
    </reviewItem>
    <reviewItem>
      <errorID>6d6729fd-82a7-47b6-bfd0-cb1e489d4353</errorID>
      <errorWord>与与</errorWord>
      <group>L1_Word</group>
      <groupName>字词问题</groupName>
      <ability>L2_Typo</ability>
      <abilityName>字词错误</abilityName>
      <candidateList>
        <item>与</item>
      </candidateList>
      <explain>（舆）yù参与：～会。</explain>
      <paraID> B771E52</paraID>
      <start>18</start>
      <end>19</end>
      <status>modified</status>
      <modifiedWord>与</modifiedWord>
      <trackRevisions>false</trackRevisions>
    </reviewItem>
    <reviewItem>
      <errorID>6e8ca6a4-0b54-4446-a574-273bfb789e7e</errorID>
      <errorWord>未不</errorWord>
      <group>L1_Word</group>
      <groupName>字词问题</groupName>
      <ability>L2_Typo</ability>
      <abilityName>字词错误</abilityName>
      <candidateList>
        <item>未</item>
      </candidateList>
      <explain>〈副〉❶没（跟“已”相对）：尚～成年｜健康仍～恢复。❷不：～便｜～敢苟同｜～可厚非。</explain>
      <paraID>7B9F6689</paraID>
      <start>16</start>
      <end>17</end>
      <status>modified</status>
      <modifiedWord>未</modifiedWord>
      <trackRevisions>false</trackRevisions>
    </reviewItem>
    <reviewItem>
      <errorID>089a27df-d20c-4539-a169-053236a752b2</errorID>
      <errorWord>做出</errorWord>
      <group>L1_Word</group>
      <groupName>字词问题</groupName>
      <ability>L2_Typo</ability>
      <abilityName>字词错误</abilityName>
      <candidateList>
        <item>作出</item>
      </candidateList>
      <explain/>
      <paraID>6DCB29DE</paraID>
      <start>71</start>
      <end>73</end>
      <status>modified</status>
      <modifiedWord>作出</modifiedWord>
      <trackRevisions>false</trackRevisions>
    </reviewItem>
    <reviewItem>
      <errorID>2e619839-9c90-4cef-bf6b-fd2d41789a21</errorID>
      <errorWord>(</errorWord>
      <group>L1_Format</group>
      <groupName>格式问题</groupName>
      <ability>L2_HalfPunc</ability>
      <abilityName>全半角检查</abilityName>
      <candidateList>
        <item>（</item>
      </candidateList>
      <explain>文本全半角错误。</explain>
      <paraID>2C9ABE01</paraID>
      <start>3</start>
      <end>4</end>
      <status>unmodified</status>
      <modifiedWord/>
      <trackRevisions>false</trackRevisions>
    </reviewItem>
    <reviewItem>
      <errorID>9c212d9f-9faa-4ae0-bbb3-4772881ff84f</errorID>
      <errorWord>)</errorWord>
      <group>L1_Format</group>
      <groupName>格式问题</groupName>
      <ability>L2_HalfPunc</ability>
      <abilityName>全半角检查</abilityName>
      <candidateList>
        <item>）</item>
      </candidateList>
      <explain>文本全半角错误。</explain>
      <paraID>2C9ABE01</paraID>
      <start>10</start>
      <end>11</end>
      <status>unmodified</status>
      <modifiedWord/>
      <trackRevisions>false</trackRevisions>
    </reviewItem>
    <reviewItem>
      <errorID>b38f4ac0-b7c0-4fdf-81ec-e3be610ff4d6</errorID>
      <errorWord>签定</errorWord>
      <group>L1_Word</group>
      <groupName>字词问题</groupName>
      <ability>L2_Typo</ability>
      <abilityName>字词错误</abilityName>
      <candidateList>
        <item>签订</item>
      </candidateList>
      <explain>〈动〉订立条约或合同并签字：两国～了贸易议定书和支付协定。</explain>
      <paraID> 471CA2D</paraID>
      <start>2</start>
      <end>4</end>
      <status>unmodified</status>
      <modifiedWord/>
      <trackRevisions>false</trackRevisions>
    </reviewItem>
    <reviewItem>
      <errorID>5cd45604-b277-4376-b19d-f9538106da28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11A5B2C</paraID>
      <start>6</start>
      <end>8</end>
      <status>unmodified</status>
      <modifiedWord/>
      <trackRevisions>false</trackRevisions>
    </reviewItem>
    <reviewItem>
      <errorID>f8f4e832-7135-41ab-988c-4b6f049a77c7</errorID>
      <errorWord>法律、法规</errorWord>
      <group>L1_Word</group>
      <groupName>字词问题</groupName>
      <ability>L2_Typo</ability>
      <abilityName>字词错误</abilityName>
      <candidateList>
        <item>法律法规</item>
      </candidateList>
      <explain/>
      <paraID>6523E4E6</paraID>
      <start>24</start>
      <end>29</end>
      <status>unmodified</status>
      <modifiedWord/>
      <trackRevisions>false</trackRevisions>
    </reviewItem>
    <reviewItem>
      <errorID>b6018c41-6447-430b-a3d1-fa79fe0d9559</errorID>
      <errorWord>信息库中</errorWord>
      <group>L1_Word</group>
      <groupName>字词问题</groupName>
      <ability>L2_Typo</ability>
      <abilityName>字词错误</abilityName>
      <candidateList>
        <item>信息库</item>
      </candidateList>
      <explain/>
      <paraID>75B0914C</paraID>
      <start>29</start>
      <end>33</end>
      <status>unmodified</status>
      <modifiedWord/>
      <trackRevisions>false</trackRevisions>
    </reviewItem>
    <reviewItem>
      <errorID>ac8821c5-1093-466b-b35f-55d59ce160bb</errorID>
      <errorWord>作</errorWord>
      <group>L1_Word</group>
      <groupName>字词问题</groupName>
      <ability>L2_Typo</ability>
      <abilityName>字词错误</abilityName>
      <candidateList>
        <item>做</item>
      </candidateList>
      <explain>存在发音相同字词的误用。</explain>
      <paraID>1F73A6C8</paraID>
      <start>13</start>
      <end>14</end>
      <status>modified</status>
      <modifiedWord>做</modifiedWord>
      <trackRevisions>false</trackRevisions>
    </reviewItem>
    <reviewItem>
      <errorID>78a7c2e7-2500-4bef-94f0-48e7c03cd7b1</errorID>
      <errorWord>(</errorWord>
      <group>L1_Format</group>
      <groupName>格式问题</groupName>
      <ability>L2_HalfPunc</ability>
      <abilityName>全半角检查</abilityName>
      <candidateList>
        <item>（</item>
      </candidateList>
      <explain>文本全半角错误。</explain>
      <paraID>749E1842</paraID>
      <start>5</start>
      <end>6</end>
      <status>unmodified</status>
      <modifiedWord/>
      <trackRevisions>false</trackRevisions>
    </reviewItem>
    <reviewItem>
      <errorID>3e6aaae4-be4a-4449-8d4f-68e6406f32c7</errorID>
      <errorWord>)</errorWord>
      <group>L1_Format</group>
      <groupName>格式问题</groupName>
      <ability>L2_HalfPunc</ability>
      <abilityName>全半角检查</abilityName>
      <candidateList>
        <item>）</item>
      </candidateList>
      <explain>文本全半角错误。</explain>
      <paraID>749E1842</paraID>
      <start>9</start>
      <end>10</end>
      <status>unmodified</status>
      <modifiedWord/>
      <trackRevisions>false</trackRevisions>
    </reviewItem>
    <reviewItem>
      <errorID>026d1c6d-c711-47fa-8712-9df986067f19</errorID>
      <errorWord>(</errorWord>
      <group>L1_Format</group>
      <groupName>格式问题</groupName>
      <ability>L2_HalfPunc</ability>
      <abilityName>全半角检查</abilityName>
      <candidateList>
        <item>（</item>
      </candidateList>
      <explain>文本全半角错误。</explain>
      <paraID>102BE134</paraID>
      <start>2</start>
      <end>3</end>
      <status>unmodified</status>
      <modifiedWord/>
      <trackRevisions>false</trackRevisions>
    </reviewItem>
    <reviewItem>
      <errorID>708d85c4-d3e3-4aa4-9f74-6ab81e1121fa</errorID>
      <errorWord>)</errorWord>
      <group>L1_Format</group>
      <groupName>格式问题</groupName>
      <ability>L2_HalfPunc</ability>
      <abilityName>全半角检查</abilityName>
      <candidateList>
        <item>）</item>
      </candidateList>
      <explain>文本全半角错误。</explain>
      <paraID>102BE134</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42e417-1727-4781-b914-ba209cf22058}">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47</Pages>
  <Words>16164</Words>
  <Characters>16921</Characters>
  <Lines>155</Lines>
  <Paragraphs>43</Paragraphs>
  <TotalTime>22</TotalTime>
  <ScaleCrop>false</ScaleCrop>
  <LinksUpToDate>false</LinksUpToDate>
  <CharactersWithSpaces>17215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2025-03-03T05:17:00Z</dcterms:created>
  <dc:creator>User</dc:creator>
  <cp:lastModifiedBy>戳戳</cp:lastModifiedBy>
  <cp:lastPrinted>2026-02-10T06:40:00Z</cp:lastPrinted>
  <dcterms:modified xsi:type="dcterms:W3CDTF">2026-07-02T01:59:57Z</dcterms:modified>
  <dc:title>南通市环境监测中心站火焰原子吸收光谱仪项目</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5B6F78F9D5BE49DC8530C42A72548A0C_13</vt:lpwstr>
  </property>
  <property fmtid="{D5CDD505-2E9C-101B-9397-08002B2CF9AE}" pid="4" name="KSOTemplateDocerSaveRecord">
    <vt:lpwstr>eyJoZGlkIjoiMGJlNTBlZTJkMzNmMTJlYTRlNDRkMzg2YjliNjZmZjgiLCJ1c2VySWQiOiIxNjE0MzM0OTc0In0=</vt:lpwstr>
  </property>
</Properties>
</file>